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gif" ContentType="image/gi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19"/>
        <w:tblW w:w="0" w:type="auto"/>
        <w:tblInd w:w="108" w:type="dxa"/>
        <w:tblLayout w:type="fixed"/>
        <w:tblCellMar>
          <w:top w:w="0" w:type="dxa"/>
          <w:left w:w="108" w:type="dxa"/>
          <w:bottom w:w="0" w:type="dxa"/>
          <w:right w:w="108" w:type="dxa"/>
        </w:tblCellMar>
      </w:tblPr>
      <w:tblGrid>
        <w:gridCol w:w="5325"/>
        <w:gridCol w:w="3854"/>
      </w:tblGrid>
      <w:tr>
        <w:tblPrEx>
          <w:tblCellMar>
            <w:top w:w="0" w:type="dxa"/>
            <w:left w:w="108" w:type="dxa"/>
            <w:bottom w:w="0" w:type="dxa"/>
            <w:right w:w="108" w:type="dxa"/>
          </w:tblCellMar>
        </w:tblPrEx>
        <w:trPr>
          <w:cantSplit/>
        </w:trPr>
        <w:tc>
          <w:tcPr>
            <w:tcW w:w="5325" w:type="dxa"/>
          </w:tcPr>
          <w:p>
            <w:pPr>
              <w:pStyle w:val="24"/>
              <w:rPr>
                <w:rFonts w:hint="default" w:ascii="黑体" w:hAnsi="Times New Roman" w:eastAsia="黑体"/>
              </w:rPr>
            </w:pPr>
            <w:bookmarkStart w:id="0" w:name="_Toc15547"/>
          </w:p>
        </w:tc>
        <w:tc>
          <w:tcPr>
            <w:tcW w:w="3854" w:type="dxa"/>
            <w:vMerge w:val="restart"/>
          </w:tcPr>
          <w:p>
            <w:pPr>
              <w:ind w:firstLine="1960"/>
            </w:pPr>
            <w:r>
              <w:rPr>
                <w:rFonts w:ascii="Swis721 Blk BT" w:hAnsi="Swis721 Blk BT"/>
                <w:sz w:val="98"/>
              </w:rPr>
              <w:t>SL</w:t>
            </w:r>
          </w:p>
        </w:tc>
      </w:tr>
      <w:tr>
        <w:trPr>
          <w:cantSplit/>
        </w:trPr>
        <w:tc>
          <w:tcPr>
            <w:tcW w:w="5325" w:type="dxa"/>
          </w:tcPr>
          <w:p>
            <w:pPr>
              <w:ind w:firstLine="420"/>
              <w:rPr>
                <w:rFonts w:ascii="黑体" w:eastAsia="黑体"/>
                <w:sz w:val="18"/>
                <w:szCs w:val="18"/>
              </w:rPr>
            </w:pPr>
            <w:r>
              <w:rPr>
                <w:rFonts w:ascii="黑体" w:eastAsia="黑体"/>
                <w:sz w:val="18"/>
                <w:szCs w:val="18"/>
              </w:rPr>
              <w:t>ICS</w:t>
            </w:r>
          </w:p>
          <w:p>
            <w:pPr>
              <w:ind w:firstLine="420"/>
              <w:rPr>
                <w:rFonts w:ascii="黑体" w:eastAsia="黑体"/>
                <w:sz w:val="18"/>
                <w:szCs w:val="18"/>
              </w:rPr>
            </w:pPr>
            <w:r>
              <w:rPr>
                <w:rFonts w:hint="eastAsia" w:ascii="黑体" w:eastAsia="黑体"/>
                <w:sz w:val="18"/>
                <w:szCs w:val="18"/>
              </w:rPr>
              <w:t>CCS</w:t>
            </w:r>
          </w:p>
        </w:tc>
        <w:tc>
          <w:tcPr>
            <w:tcW w:w="3854" w:type="dxa"/>
            <w:vMerge w:val="continue"/>
            <w:vAlign w:val="center"/>
          </w:tcPr>
          <w:p>
            <w:pPr>
              <w:ind w:firstLine="1440"/>
              <w:rPr>
                <w:rFonts w:eastAsia="Times New Roman"/>
                <w:sz w:val="72"/>
              </w:rPr>
            </w:pPr>
          </w:p>
        </w:tc>
      </w:tr>
      <w:tr>
        <w:tblPrEx>
          <w:tblCellMar>
            <w:top w:w="0" w:type="dxa"/>
            <w:left w:w="108" w:type="dxa"/>
            <w:bottom w:w="0" w:type="dxa"/>
            <w:right w:w="108" w:type="dxa"/>
          </w:tblCellMar>
        </w:tblPrEx>
        <w:trPr>
          <w:cantSplit/>
          <w:trHeight w:val="1139" w:hRule="atLeast"/>
        </w:trPr>
        <w:tc>
          <w:tcPr>
            <w:tcW w:w="5325" w:type="dxa"/>
          </w:tcPr>
          <w:p>
            <w:pPr>
              <w:ind w:firstLine="420"/>
              <w:rPr>
                <w:rFonts w:ascii="黑体" w:eastAsia="黑体"/>
              </w:rPr>
            </w:pPr>
          </w:p>
        </w:tc>
        <w:tc>
          <w:tcPr>
            <w:tcW w:w="3854" w:type="dxa"/>
            <w:vMerge w:val="continue"/>
            <w:vAlign w:val="center"/>
          </w:tcPr>
          <w:p>
            <w:pPr>
              <w:ind w:firstLine="1440"/>
              <w:rPr>
                <w:rFonts w:eastAsia="Times New Roman"/>
                <w:sz w:val="72"/>
              </w:rPr>
            </w:pPr>
          </w:p>
        </w:tc>
      </w:tr>
    </w:tbl>
    <w:p>
      <w:pPr>
        <w:tabs>
          <w:tab w:val="center" w:pos="4535"/>
        </w:tabs>
        <w:spacing w:line="360" w:lineRule="exact"/>
        <w:ind w:firstLine="640"/>
        <w:jc w:val="center"/>
        <w:rPr>
          <w:rFonts w:ascii="黑体" w:eastAsia="黑体"/>
          <w:sz w:val="28"/>
        </w:rPr>
      </w:pPr>
      <w:r>
        <w:rPr>
          <w:rFonts w:ascii="黑体" w:eastAsia="黑体"/>
          <w:sz w:val="32"/>
          <w:lang w:val="zh-CN"/>
        </w:rPr>
        <w:t>中华人民共和国水利行业</w:t>
      </w:r>
      <w:r>
        <w:rPr>
          <w:rFonts w:hint="eastAsia" w:ascii="黑体" w:eastAsia="黑体"/>
          <w:sz w:val="32"/>
          <w:lang w:val="zh-CN"/>
        </w:rPr>
        <w:t>标准</w:t>
      </w:r>
    </w:p>
    <w:p>
      <w:pPr>
        <w:spacing w:line="360" w:lineRule="exact"/>
        <w:ind w:firstLine="562"/>
        <w:jc w:val="right"/>
        <w:rPr>
          <w:rFonts w:hint="eastAsia" w:ascii="黑体" w:hAnsi="黑体" w:eastAsia="黑体"/>
          <w:sz w:val="28"/>
        </w:rPr>
      </w:pPr>
      <w:bookmarkStart w:id="1" w:name="_Toc331421270"/>
      <w:bookmarkStart w:id="2" w:name="_Toc330886136"/>
      <w:bookmarkStart w:id="3" w:name="_Toc339006826"/>
      <w:r>
        <w:rPr>
          <w:rFonts w:ascii="黑体" w:hAnsi="黑体" w:eastAsia="黑体"/>
          <w:sz w:val="28"/>
        </w:rPr>
        <w:t>SL</w:t>
      </w:r>
      <w:r>
        <w:rPr>
          <w:rFonts w:hint="eastAsia" w:ascii="黑体" w:hAnsi="黑体" w:eastAsia="黑体"/>
          <w:sz w:val="28"/>
          <w:lang w:val="en-US" w:eastAsia="zh-CN"/>
        </w:rPr>
        <w:t xml:space="preserve">/T </w:t>
      </w:r>
      <w:r>
        <w:rPr>
          <w:rFonts w:ascii="黑体" w:hAnsi="黑体" w:eastAsia="黑体"/>
          <w:sz w:val="28"/>
        </w:rPr>
        <w:t>734—202×</w:t>
      </w:r>
      <w:bookmarkEnd w:id="1"/>
      <w:bookmarkEnd w:id="2"/>
      <w:bookmarkEnd w:id="3"/>
    </w:p>
    <w:p>
      <w:pPr>
        <w:spacing w:line="360" w:lineRule="exact"/>
        <w:ind w:firstLine="562"/>
        <w:jc w:val="right"/>
        <w:rPr>
          <w:rFonts w:hint="eastAsia" w:ascii="黑体" w:hAnsi="黑体" w:eastAsia="黑体"/>
          <w:sz w:val="28"/>
        </w:rPr>
      </w:pPr>
      <w:r>
        <w:rPr>
          <w:rFonts w:ascii="黑体" w:hAnsi="黑体" w:eastAsia="黑体"/>
          <w:sz w:val="28"/>
        </w:rPr>
        <w:t>替代</w:t>
      </w:r>
      <w:r>
        <w:rPr>
          <w:rFonts w:hint="eastAsia" w:ascii="黑体" w:hAnsi="黑体" w:eastAsia="黑体"/>
          <w:sz w:val="28"/>
        </w:rPr>
        <w:t>：</w:t>
      </w:r>
      <w:r>
        <w:rPr>
          <w:rFonts w:ascii="黑体" w:hAnsi="黑体" w:eastAsia="黑体"/>
          <w:sz w:val="28"/>
        </w:rPr>
        <w:t>SL734-2016</w:t>
      </w:r>
    </w:p>
    <w:p>
      <w:pPr>
        <w:ind w:firstLine="420"/>
        <w:rPr>
          <w:sz w:val="28"/>
        </w:rPr>
      </w:pPr>
      <w:r>
        <w:rPr>
          <w:rFonts w:eastAsia="Times New Roman"/>
        </w:rPr>
        <mc:AlternateContent>
          <mc:Choice Requires="wps">
            <w:drawing>
              <wp:anchor distT="0" distB="0" distL="114300" distR="114300" simplePos="0" relativeHeight="251660288" behindDoc="0" locked="0" layoutInCell="1" allowOverlap="1">
                <wp:simplePos x="0" y="0"/>
                <wp:positionH relativeFrom="column">
                  <wp:posOffset>19050</wp:posOffset>
                </wp:positionH>
                <wp:positionV relativeFrom="paragraph">
                  <wp:posOffset>76200</wp:posOffset>
                </wp:positionV>
                <wp:extent cx="6096000" cy="0"/>
                <wp:effectExtent l="0" t="4445" r="0" b="5080"/>
                <wp:wrapNone/>
                <wp:docPr id="3" name="直接连接符 3"/>
                <wp:cNvGraphicFramePr/>
                <a:graphic xmlns:a="http://schemas.openxmlformats.org/drawingml/2006/main">
                  <a:graphicData uri="http://schemas.microsoft.com/office/word/2010/wordprocessingShape">
                    <wps:wsp>
                      <wps:cNvCnPr>
                        <a:cxnSpLocks noChangeShapeType="1"/>
                      </wps:cNvCnPr>
                      <wps:spPr bwMode="auto">
                        <a:xfrm>
                          <a:off x="0" y="0"/>
                          <a:ext cx="6096000" cy="0"/>
                        </a:xfrm>
                        <a:prstGeom prst="line">
                          <a:avLst/>
                        </a:prstGeom>
                        <a:noFill/>
                        <a:ln w="9525">
                          <a:solidFill>
                            <a:srgbClr val="000000"/>
                          </a:solidFill>
                          <a:round/>
                        </a:ln>
                      </wps:spPr>
                      <wps:bodyPr/>
                    </wps:wsp>
                  </a:graphicData>
                </a:graphic>
              </wp:anchor>
            </w:drawing>
          </mc:Choice>
          <mc:Fallback>
            <w:pict>
              <v:line id="_x0000_s1026" o:spid="_x0000_s1026" o:spt="20" style="position:absolute;left:0pt;margin-left:1.5pt;margin-top:6pt;height:0pt;width:480pt;z-index:251660288;mso-width-relative:page;mso-height-relative:page;" filled="f" stroked="t" coordsize="21600,21600" o:gfxdata="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A0BfcF0wAAAAcBAAAP&#10;AAAAAAAAAAEAIAAAACIAAABkcnMvZG93bnJldi54bWxQSwECFAAUAAAACACHTuJAR0MMl+QBAACq&#10;AwAADgAAAAAAAAABACAAAAAiAQAAZHJzL2Uyb0RvYy54bWxQSwUGAAAAAAYABgBZAQAAeAUAAAAA&#10;">
                <v:fill on="f" focussize="0,0"/>
                <v:stroke color="#000000" joinstyle="round"/>
                <v:imagedata o:title=""/>
                <o:lock v:ext="edit" aspectratio="f"/>
              </v:line>
            </w:pict>
          </mc:Fallback>
        </mc:AlternateContent>
      </w:r>
    </w:p>
    <w:p>
      <w:pPr>
        <w:ind w:firstLine="560"/>
        <w:rPr>
          <w:sz w:val="28"/>
        </w:rPr>
      </w:pPr>
    </w:p>
    <w:p>
      <w:pPr>
        <w:spacing w:before="326" w:beforeLines="100" w:line="400" w:lineRule="exact"/>
        <w:jc w:val="center"/>
        <w:rPr>
          <w:rFonts w:ascii="黑体" w:eastAsia="黑体"/>
          <w:spacing w:val="-20"/>
          <w:sz w:val="44"/>
          <w:szCs w:val="44"/>
          <w:lang w:val="zh-CN"/>
        </w:rPr>
      </w:pPr>
      <w:r>
        <w:rPr>
          <w:rFonts w:ascii="黑体" w:eastAsia="黑体"/>
          <w:spacing w:val="-20"/>
          <w:sz w:val="44"/>
          <w:szCs w:val="44"/>
          <w:lang w:val="zh-CN"/>
        </w:rPr>
        <w:t>水利工程质量检测技术规程</w:t>
      </w:r>
    </w:p>
    <w:p>
      <w:pPr>
        <w:spacing w:before="326" w:beforeLines="100" w:line="400" w:lineRule="exact"/>
        <w:ind w:firstLine="720"/>
        <w:rPr>
          <w:rFonts w:ascii="黑体" w:eastAsia="黑体"/>
          <w:spacing w:val="-20"/>
          <w:sz w:val="11"/>
          <w:lang w:val="zh-CN"/>
        </w:rPr>
      </w:pPr>
    </w:p>
    <w:p>
      <w:pPr>
        <w:spacing w:line="400" w:lineRule="exact"/>
        <w:jc w:val="center"/>
        <w:rPr>
          <w:rFonts w:ascii="黑体" w:eastAsia="黑体"/>
          <w:sz w:val="28"/>
        </w:rPr>
      </w:pPr>
      <w:r>
        <w:rPr>
          <w:rFonts w:ascii="黑体" w:eastAsia="黑体"/>
          <w:sz w:val="28"/>
        </w:rPr>
        <w:t>H</w:t>
      </w:r>
      <w:r>
        <w:rPr>
          <w:rFonts w:hint="eastAsia" w:ascii="黑体" w:eastAsia="黑体"/>
          <w:sz w:val="28"/>
        </w:rPr>
        <w:t>ydraulic engineering quality detection technical regulations</w:t>
      </w:r>
    </w:p>
    <w:p>
      <w:pPr>
        <w:spacing w:line="400" w:lineRule="exact"/>
        <w:rPr>
          <w:rFonts w:eastAsia="Times New Roman"/>
          <w:sz w:val="28"/>
        </w:rPr>
      </w:pPr>
    </w:p>
    <w:p>
      <w:pPr>
        <w:spacing w:line="400" w:lineRule="exact"/>
        <w:rPr>
          <w:rFonts w:eastAsia="Times New Roman"/>
          <w:sz w:val="28"/>
        </w:rPr>
      </w:pPr>
    </w:p>
    <w:p>
      <w:pPr>
        <w:spacing w:line="400" w:lineRule="exact"/>
        <w:jc w:val="center"/>
        <w:rPr>
          <w:rFonts w:ascii="黑体" w:eastAsia="黑体"/>
          <w:sz w:val="28"/>
        </w:rPr>
      </w:pPr>
      <w:r>
        <w:rPr>
          <w:rFonts w:ascii="黑体" w:eastAsia="黑体"/>
          <w:sz w:val="28"/>
        </w:rPr>
        <w:t>（</w:t>
      </w:r>
      <w:r>
        <w:rPr>
          <w:rFonts w:hint="eastAsia" w:ascii="黑体" w:eastAsia="黑体"/>
          <w:sz w:val="28"/>
        </w:rPr>
        <w:t>征求意见稿</w:t>
      </w:r>
      <w:r>
        <w:rPr>
          <w:rFonts w:ascii="黑体" w:eastAsia="黑体"/>
          <w:sz w:val="28"/>
        </w:rPr>
        <w:t>）</w:t>
      </w:r>
    </w:p>
    <w:p>
      <w:pPr>
        <w:spacing w:line="400" w:lineRule="exact"/>
        <w:ind w:firstLine="560"/>
        <w:jc w:val="center"/>
        <w:rPr>
          <w:rFonts w:eastAsia="Times New Roman"/>
        </w:rPr>
      </w:pPr>
      <w:r>
        <w:rPr>
          <w:rFonts w:hint="eastAsia" w:ascii="黑体" w:eastAsia="黑体"/>
          <w:sz w:val="28"/>
        </w:rPr>
        <w:t>（</w:t>
      </w:r>
      <w:r>
        <w:rPr>
          <w:rFonts w:hint="eastAsia" w:ascii="仿宋_GB2312" w:hAnsi="宋体"/>
          <w:b/>
        </w:rPr>
        <w:t>请将你们发现的有关专利的内容和支持性文件随意见一并返回</w:t>
      </w:r>
      <w:r>
        <w:rPr>
          <w:rFonts w:hint="eastAsia" w:ascii="黑体" w:eastAsia="黑体"/>
          <w:sz w:val="28"/>
        </w:rPr>
        <w:t>）</w:t>
      </w:r>
    </w:p>
    <w:p>
      <w:pPr>
        <w:ind w:firstLine="420"/>
        <w:rPr>
          <w:rFonts w:eastAsia="Times New Roman"/>
        </w:rPr>
      </w:pPr>
    </w:p>
    <w:p>
      <w:pPr>
        <w:ind w:firstLine="420"/>
        <w:rPr>
          <w:rFonts w:eastAsia="Times New Roman"/>
        </w:rPr>
      </w:pPr>
    </w:p>
    <w:p>
      <w:pPr>
        <w:ind w:firstLine="420"/>
        <w:rPr>
          <w:rFonts w:eastAsia="Times New Roman"/>
        </w:rPr>
      </w:pPr>
    </w:p>
    <w:p>
      <w:pPr>
        <w:ind w:firstLine="420"/>
        <w:rPr>
          <w:rFonts w:eastAsia="Times New Roman"/>
        </w:rPr>
      </w:pPr>
    </w:p>
    <w:p>
      <w:pPr>
        <w:rPr>
          <w:rFonts w:eastAsia="Times New Roman"/>
        </w:rPr>
      </w:pPr>
    </w:p>
    <w:p>
      <w:pPr>
        <w:ind w:firstLine="420"/>
        <w:rPr>
          <w:rFonts w:eastAsia="Times New Roman"/>
        </w:rPr>
      </w:pPr>
    </w:p>
    <w:p>
      <w:pPr>
        <w:ind w:firstLine="420"/>
        <w:rPr>
          <w:rFonts w:eastAsia="Times New Roman"/>
        </w:rPr>
      </w:pPr>
    </w:p>
    <w:p>
      <w:pPr>
        <w:ind w:firstLine="420"/>
        <w:rPr>
          <w:rFonts w:eastAsia="Times New Roman"/>
        </w:rPr>
      </w:pPr>
    </w:p>
    <w:p>
      <w:pPr>
        <w:ind w:firstLine="420"/>
        <w:rPr>
          <w:rFonts w:eastAsia="Times New Roman"/>
        </w:rPr>
      </w:pPr>
    </w:p>
    <w:p>
      <w:pPr>
        <w:ind w:firstLine="420"/>
        <w:rPr>
          <w:rFonts w:eastAsia="Times New Roman"/>
        </w:rPr>
      </w:pPr>
    </w:p>
    <w:p>
      <w:pPr>
        <w:ind w:firstLine="420"/>
        <w:rPr>
          <w:rFonts w:eastAsia="Times New Roman"/>
        </w:rPr>
      </w:pPr>
    </w:p>
    <w:p>
      <w:pPr>
        <w:ind w:firstLine="420"/>
        <w:rPr>
          <w:rFonts w:eastAsia="Times New Roman"/>
        </w:rPr>
      </w:pPr>
    </w:p>
    <w:p>
      <w:pPr>
        <w:spacing w:line="360" w:lineRule="auto"/>
        <w:ind w:firstLine="560" w:firstLineChars="200"/>
        <w:rPr>
          <w:rFonts w:ascii="黑体" w:eastAsia="黑体"/>
          <w:sz w:val="28"/>
        </w:rPr>
      </w:pPr>
      <w:r>
        <w:rPr>
          <w:rFonts w:ascii="黑体" w:hAnsi="黑体" w:eastAsia="黑体"/>
          <w:sz w:val="28"/>
        </w:rPr>
        <w:t>202×—××—××发布</w:t>
      </w:r>
      <w:r>
        <w:rPr>
          <w:rFonts w:hint="eastAsia" w:ascii="黑体" w:eastAsia="黑体"/>
          <w:sz w:val="28"/>
        </w:rPr>
        <w:t xml:space="preserve">           </w:t>
      </w:r>
      <w:r>
        <w:rPr>
          <w:rFonts w:ascii="黑体" w:hAnsi="黑体" w:eastAsia="黑体"/>
          <w:sz w:val="28"/>
        </w:rPr>
        <w:t>202×—××—××实施</w:t>
      </w:r>
    </w:p>
    <w:p>
      <w:pPr>
        <w:spacing w:line="360" w:lineRule="auto"/>
        <w:ind w:firstLine="480"/>
        <w:rPr>
          <w:rFonts w:eastAsia="Times New Roman"/>
          <w:sz w:val="24"/>
        </w:rPr>
      </w:pPr>
      <w:r>
        <w:rPr>
          <w:rFonts w:eastAsia="Times New Roman"/>
        </w:rPr>
        <mc:AlternateContent>
          <mc:Choice Requires="wps">
            <w:drawing>
              <wp:anchor distT="0" distB="0" distL="114300" distR="114300" simplePos="0" relativeHeight="251661312" behindDoc="0" locked="0" layoutInCell="1" allowOverlap="1">
                <wp:simplePos x="0" y="0"/>
                <wp:positionH relativeFrom="column">
                  <wp:posOffset>128270</wp:posOffset>
                </wp:positionH>
                <wp:positionV relativeFrom="paragraph">
                  <wp:posOffset>19050</wp:posOffset>
                </wp:positionV>
                <wp:extent cx="5263515" cy="12065"/>
                <wp:effectExtent l="0" t="4445" r="13335" b="12065"/>
                <wp:wrapNone/>
                <wp:docPr id="1" name="直接连接符 1"/>
                <wp:cNvGraphicFramePr/>
                <a:graphic xmlns:a="http://schemas.openxmlformats.org/drawingml/2006/main">
                  <a:graphicData uri="http://schemas.microsoft.com/office/word/2010/wordprocessingShape">
                    <wps:wsp>
                      <wps:cNvCnPr>
                        <a:cxnSpLocks noChangeShapeType="1"/>
                      </wps:cNvCnPr>
                      <wps:spPr bwMode="auto">
                        <a:xfrm flipV="1">
                          <a:off x="0" y="0"/>
                          <a:ext cx="5263242" cy="11884"/>
                        </a:xfrm>
                        <a:prstGeom prst="line">
                          <a:avLst/>
                        </a:prstGeom>
                        <a:noFill/>
                        <a:ln w="9525">
                          <a:solidFill>
                            <a:srgbClr val="000000"/>
                          </a:solidFill>
                          <a:round/>
                        </a:ln>
                      </wps:spPr>
                      <wps:bodyPr/>
                    </wps:wsp>
                  </a:graphicData>
                </a:graphic>
              </wp:anchor>
            </w:drawing>
          </mc:Choice>
          <mc:Fallback>
            <w:pict>
              <v:line id="_x0000_s1026" o:spid="_x0000_s1026" o:spt="20" style="position:absolute;left:0pt;flip:y;margin-left:10.1pt;margin-top:1.5pt;height:0.95pt;width:414.45pt;z-index:251661312;mso-width-relative:page;mso-height-relative:page;" filled="f" stroked="t" coordsize="21600,21600" o:gfxdata="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AO&#10;KR9c1AAAAAYBAAAPAAAAAAAAAAEAIAAAACIAAABkcnMvZG93bnJldi54bWxQSwECFAAUAAAACACH&#10;TuJAGWLjL+8BAAC4AwAADgAAAAAAAAABACAAAAAjAQAAZHJzL2Uyb0RvYy54bWxQSwUGAAAAAAYA&#10;BgBZAQAAhAUAAAAA&#10;">
                <v:fill on="f" focussize="0,0"/>
                <v:stroke color="#000000" joinstyle="round"/>
                <v:imagedata o:title=""/>
                <o:lock v:ext="edit" aspectratio="f"/>
              </v:line>
            </w:pict>
          </mc:Fallback>
        </mc:AlternateContent>
      </w:r>
    </w:p>
    <w:p>
      <w:pPr>
        <w:spacing w:line="360" w:lineRule="auto"/>
        <w:ind w:firstLine="640"/>
        <w:jc w:val="center"/>
        <w:rPr>
          <w:rFonts w:ascii="黑体" w:eastAsia="黑体"/>
          <w:sz w:val="28"/>
        </w:rPr>
        <w:sectPr>
          <w:headerReference r:id="rId5" w:type="first"/>
          <w:footerReference r:id="rId7" w:type="first"/>
          <w:headerReference r:id="rId3" w:type="default"/>
          <w:footerReference r:id="rId6" w:type="default"/>
          <w:headerReference r:id="rId4" w:type="even"/>
          <w:pgSz w:w="11906" w:h="16838"/>
          <w:pgMar w:top="1440" w:right="1803" w:bottom="1440" w:left="1803" w:header="851" w:footer="992" w:gutter="0"/>
          <w:pgNumType w:fmt="upperRoman"/>
          <w:cols w:space="720" w:num="1"/>
          <w:titlePg/>
          <w:docGrid w:type="lines" w:linePitch="326" w:charSpace="0"/>
        </w:sectPr>
      </w:pPr>
      <w:r>
        <w:rPr>
          <w:rFonts w:ascii="黑体" w:eastAsia="黑体"/>
          <w:sz w:val="32"/>
        </w:rPr>
        <w:t xml:space="preserve">中华人民共和国水利部  </w:t>
      </w:r>
      <w:r>
        <w:rPr>
          <w:rFonts w:ascii="黑体" w:eastAsia="黑体"/>
          <w:sz w:val="28"/>
        </w:rPr>
        <w:t>发 布</w:t>
      </w:r>
    </w:p>
    <w:p>
      <w:pPr>
        <w:spacing w:after="240" w:afterLines="100"/>
        <w:jc w:val="center"/>
        <w:rPr>
          <w:rFonts w:hint="eastAsia" w:ascii="黑体" w:hAnsi="黑体" w:eastAsia="黑体"/>
          <w:sz w:val="24"/>
          <w:szCs w:val="24"/>
        </w:rPr>
      </w:pPr>
      <w:bookmarkStart w:id="4" w:name="_Toc13357"/>
      <w:r>
        <w:rPr>
          <w:rFonts w:hint="eastAsia" w:ascii="黑体" w:hAnsi="黑体" w:eastAsia="黑体"/>
          <w:sz w:val="24"/>
          <w:szCs w:val="24"/>
        </w:rPr>
        <w:t>前  言</w:t>
      </w:r>
      <w:bookmarkEnd w:id="0"/>
      <w:bookmarkEnd w:id="4"/>
    </w:p>
    <w:p>
      <w:pPr>
        <w:pStyle w:val="9"/>
        <w:adjustRightInd w:val="0"/>
        <w:snapToGrid w:val="0"/>
        <w:spacing w:line="360" w:lineRule="auto"/>
        <w:ind w:firstLine="420" w:firstLineChars="200"/>
        <w:jc w:val="left"/>
        <w:rPr>
          <w:rFonts w:ascii="Times New Roman" w:hAnsi="Times New Roman"/>
          <w:color w:val="000000"/>
        </w:rPr>
      </w:pPr>
      <w:r>
        <w:rPr>
          <w:rFonts w:hint="eastAsia"/>
        </w:rPr>
        <w:t>根据水利技术标准制修订计划安排，按照SL/T 1—20</w:t>
      </w:r>
      <w:r>
        <w:t>2</w:t>
      </w:r>
      <w:r>
        <w:rPr>
          <w:rFonts w:hint="eastAsia"/>
        </w:rPr>
        <w:t>4《水利技术标准编写规程》的要求，</w:t>
      </w:r>
      <w:r>
        <w:rPr>
          <w:rFonts w:ascii="Times New Roman" w:hAnsi="Times New Roman"/>
          <w:color w:val="000000"/>
        </w:rPr>
        <w:t>对SL734</w:t>
      </w:r>
      <w:r>
        <w:rPr>
          <w:rFonts w:hint="eastAsia"/>
        </w:rPr>
        <w:t>—</w:t>
      </w:r>
      <w:r>
        <w:rPr>
          <w:rFonts w:ascii="Times New Roman" w:hAnsi="Times New Roman"/>
          <w:color w:val="000000"/>
        </w:rPr>
        <w:t>2016《水利工程</w:t>
      </w:r>
      <w:r>
        <w:rPr>
          <w:rFonts w:hint="eastAsia" w:ascii="Times New Roman" w:hAnsi="Times New Roman"/>
          <w:color w:val="000000"/>
        </w:rPr>
        <w:t>质量检测技术</w:t>
      </w:r>
      <w:r>
        <w:rPr>
          <w:rFonts w:ascii="Times New Roman" w:hAnsi="Times New Roman"/>
          <w:color w:val="000000"/>
        </w:rPr>
        <w:t>规程》进行修订，并将SL 713</w:t>
      </w:r>
      <w:r>
        <w:rPr>
          <w:rFonts w:hint="eastAsia"/>
        </w:rPr>
        <w:t>—</w:t>
      </w:r>
      <w:r>
        <w:rPr>
          <w:rFonts w:ascii="Times New Roman" w:hAnsi="Times New Roman"/>
          <w:color w:val="000000"/>
        </w:rPr>
        <w:t>2015《水工</w:t>
      </w:r>
      <w:r>
        <w:rPr>
          <w:rFonts w:hint="eastAsia" w:ascii="Times New Roman" w:hAnsi="Times New Roman"/>
          <w:color w:val="000000"/>
        </w:rPr>
        <w:t>混凝土结构缺陷检测技术</w:t>
      </w:r>
      <w:r>
        <w:rPr>
          <w:rFonts w:ascii="Times New Roman" w:hAnsi="Times New Roman"/>
          <w:color w:val="000000"/>
        </w:rPr>
        <w:t>规程》部分内容并入</w:t>
      </w:r>
      <w:r>
        <w:rPr>
          <w:rFonts w:hint="eastAsia"/>
        </w:rPr>
        <w:t>。</w:t>
      </w:r>
    </w:p>
    <w:p>
      <w:pPr>
        <w:spacing w:line="360" w:lineRule="auto"/>
        <w:ind w:firstLine="420" w:firstLineChars="200"/>
        <w:rPr>
          <w:rFonts w:hint="eastAsia" w:asciiTheme="minorEastAsia" w:hAnsiTheme="minorEastAsia"/>
        </w:rPr>
      </w:pPr>
      <w:r>
        <w:rPr>
          <w:rFonts w:hint="eastAsia" w:asciiTheme="minorEastAsia" w:hAnsiTheme="minorEastAsia"/>
        </w:rPr>
        <w:t>本标准共10章和7个附录，主要技术内容有：</w:t>
      </w:r>
    </w:p>
    <w:p>
      <w:pPr>
        <w:spacing w:line="360" w:lineRule="auto"/>
        <w:ind w:firstLine="420" w:firstLineChars="200"/>
      </w:pPr>
      <w:r>
        <w:rPr>
          <w:rFonts w:hint="eastAsia"/>
        </w:rPr>
        <w:t>——总则；</w:t>
      </w:r>
    </w:p>
    <w:p>
      <w:pPr>
        <w:spacing w:line="360" w:lineRule="auto"/>
        <w:ind w:firstLine="420" w:firstLineChars="200"/>
      </w:pPr>
      <w:r>
        <w:rPr>
          <w:rFonts w:hint="eastAsia"/>
        </w:rPr>
        <w:t>——术语；</w:t>
      </w:r>
    </w:p>
    <w:p>
      <w:pPr>
        <w:spacing w:line="360" w:lineRule="auto"/>
        <w:ind w:firstLine="420" w:firstLineChars="200"/>
      </w:pPr>
      <w:r>
        <w:rPr>
          <w:rFonts w:hint="eastAsia"/>
        </w:rPr>
        <w:t>——基本规定；</w:t>
      </w:r>
    </w:p>
    <w:p>
      <w:pPr>
        <w:spacing w:line="360" w:lineRule="auto"/>
        <w:ind w:firstLine="420" w:firstLineChars="200"/>
      </w:pPr>
      <w:r>
        <w:rPr>
          <w:rFonts w:hint="eastAsia"/>
        </w:rPr>
        <w:t>——地基与基础工程；</w:t>
      </w:r>
    </w:p>
    <w:p>
      <w:pPr>
        <w:spacing w:line="360" w:lineRule="auto"/>
        <w:ind w:firstLine="420" w:firstLineChars="200"/>
      </w:pPr>
      <w:r>
        <w:rPr>
          <w:rFonts w:hint="eastAsia"/>
        </w:rPr>
        <w:t>——土石方工程；</w:t>
      </w:r>
    </w:p>
    <w:p>
      <w:pPr>
        <w:spacing w:line="360" w:lineRule="auto"/>
        <w:ind w:firstLine="420" w:firstLineChars="200"/>
      </w:pPr>
      <w:r>
        <w:rPr>
          <w:rFonts w:hint="eastAsia"/>
        </w:rPr>
        <w:t>——混凝土工程；</w:t>
      </w:r>
    </w:p>
    <w:p>
      <w:pPr>
        <w:spacing w:line="360" w:lineRule="auto"/>
        <w:ind w:firstLine="420" w:firstLineChars="200"/>
      </w:pPr>
      <w:r>
        <w:rPr>
          <w:rFonts w:hint="eastAsia"/>
        </w:rPr>
        <w:t>——金属结构；</w:t>
      </w:r>
    </w:p>
    <w:p>
      <w:pPr>
        <w:spacing w:line="360" w:lineRule="auto"/>
        <w:ind w:firstLine="420" w:firstLineChars="200"/>
      </w:pPr>
      <w:r>
        <w:rPr>
          <w:rFonts w:hint="eastAsia"/>
        </w:rPr>
        <w:t>——机械电气；</w:t>
      </w:r>
    </w:p>
    <w:p>
      <w:pPr>
        <w:spacing w:line="360" w:lineRule="auto"/>
        <w:ind w:firstLine="420" w:firstLineChars="200"/>
      </w:pPr>
      <w:r>
        <w:rPr>
          <w:rFonts w:hint="eastAsia"/>
        </w:rPr>
        <w:t>——外观测量；</w:t>
      </w:r>
    </w:p>
    <w:p>
      <w:pPr>
        <w:spacing w:line="360" w:lineRule="auto"/>
        <w:ind w:firstLine="420" w:firstLineChars="200"/>
      </w:pPr>
      <w:r>
        <w:rPr>
          <w:rFonts w:hint="eastAsia"/>
        </w:rPr>
        <w:t>——信息化系统。</w:t>
      </w:r>
    </w:p>
    <w:p>
      <w:pPr>
        <w:spacing w:line="360" w:lineRule="auto"/>
        <w:ind w:firstLine="420" w:firstLineChars="200"/>
      </w:pPr>
    </w:p>
    <w:p>
      <w:pPr>
        <w:spacing w:line="360" w:lineRule="auto"/>
        <w:ind w:firstLine="420" w:firstLineChars="200"/>
      </w:pPr>
      <w:r>
        <w:rPr>
          <w:rFonts w:hint="eastAsia"/>
        </w:rPr>
        <w:t>本标准批准部门：</w:t>
      </w:r>
      <w:r>
        <w:rPr>
          <w:rFonts w:hint="eastAsia" w:ascii="黑体" w:hAnsi="黑体" w:eastAsia="黑体" w:cs="黑体"/>
        </w:rPr>
        <w:t>中华人民共和国水利部</w:t>
      </w:r>
    </w:p>
    <w:p>
      <w:pPr>
        <w:spacing w:line="360" w:lineRule="auto"/>
        <w:ind w:firstLine="420" w:firstLineChars="200"/>
      </w:pPr>
      <w:r>
        <w:rPr>
          <w:rFonts w:hint="eastAsia"/>
        </w:rPr>
        <w:t>本标准主持机构：</w:t>
      </w:r>
      <w:r>
        <w:rPr>
          <w:rFonts w:hint="eastAsia" w:ascii="黑体" w:hAnsi="黑体" w:eastAsia="黑体" w:cs="黑体"/>
        </w:rPr>
        <w:t>水利部建设与管理司</w:t>
      </w:r>
    </w:p>
    <w:p>
      <w:pPr>
        <w:spacing w:line="360" w:lineRule="auto"/>
        <w:ind w:firstLine="420" w:firstLineChars="200"/>
      </w:pPr>
      <w:r>
        <w:rPr>
          <w:rFonts w:hint="eastAsia"/>
        </w:rPr>
        <w:t>本标准解释单位：</w:t>
      </w:r>
      <w:r>
        <w:rPr>
          <w:rFonts w:hint="eastAsia" w:ascii="黑体" w:hAnsi="黑体" w:eastAsia="黑体" w:cs="黑体"/>
        </w:rPr>
        <w:t>水利部建设与管理司</w:t>
      </w:r>
    </w:p>
    <w:p>
      <w:pPr>
        <w:spacing w:line="360" w:lineRule="auto"/>
        <w:ind w:firstLine="420" w:firstLineChars="200"/>
      </w:pPr>
      <w:r>
        <w:rPr>
          <w:rFonts w:hint="eastAsia"/>
        </w:rPr>
        <w:t>本标准主编单位：</w:t>
      </w:r>
      <w:r>
        <w:rPr>
          <w:rFonts w:hint="eastAsia" w:ascii="黑体" w:hAnsi="黑体" w:eastAsia="黑体" w:cs="黑体"/>
        </w:rPr>
        <w:t>中国水利工程协会</w:t>
      </w:r>
    </w:p>
    <w:p>
      <w:pPr>
        <w:spacing w:line="360" w:lineRule="auto"/>
        <w:ind w:firstLine="420" w:firstLineChars="200"/>
        <w:rPr>
          <w:rFonts w:hint="eastAsia" w:ascii="黑体" w:hAnsi="黑体" w:eastAsia="黑体" w:cs="黑体"/>
        </w:rPr>
      </w:pPr>
      <w:r>
        <w:rPr>
          <w:rFonts w:hint="eastAsia"/>
        </w:rPr>
        <w:t>本标准参编单位：</w:t>
      </w:r>
      <w:r>
        <w:rPr>
          <w:rFonts w:hint="eastAsia" w:ascii="黑体" w:hAnsi="黑体" w:eastAsia="黑体" w:cs="黑体"/>
        </w:rPr>
        <w:t>中水淮河规划设计研究有限公司</w:t>
      </w:r>
    </w:p>
    <w:p>
      <w:pPr>
        <w:spacing w:line="360" w:lineRule="auto"/>
        <w:ind w:firstLine="2100" w:firstLineChars="1000"/>
        <w:rPr>
          <w:rFonts w:hint="eastAsia" w:ascii="黑体" w:hAnsi="黑体" w:eastAsia="黑体" w:cs="黑体"/>
        </w:rPr>
      </w:pPr>
      <w:r>
        <w:rPr>
          <w:rFonts w:hint="eastAsia" w:ascii="黑体" w:hAnsi="黑体" w:eastAsia="黑体" w:cs="黑体"/>
        </w:rPr>
        <w:t>中国水利水电科学研究院</w:t>
      </w:r>
    </w:p>
    <w:p>
      <w:pPr>
        <w:spacing w:line="360" w:lineRule="auto"/>
        <w:ind w:firstLine="2100" w:firstLineChars="1000"/>
        <w:rPr>
          <w:rFonts w:hint="eastAsia" w:ascii="黑体" w:hAnsi="黑体" w:eastAsia="黑体" w:cs="黑体"/>
        </w:rPr>
      </w:pPr>
      <w:r>
        <w:rPr>
          <w:rFonts w:hint="eastAsia" w:ascii="黑体" w:hAnsi="黑体" w:eastAsia="黑体" w:cs="黑体"/>
        </w:rPr>
        <w:t>淮河水利委员会水利科学研究院</w:t>
      </w:r>
    </w:p>
    <w:p>
      <w:pPr>
        <w:spacing w:line="360" w:lineRule="auto"/>
        <w:ind w:firstLine="2100" w:firstLineChars="1000"/>
        <w:rPr>
          <w:rFonts w:hint="eastAsia" w:ascii="黑体" w:hAnsi="黑体" w:eastAsia="黑体" w:cs="黑体"/>
        </w:rPr>
      </w:pPr>
      <w:r>
        <w:rPr>
          <w:rFonts w:hint="eastAsia" w:ascii="黑体" w:hAnsi="黑体" w:eastAsia="黑体" w:cs="黑体"/>
        </w:rPr>
        <w:t>南京水利科学研究院</w:t>
      </w:r>
    </w:p>
    <w:p>
      <w:pPr>
        <w:spacing w:line="360" w:lineRule="auto"/>
        <w:ind w:firstLine="2100" w:firstLineChars="1000"/>
        <w:rPr>
          <w:rFonts w:hint="eastAsia" w:ascii="黑体" w:hAnsi="黑体" w:eastAsia="黑体" w:cs="黑体"/>
        </w:rPr>
      </w:pPr>
      <w:r>
        <w:rPr>
          <w:rFonts w:hint="eastAsia" w:ascii="黑体" w:hAnsi="黑体" w:eastAsia="黑体" w:cs="黑体"/>
        </w:rPr>
        <w:t>中国水利水电第五工程局有限公司</w:t>
      </w:r>
    </w:p>
    <w:p>
      <w:pPr>
        <w:spacing w:line="360" w:lineRule="auto"/>
        <w:ind w:firstLine="2100" w:firstLineChars="1000"/>
        <w:rPr>
          <w:rFonts w:hint="eastAsia" w:ascii="黑体" w:hAnsi="黑体" w:eastAsia="黑体" w:cs="黑体"/>
        </w:rPr>
      </w:pPr>
      <w:r>
        <w:rPr>
          <w:rFonts w:hint="eastAsia" w:ascii="黑体" w:hAnsi="黑体" w:eastAsia="黑体" w:cs="黑体"/>
        </w:rPr>
        <w:t>北京科技大学</w:t>
      </w:r>
    </w:p>
    <w:p>
      <w:pPr>
        <w:spacing w:line="360" w:lineRule="auto"/>
        <w:ind w:firstLine="2100" w:firstLineChars="1000"/>
        <w:rPr>
          <w:rFonts w:hint="eastAsia" w:ascii="黑体" w:hAnsi="黑体" w:eastAsia="黑体" w:cs="黑体"/>
        </w:rPr>
      </w:pPr>
      <w:r>
        <w:rPr>
          <w:rFonts w:hint="eastAsia" w:ascii="黑体" w:hAnsi="黑体" w:eastAsia="黑体" w:cs="黑体"/>
        </w:rPr>
        <w:t>长江地球物理探测（武汉）有限公司</w:t>
      </w:r>
    </w:p>
    <w:p>
      <w:pPr>
        <w:spacing w:line="360" w:lineRule="auto"/>
        <w:ind w:firstLine="2100" w:firstLineChars="1000"/>
        <w:rPr>
          <w:rFonts w:hint="eastAsia" w:ascii="黑体" w:hAnsi="黑体" w:eastAsia="黑体" w:cs="黑体"/>
        </w:rPr>
      </w:pPr>
      <w:r>
        <w:rPr>
          <w:rFonts w:hint="eastAsia" w:ascii="黑体" w:hAnsi="黑体" w:eastAsia="黑体" w:cs="黑体"/>
        </w:rPr>
        <w:t>中水东北勘测设计研究有限责任公司</w:t>
      </w:r>
    </w:p>
    <w:p>
      <w:pPr>
        <w:spacing w:line="360" w:lineRule="auto"/>
        <w:ind w:firstLine="420" w:firstLineChars="200"/>
        <w:rPr>
          <w:rFonts w:hint="eastAsia" w:ascii="黑体" w:hAnsi="黑体" w:eastAsia="黑体" w:cs="黑体"/>
          <w:lang w:val="en-US" w:eastAsia="zh-CN"/>
        </w:rPr>
      </w:pPr>
      <w:r>
        <w:rPr>
          <w:rFonts w:hint="eastAsia"/>
        </w:rPr>
        <w:t>本标准主要起草人：</w:t>
      </w:r>
      <w:r>
        <w:rPr>
          <w:rFonts w:hint="eastAsia" w:ascii="黑体" w:hAnsi="黑体" w:eastAsia="黑体" w:cs="黑体"/>
        </w:rPr>
        <w:t>赵存厚</w:t>
      </w:r>
      <w:r>
        <w:rPr>
          <w:rFonts w:hint="eastAsia" w:ascii="黑体" w:hAnsi="黑体" w:eastAsia="黑体" w:cs="黑体"/>
          <w:lang w:val="en-US" w:eastAsia="zh-CN"/>
        </w:rPr>
        <w:t xml:space="preserve"> </w:t>
      </w:r>
      <w:r>
        <w:rPr>
          <w:rFonts w:hint="eastAsia" w:ascii="黑体" w:hAnsi="黑体" w:eastAsia="黑体" w:cs="黑体"/>
        </w:rPr>
        <w:t>伍宛生</w:t>
      </w:r>
      <w:r>
        <w:rPr>
          <w:rFonts w:hint="eastAsia" w:ascii="黑体" w:hAnsi="黑体" w:eastAsia="黑体" w:cs="黑体"/>
          <w:lang w:val="en-US" w:eastAsia="zh-CN"/>
        </w:rPr>
        <w:t xml:space="preserve"> </w:t>
      </w:r>
      <w:r>
        <w:rPr>
          <w:rFonts w:hint="eastAsia" w:ascii="黑体" w:hAnsi="黑体" w:eastAsia="黑体" w:cs="黑体"/>
        </w:rPr>
        <w:t>温彦锋</w:t>
      </w:r>
      <w:r>
        <w:rPr>
          <w:rFonts w:hint="eastAsia" w:ascii="黑体" w:hAnsi="黑体" w:eastAsia="黑体" w:cs="黑体"/>
          <w:lang w:val="en-US" w:eastAsia="zh-CN"/>
        </w:rPr>
        <w:t xml:space="preserve"> </w:t>
      </w:r>
      <w:r>
        <w:rPr>
          <w:rFonts w:hint="eastAsia" w:ascii="黑体" w:hAnsi="黑体" w:eastAsia="黑体" w:cs="黑体"/>
        </w:rPr>
        <w:t>潘罗平</w:t>
      </w:r>
      <w:r>
        <w:rPr>
          <w:rFonts w:hint="eastAsia" w:ascii="黑体" w:hAnsi="黑体" w:eastAsia="黑体" w:cs="黑体"/>
          <w:lang w:val="en-US" w:eastAsia="zh-CN"/>
        </w:rPr>
        <w:t xml:space="preserve">  </w:t>
      </w:r>
      <w:r>
        <w:rPr>
          <w:rFonts w:hint="eastAsia" w:ascii="黑体" w:hAnsi="黑体" w:eastAsia="黑体" w:cs="黑体"/>
        </w:rPr>
        <w:t>邓中俊</w:t>
      </w:r>
      <w:r>
        <w:rPr>
          <w:rFonts w:hint="eastAsia" w:ascii="黑体" w:hAnsi="黑体" w:eastAsia="黑体" w:cs="黑体"/>
          <w:lang w:val="en-US" w:eastAsia="zh-CN"/>
        </w:rPr>
        <w:t xml:space="preserve">  </w:t>
      </w:r>
      <w:r>
        <w:rPr>
          <w:rFonts w:hint="eastAsia" w:ascii="黑体" w:hAnsi="黑体" w:eastAsia="黑体" w:cs="黑体"/>
        </w:rPr>
        <w:t>张杰</w:t>
      </w:r>
      <w:r>
        <w:rPr>
          <w:rFonts w:hint="eastAsia" w:ascii="黑体" w:hAnsi="黑体" w:eastAsia="黑体" w:cs="黑体"/>
          <w:lang w:val="en-US" w:eastAsia="zh-CN"/>
        </w:rPr>
        <w:t xml:space="preserve">  </w:t>
      </w:r>
      <w:r>
        <w:rPr>
          <w:rFonts w:hint="eastAsia" w:ascii="黑体" w:hAnsi="黑体" w:eastAsia="黑体" w:cs="黑体"/>
        </w:rPr>
        <w:t>肖建章</w:t>
      </w:r>
      <w:r>
        <w:rPr>
          <w:rFonts w:hint="eastAsia" w:ascii="黑体" w:hAnsi="黑体" w:eastAsia="黑体" w:cs="黑体"/>
          <w:lang w:val="en-US" w:eastAsia="zh-CN"/>
        </w:rPr>
        <w:t xml:space="preserve"> </w:t>
      </w:r>
    </w:p>
    <w:p>
      <w:pPr>
        <w:spacing w:line="360" w:lineRule="auto"/>
        <w:ind w:firstLine="2310" w:firstLineChars="1100"/>
        <w:rPr>
          <w:rFonts w:hint="eastAsia" w:ascii="黑体" w:hAnsi="黑体" w:eastAsia="黑体" w:cs="黑体"/>
          <w:lang w:val="en-US" w:eastAsia="zh-CN"/>
        </w:rPr>
      </w:pPr>
      <w:r>
        <w:rPr>
          <w:rFonts w:hint="eastAsia" w:ascii="黑体" w:hAnsi="黑体" w:eastAsia="黑体" w:cs="黑体"/>
          <w:lang w:val="en-US" w:eastAsia="zh-CN"/>
        </w:rPr>
        <w:t xml:space="preserve">吕列民 </w:t>
      </w:r>
      <w:r>
        <w:rPr>
          <w:rFonts w:hint="eastAsia" w:ascii="黑体" w:hAnsi="黑体" w:eastAsia="黑体" w:cs="黑体"/>
        </w:rPr>
        <w:t>杨虎</w:t>
      </w:r>
      <w:r>
        <w:rPr>
          <w:rFonts w:hint="eastAsia" w:ascii="黑体" w:hAnsi="黑体" w:eastAsia="黑体" w:cs="黑体"/>
          <w:lang w:val="en-US" w:eastAsia="zh-CN"/>
        </w:rPr>
        <w:t xml:space="preserve">  </w:t>
      </w:r>
      <w:r>
        <w:rPr>
          <w:rFonts w:hint="eastAsia" w:ascii="黑体" w:hAnsi="黑体" w:eastAsia="黑体" w:cs="黑体"/>
        </w:rPr>
        <w:t>陈雪锋</w:t>
      </w:r>
      <w:r>
        <w:rPr>
          <w:rFonts w:hint="eastAsia" w:ascii="黑体" w:hAnsi="黑体" w:eastAsia="黑体" w:cs="黑体"/>
          <w:lang w:val="en-US" w:eastAsia="zh-CN"/>
        </w:rPr>
        <w:t xml:space="preserve">  </w:t>
      </w:r>
      <w:r>
        <w:rPr>
          <w:rFonts w:hint="eastAsia" w:ascii="黑体" w:hAnsi="黑体" w:eastAsia="黑体" w:cs="黑体"/>
        </w:rPr>
        <w:t>杨清风</w:t>
      </w:r>
      <w:r>
        <w:rPr>
          <w:rFonts w:hint="eastAsia" w:ascii="黑体" w:hAnsi="黑体" w:eastAsia="黑体" w:cs="黑体"/>
          <w:lang w:val="en-US" w:eastAsia="zh-CN"/>
        </w:rPr>
        <w:t xml:space="preserve">  </w:t>
      </w:r>
      <w:r>
        <w:rPr>
          <w:rFonts w:hint="eastAsia" w:ascii="黑体" w:hAnsi="黑体" w:eastAsia="黑体" w:cs="黑体"/>
        </w:rPr>
        <w:t>李庆文</w:t>
      </w:r>
      <w:r>
        <w:rPr>
          <w:rFonts w:hint="eastAsia" w:ascii="黑体" w:hAnsi="黑体" w:eastAsia="黑体" w:cs="黑体"/>
          <w:lang w:val="en-US" w:eastAsia="zh-CN"/>
        </w:rPr>
        <w:t xml:space="preserve">  </w:t>
      </w:r>
      <w:r>
        <w:rPr>
          <w:rFonts w:hint="eastAsia" w:ascii="黑体" w:hAnsi="黑体" w:eastAsia="黑体" w:cs="黑体"/>
        </w:rPr>
        <w:t>蔡加兴</w:t>
      </w:r>
      <w:r>
        <w:rPr>
          <w:rFonts w:hint="eastAsia" w:ascii="黑体" w:hAnsi="黑体" w:eastAsia="黑体" w:cs="黑体"/>
          <w:lang w:val="en-US" w:eastAsia="zh-CN"/>
        </w:rPr>
        <w:t xml:space="preserve">  </w:t>
      </w:r>
      <w:r>
        <w:rPr>
          <w:rFonts w:hint="eastAsia" w:ascii="黑体" w:hAnsi="黑体" w:eastAsia="黑体" w:cs="黑体"/>
        </w:rPr>
        <w:t>马智法</w:t>
      </w:r>
    </w:p>
    <w:p>
      <w:pPr>
        <w:spacing w:line="360" w:lineRule="auto"/>
        <w:ind w:firstLine="420" w:firstLineChars="200"/>
      </w:pPr>
      <w:r>
        <w:rPr>
          <w:rFonts w:hint="eastAsia"/>
        </w:rPr>
        <w:t>本标准审查会议技术负责人：</w:t>
      </w:r>
    </w:p>
    <w:p>
      <w:pPr>
        <w:spacing w:line="360" w:lineRule="auto"/>
        <w:ind w:firstLine="420" w:firstLineChars="200"/>
        <w:rPr>
          <w:rFonts w:hint="eastAsia"/>
        </w:rPr>
      </w:pPr>
      <w:r>
        <w:rPr>
          <w:rFonts w:hint="eastAsia"/>
        </w:rPr>
        <w:t>本标准体例格式审查人：</w:t>
      </w:r>
    </w:p>
    <w:p>
      <w:pPr>
        <w:wordWrap w:val="0"/>
        <w:ind w:firstLine="420" w:firstLineChars="200"/>
        <w:rPr>
          <w:rFonts w:hint="eastAsia" w:ascii="宋体" w:hAnsi="宋体" w:cs="宋体"/>
          <w:color w:val="000000"/>
          <w:szCs w:val="21"/>
        </w:rPr>
      </w:pPr>
      <w:r>
        <w:rPr>
          <w:rFonts w:hint="eastAsia" w:ascii="宋体" w:hAnsi="宋体" w:cs="宋体"/>
          <w:color w:val="000000"/>
          <w:szCs w:val="21"/>
        </w:rPr>
        <w:t>本标准在执行过程中，请各单位注意总结经验，积累资料，随时将有关意见和建议反馈给水利部国际合作与科技司(通信地址:北京市西城区白广路二条2号；邮政编码：100053；电话：010-63204533；电子邮箱：bzh@mwr.gov.cn；网址：http://gjkj.mwr.gov.cn/jsjdl/bzcx/)。</w:t>
      </w:r>
    </w:p>
    <w:p>
      <w:pPr>
        <w:spacing w:line="360" w:lineRule="auto"/>
        <w:ind w:firstLine="420" w:firstLineChars="200"/>
        <w:rPr>
          <w:rFonts w:hint="eastAsia"/>
        </w:rPr>
      </w:pPr>
    </w:p>
    <w:p>
      <w:pPr>
        <w:sectPr>
          <w:headerReference r:id="rId8" w:type="default"/>
          <w:footerReference r:id="rId9" w:type="default"/>
          <w:pgSz w:w="11907" w:h="16839"/>
          <w:pgMar w:top="1440" w:right="1800" w:bottom="1440" w:left="1800" w:header="0" w:footer="737" w:gutter="0"/>
          <w:pgNumType w:fmt="upperRoman" w:start="1"/>
          <w:cols w:space="720" w:num="1"/>
          <w:docGrid w:linePitch="286" w:charSpace="0"/>
        </w:sectPr>
      </w:pPr>
      <w:r>
        <w:rPr>
          <w:rFonts w:hint="eastAsia"/>
        </w:rPr>
        <w:br w:type="page"/>
      </w:r>
    </w:p>
    <w:p>
      <w:pPr>
        <w:jc w:val="center"/>
        <w:rPr>
          <w:rFonts w:hint="eastAsia" w:ascii="仿宋" w:hAnsi="仿宋" w:eastAsia="仿宋" w:cs="仿宋"/>
          <w:sz w:val="28"/>
          <w:szCs w:val="28"/>
        </w:rPr>
      </w:pPr>
      <w:bookmarkStart w:id="5" w:name="_Toc14884"/>
      <w:bookmarkStart w:id="6" w:name="_Toc21131"/>
      <w:bookmarkStart w:id="7" w:name="_Toc17512"/>
      <w:bookmarkStart w:id="8" w:name="_Toc16736"/>
      <w:bookmarkStart w:id="9" w:name="_Toc27937"/>
      <w:bookmarkStart w:id="10" w:name="_Toc18079"/>
      <w:bookmarkStart w:id="11" w:name="_Toc6715"/>
      <w:bookmarkStart w:id="12" w:name="_Toc26488"/>
      <w:bookmarkStart w:id="13" w:name="_Toc10338"/>
      <w:bookmarkStart w:id="14" w:name="_Toc19739"/>
      <w:r>
        <w:rPr>
          <w:rFonts w:hint="eastAsia" w:ascii="仿宋" w:hAnsi="仿宋" w:eastAsia="仿宋" w:cs="仿宋"/>
          <w:sz w:val="28"/>
          <w:szCs w:val="28"/>
        </w:rPr>
        <w:t>目  次</w:t>
      </w:r>
      <w:bookmarkEnd w:id="5"/>
      <w:bookmarkEnd w:id="6"/>
      <w:bookmarkEnd w:id="7"/>
      <w:bookmarkEnd w:id="8"/>
      <w:bookmarkEnd w:id="9"/>
      <w:bookmarkEnd w:id="10"/>
      <w:bookmarkEnd w:id="11"/>
      <w:bookmarkEnd w:id="12"/>
      <w:bookmarkEnd w:id="13"/>
      <w:bookmarkEnd w:id="14"/>
    </w:p>
    <w:p>
      <w:pPr>
        <w:pStyle w:val="16"/>
        <w:tabs>
          <w:tab w:val="right" w:leader="dot" w:pos="8304"/>
        </w:tabs>
        <w:rPr>
          <w:rFonts w:hint="eastAsia" w:asciiTheme="minorEastAsia" w:hAnsiTheme="minorEastAsia" w:eastAsiaTheme="minorEastAsia" w:cstheme="minorEastAsia"/>
        </w:rPr>
      </w:pPr>
      <w:r>
        <w:rPr>
          <w:rFonts w:hint="eastAsia" w:asciiTheme="minorEastAsia" w:hAnsiTheme="minorEastAsia" w:eastAsiaTheme="minorEastAsia" w:cstheme="minorEastAsia"/>
          <w:szCs w:val="21"/>
        </w:rPr>
        <w:fldChar w:fldCharType="begin"/>
      </w:r>
      <w:r>
        <w:rPr>
          <w:rFonts w:hint="eastAsia" w:asciiTheme="minorEastAsia" w:hAnsiTheme="minorEastAsia" w:eastAsiaTheme="minorEastAsia" w:cstheme="minorEastAsia"/>
          <w:szCs w:val="21"/>
        </w:rPr>
        <w:instrText xml:space="preserve">TOC \o "1-4" \h \u </w:instrText>
      </w:r>
      <w:r>
        <w:rPr>
          <w:rFonts w:hint="eastAsia" w:asciiTheme="minorEastAsia" w:hAnsiTheme="minorEastAsia" w:eastAsiaTheme="minorEastAsia" w:cstheme="minorEastAsia"/>
          <w:szCs w:val="21"/>
        </w:rPr>
        <w:fldChar w:fldCharType="separate"/>
      </w:r>
      <w:r>
        <w:fldChar w:fldCharType="begin"/>
      </w:r>
      <w:r>
        <w:instrText xml:space="preserve"> HYPERLINK \l "_Toc9935" </w:instrText>
      </w:r>
      <w:r>
        <w:fldChar w:fldCharType="separate"/>
      </w:r>
      <w:r>
        <w:rPr>
          <w:rFonts w:hint="eastAsia" w:asciiTheme="minorEastAsia" w:hAnsiTheme="minorEastAsia" w:eastAsiaTheme="minorEastAsia" w:cstheme="minorEastAsia"/>
          <w:szCs w:val="28"/>
        </w:rPr>
        <w:t>1  总  则</w:t>
      </w:r>
      <w:r>
        <w:rPr>
          <w:rFonts w:hint="eastAsia" w:asciiTheme="minorEastAsia" w:hAnsiTheme="minorEastAsia" w:eastAsiaTheme="minorEastAsia" w:cstheme="minorEastAsia"/>
        </w:rPr>
        <w:tab/>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_Toc9935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1</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"_Toc28621" </w:instrText>
      </w:r>
      <w:r>
        <w:fldChar w:fldCharType="separate"/>
      </w:r>
      <w:r>
        <w:rPr>
          <w:rFonts w:hint="eastAsia" w:asciiTheme="minorEastAsia" w:hAnsiTheme="minorEastAsia" w:eastAsiaTheme="minorEastAsia" w:cstheme="minorEastAsia"/>
          <w:szCs w:val="28"/>
        </w:rPr>
        <w:t>2  术   语</w:t>
      </w:r>
      <w:r>
        <w:rPr>
          <w:rFonts w:hint="eastAsia" w:asciiTheme="minorEastAsia" w:hAnsiTheme="minorEastAsia" w:eastAsiaTheme="minorEastAsia" w:cstheme="minorEastAsia"/>
        </w:rPr>
        <w:tab/>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_Toc28621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4</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"_Toc14054" </w:instrText>
      </w:r>
      <w:r>
        <w:fldChar w:fldCharType="separate"/>
      </w:r>
      <w:r>
        <w:rPr>
          <w:rFonts w:hint="eastAsia" w:asciiTheme="minorEastAsia" w:hAnsiTheme="minorEastAsia" w:eastAsiaTheme="minorEastAsia" w:cstheme="minorEastAsia"/>
          <w:szCs w:val="28"/>
        </w:rPr>
        <w:t>3  基 本 规 定</w:t>
      </w:r>
      <w:r>
        <w:rPr>
          <w:rFonts w:hint="eastAsia" w:asciiTheme="minorEastAsia" w:hAnsiTheme="minorEastAsia" w:eastAsiaTheme="minorEastAsia" w:cstheme="minorEastAsia"/>
        </w:rPr>
        <w:tab/>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_Toc14054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5</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"_Toc21968" </w:instrText>
      </w:r>
      <w:r>
        <w:fldChar w:fldCharType="separate"/>
      </w:r>
      <w:r>
        <w:rPr>
          <w:rFonts w:hint="eastAsia" w:asciiTheme="minorEastAsia" w:hAnsiTheme="minorEastAsia" w:eastAsiaTheme="minorEastAsia" w:cstheme="minorEastAsia"/>
          <w:szCs w:val="28"/>
        </w:rPr>
        <w:t>4 地基与基础工程</w:t>
      </w:r>
      <w:r>
        <w:rPr>
          <w:rFonts w:hint="eastAsia" w:asciiTheme="minorEastAsia" w:hAnsiTheme="minorEastAsia" w:eastAsiaTheme="minorEastAsia" w:cstheme="minorEastAsia"/>
        </w:rPr>
        <w:tab/>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_Toc21968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6</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"_Toc19748" </w:instrText>
      </w:r>
      <w:r>
        <w:fldChar w:fldCharType="separate"/>
      </w:r>
      <w:r>
        <w:rPr>
          <w:rFonts w:hint="eastAsia" w:asciiTheme="minorEastAsia" w:hAnsiTheme="minorEastAsia" w:cstheme="minorEastAsia"/>
          <w:sz w:val="18"/>
          <w:szCs w:val="18"/>
        </w:rPr>
        <w:t>4.1 一般规定</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_Toc19748 \h </w:instrText>
      </w:r>
      <w:r>
        <w:rPr>
          <w:rFonts w:hint="eastAsia" w:asciiTheme="minorEastAsia" w:hAnsiTheme="minorEastAsia" w:cstheme="minorEastAsia"/>
        </w:rPr>
        <w:fldChar w:fldCharType="separate"/>
      </w:r>
      <w:r>
        <w:rPr>
          <w:rFonts w:hint="eastAsia" w:asciiTheme="minorEastAsia" w:hAnsiTheme="minorEastAsia" w:cstheme="minorEastAsia"/>
        </w:rPr>
        <w:t>6</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"_Toc6366" </w:instrText>
      </w:r>
      <w:r>
        <w:fldChar w:fldCharType="separate"/>
      </w:r>
      <w:r>
        <w:rPr>
          <w:rFonts w:hint="eastAsia" w:asciiTheme="minorEastAsia" w:hAnsiTheme="minorEastAsia" w:cstheme="minorEastAsia"/>
          <w:sz w:val="18"/>
          <w:szCs w:val="18"/>
        </w:rPr>
        <w:t>4.2  地基工程</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_Toc6366 \h </w:instrText>
      </w:r>
      <w:r>
        <w:rPr>
          <w:rFonts w:hint="eastAsia" w:asciiTheme="minorEastAsia" w:hAnsiTheme="minorEastAsia" w:cstheme="minorEastAsia"/>
        </w:rPr>
        <w:fldChar w:fldCharType="separate"/>
      </w:r>
      <w:r>
        <w:rPr>
          <w:rFonts w:hint="eastAsia" w:asciiTheme="minorEastAsia" w:hAnsiTheme="minorEastAsia" w:cstheme="minorEastAsia"/>
        </w:rPr>
        <w:t>6</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"_Toc22201" </w:instrText>
      </w:r>
      <w:r>
        <w:fldChar w:fldCharType="separate"/>
      </w:r>
      <w:r>
        <w:rPr>
          <w:rFonts w:hint="eastAsia" w:asciiTheme="minorEastAsia" w:hAnsiTheme="minorEastAsia" w:cstheme="minorEastAsia"/>
          <w:sz w:val="18"/>
          <w:szCs w:val="18"/>
        </w:rPr>
        <w:t>4.3  灌浆工程</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_Toc22201 \h </w:instrText>
      </w:r>
      <w:r>
        <w:rPr>
          <w:rFonts w:hint="eastAsia" w:asciiTheme="minorEastAsia" w:hAnsiTheme="minorEastAsia" w:cstheme="minorEastAsia"/>
        </w:rPr>
        <w:fldChar w:fldCharType="separate"/>
      </w:r>
      <w:r>
        <w:rPr>
          <w:rFonts w:hint="eastAsia" w:asciiTheme="minorEastAsia" w:hAnsiTheme="minorEastAsia" w:cstheme="minorEastAsia"/>
        </w:rPr>
        <w:t>7</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"_Toc22400" </w:instrText>
      </w:r>
      <w:r>
        <w:fldChar w:fldCharType="separate"/>
      </w:r>
      <w:r>
        <w:rPr>
          <w:rFonts w:hint="eastAsia" w:asciiTheme="minorEastAsia" w:hAnsiTheme="minorEastAsia" w:cstheme="minorEastAsia"/>
          <w:sz w:val="18"/>
          <w:szCs w:val="18"/>
        </w:rPr>
        <w:t>4.4  防 渗 墙</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_Toc22400 \h </w:instrText>
      </w:r>
      <w:r>
        <w:rPr>
          <w:rFonts w:hint="eastAsia" w:asciiTheme="minorEastAsia" w:hAnsiTheme="minorEastAsia" w:cstheme="minorEastAsia"/>
        </w:rPr>
        <w:fldChar w:fldCharType="separate"/>
      </w:r>
      <w:r>
        <w:rPr>
          <w:rFonts w:hint="eastAsia" w:asciiTheme="minorEastAsia" w:hAnsiTheme="minorEastAsia" w:cstheme="minorEastAsia"/>
        </w:rPr>
        <w:t>11</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"_Toc3544" </w:instrText>
      </w:r>
      <w:r>
        <w:fldChar w:fldCharType="separate"/>
      </w:r>
      <w:r>
        <w:rPr>
          <w:rFonts w:hint="eastAsia" w:asciiTheme="minorEastAsia" w:hAnsiTheme="minorEastAsia" w:cstheme="minorEastAsia"/>
          <w:sz w:val="18"/>
          <w:szCs w:val="18"/>
        </w:rPr>
        <w:t>4.5  基  桩</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_Toc3544 \h </w:instrText>
      </w:r>
      <w:r>
        <w:rPr>
          <w:rFonts w:hint="eastAsia" w:asciiTheme="minorEastAsia" w:hAnsiTheme="minorEastAsia" w:cstheme="minorEastAsia"/>
        </w:rPr>
        <w:fldChar w:fldCharType="separate"/>
      </w:r>
      <w:r>
        <w:rPr>
          <w:rFonts w:hint="eastAsia" w:asciiTheme="minorEastAsia" w:hAnsiTheme="minorEastAsia" w:cstheme="minorEastAsia"/>
        </w:rPr>
        <w:t>12</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"_Toc18870" </w:instrText>
      </w:r>
      <w:r>
        <w:fldChar w:fldCharType="separate"/>
      </w:r>
      <w:r>
        <w:rPr>
          <w:rFonts w:hint="eastAsia" w:asciiTheme="minorEastAsia" w:hAnsiTheme="minorEastAsia" w:cstheme="minorEastAsia"/>
          <w:sz w:val="18"/>
          <w:szCs w:val="18"/>
        </w:rPr>
        <w:t>4.6  支护工程</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_Toc18870 \h </w:instrText>
      </w:r>
      <w:r>
        <w:rPr>
          <w:rFonts w:hint="eastAsia" w:asciiTheme="minorEastAsia" w:hAnsiTheme="minorEastAsia" w:cstheme="minorEastAsia"/>
        </w:rPr>
        <w:fldChar w:fldCharType="separate"/>
      </w:r>
      <w:r>
        <w:rPr>
          <w:rFonts w:hint="eastAsia" w:asciiTheme="minorEastAsia" w:hAnsiTheme="minorEastAsia" w:cstheme="minorEastAsia"/>
        </w:rPr>
        <w:t>15</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"_Toc7830" </w:instrText>
      </w:r>
      <w:r>
        <w:fldChar w:fldCharType="separate"/>
      </w:r>
      <w:r>
        <w:rPr>
          <w:rFonts w:hint="eastAsia" w:asciiTheme="minorEastAsia" w:hAnsiTheme="minorEastAsia" w:eastAsiaTheme="minorEastAsia" w:cstheme="minorEastAsia"/>
          <w:szCs w:val="28"/>
        </w:rPr>
        <w:t>5  土石方工程</w:t>
      </w:r>
      <w:r>
        <w:rPr>
          <w:rFonts w:hint="eastAsia" w:asciiTheme="minorEastAsia" w:hAnsiTheme="minorEastAsia" w:eastAsiaTheme="minorEastAsia" w:cstheme="minorEastAsia"/>
        </w:rPr>
        <w:tab/>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_Toc7830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18</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"_Toc22266" </w:instrText>
      </w:r>
      <w:r>
        <w:fldChar w:fldCharType="separate"/>
      </w:r>
      <w:r>
        <w:rPr>
          <w:rFonts w:hint="eastAsia" w:asciiTheme="minorEastAsia" w:hAnsiTheme="minorEastAsia" w:cstheme="minorEastAsia"/>
          <w:sz w:val="18"/>
          <w:szCs w:val="18"/>
        </w:rPr>
        <w:t>5.1  一般规定</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_Toc22266 \h </w:instrText>
      </w:r>
      <w:r>
        <w:rPr>
          <w:rFonts w:hint="eastAsia" w:asciiTheme="minorEastAsia" w:hAnsiTheme="minorEastAsia" w:cstheme="minorEastAsia"/>
        </w:rPr>
        <w:fldChar w:fldCharType="separate"/>
      </w:r>
      <w:r>
        <w:rPr>
          <w:rFonts w:hint="eastAsia" w:asciiTheme="minorEastAsia" w:hAnsiTheme="minorEastAsia" w:cstheme="minorEastAsia"/>
        </w:rPr>
        <w:t>18</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"_Toc22388" </w:instrText>
      </w:r>
      <w:r>
        <w:fldChar w:fldCharType="separate"/>
      </w:r>
      <w:r>
        <w:rPr>
          <w:rFonts w:hint="eastAsia" w:asciiTheme="minorEastAsia" w:hAnsiTheme="minorEastAsia" w:cstheme="minorEastAsia"/>
          <w:sz w:val="18"/>
          <w:szCs w:val="18"/>
        </w:rPr>
        <w:t>5.2  土 石 坝</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_Toc22388 \h </w:instrText>
      </w:r>
      <w:r>
        <w:rPr>
          <w:rFonts w:hint="eastAsia" w:asciiTheme="minorEastAsia" w:hAnsiTheme="minorEastAsia" w:cstheme="minorEastAsia"/>
        </w:rPr>
        <w:fldChar w:fldCharType="separate"/>
      </w:r>
      <w:r>
        <w:rPr>
          <w:rFonts w:hint="eastAsia" w:asciiTheme="minorEastAsia" w:hAnsiTheme="minorEastAsia" w:cstheme="minorEastAsia"/>
        </w:rPr>
        <w:t>18</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"_Toc11528" </w:instrText>
      </w:r>
      <w:r>
        <w:fldChar w:fldCharType="separate"/>
      </w:r>
      <w:r>
        <w:rPr>
          <w:rFonts w:hint="eastAsia" w:asciiTheme="minorEastAsia" w:hAnsiTheme="minorEastAsia" w:cstheme="minorEastAsia"/>
          <w:sz w:val="18"/>
          <w:szCs w:val="18"/>
        </w:rPr>
        <w:t>5.3  堤防与渠道</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_Toc11528 \h </w:instrText>
      </w:r>
      <w:r>
        <w:rPr>
          <w:rFonts w:hint="eastAsia" w:asciiTheme="minorEastAsia" w:hAnsiTheme="minorEastAsia" w:cstheme="minorEastAsia"/>
        </w:rPr>
        <w:fldChar w:fldCharType="separate"/>
      </w:r>
      <w:r>
        <w:rPr>
          <w:rFonts w:hint="eastAsia" w:asciiTheme="minorEastAsia" w:hAnsiTheme="minorEastAsia" w:cstheme="minorEastAsia"/>
        </w:rPr>
        <w:t>19</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"_Toc27506" </w:instrText>
      </w:r>
      <w:r>
        <w:fldChar w:fldCharType="separate"/>
      </w:r>
      <w:r>
        <w:rPr>
          <w:rFonts w:hint="eastAsia" w:asciiTheme="minorEastAsia" w:hAnsiTheme="minorEastAsia" w:cstheme="minorEastAsia"/>
          <w:sz w:val="18"/>
          <w:szCs w:val="18"/>
        </w:rPr>
        <w:t>5.4  砌石工程</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_Toc27506 \h </w:instrText>
      </w:r>
      <w:r>
        <w:rPr>
          <w:rFonts w:hint="eastAsia" w:asciiTheme="minorEastAsia" w:hAnsiTheme="minorEastAsia" w:cstheme="minorEastAsia"/>
        </w:rPr>
        <w:fldChar w:fldCharType="separate"/>
      </w:r>
      <w:r>
        <w:rPr>
          <w:rFonts w:hint="eastAsia" w:asciiTheme="minorEastAsia" w:hAnsiTheme="minorEastAsia" w:cstheme="minorEastAsia"/>
        </w:rPr>
        <w:t>20</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"_Toc26161" </w:instrText>
      </w:r>
      <w:r>
        <w:fldChar w:fldCharType="separate"/>
      </w:r>
      <w:r>
        <w:rPr>
          <w:rFonts w:hint="eastAsia" w:asciiTheme="minorEastAsia" w:hAnsiTheme="minorEastAsia" w:eastAsiaTheme="minorEastAsia" w:cstheme="minorEastAsia"/>
          <w:szCs w:val="28"/>
        </w:rPr>
        <w:t>6  混凝土工程</w:t>
      </w:r>
      <w:r>
        <w:rPr>
          <w:rFonts w:hint="eastAsia" w:asciiTheme="minorEastAsia" w:hAnsiTheme="minorEastAsia" w:eastAsiaTheme="minorEastAsia" w:cstheme="minorEastAsia"/>
        </w:rPr>
        <w:tab/>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_Toc26161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22</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"_Toc14763" </w:instrText>
      </w:r>
      <w:r>
        <w:fldChar w:fldCharType="separate"/>
      </w:r>
      <w:r>
        <w:rPr>
          <w:rFonts w:hint="eastAsia" w:asciiTheme="minorEastAsia" w:hAnsiTheme="minorEastAsia" w:cstheme="minorEastAsia"/>
          <w:sz w:val="18"/>
          <w:szCs w:val="18"/>
        </w:rPr>
        <w:t>6.1  一般规定</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_Toc14763 \h </w:instrText>
      </w:r>
      <w:r>
        <w:rPr>
          <w:rFonts w:hint="eastAsia" w:asciiTheme="minorEastAsia" w:hAnsiTheme="minorEastAsia" w:cstheme="minorEastAsia"/>
        </w:rPr>
        <w:fldChar w:fldCharType="separate"/>
      </w:r>
      <w:r>
        <w:rPr>
          <w:rFonts w:hint="eastAsia" w:asciiTheme="minorEastAsia" w:hAnsiTheme="minorEastAsia" w:cstheme="minorEastAsia"/>
        </w:rPr>
        <w:t>22</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"_Toc777" </w:instrText>
      </w:r>
      <w:r>
        <w:fldChar w:fldCharType="separate"/>
      </w:r>
      <w:r>
        <w:rPr>
          <w:rFonts w:hint="eastAsia" w:asciiTheme="minorEastAsia" w:hAnsiTheme="minorEastAsia" w:cstheme="minorEastAsia"/>
          <w:sz w:val="18"/>
          <w:szCs w:val="18"/>
        </w:rPr>
        <w:t>6.2  混凝土坝</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_Toc777 \h </w:instrText>
      </w:r>
      <w:r>
        <w:rPr>
          <w:rFonts w:hint="eastAsia" w:asciiTheme="minorEastAsia" w:hAnsiTheme="minorEastAsia" w:cstheme="minorEastAsia"/>
        </w:rPr>
        <w:fldChar w:fldCharType="separate"/>
      </w:r>
      <w:r>
        <w:rPr>
          <w:rFonts w:hint="eastAsia" w:asciiTheme="minorEastAsia" w:hAnsiTheme="minorEastAsia" w:cstheme="minorEastAsia"/>
        </w:rPr>
        <w:t>24</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"_Toc28349" </w:instrText>
      </w:r>
      <w:r>
        <w:fldChar w:fldCharType="separate"/>
      </w:r>
      <w:r>
        <w:rPr>
          <w:rFonts w:hint="eastAsia" w:asciiTheme="minorEastAsia" w:hAnsiTheme="minorEastAsia" w:cstheme="minorEastAsia"/>
          <w:sz w:val="18"/>
          <w:szCs w:val="18"/>
        </w:rPr>
        <w:t>6.3  水   闸</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_Toc28349 \h </w:instrText>
      </w:r>
      <w:r>
        <w:rPr>
          <w:rFonts w:hint="eastAsia" w:asciiTheme="minorEastAsia" w:hAnsiTheme="minorEastAsia" w:cstheme="minorEastAsia"/>
        </w:rPr>
        <w:fldChar w:fldCharType="separate"/>
      </w:r>
      <w:r>
        <w:rPr>
          <w:rFonts w:hint="eastAsia" w:asciiTheme="minorEastAsia" w:hAnsiTheme="minorEastAsia" w:cstheme="minorEastAsia"/>
        </w:rPr>
        <w:t>25</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"_Toc23206" </w:instrText>
      </w:r>
      <w:r>
        <w:fldChar w:fldCharType="separate"/>
      </w:r>
      <w:r>
        <w:rPr>
          <w:rFonts w:hint="eastAsia" w:asciiTheme="minorEastAsia" w:hAnsiTheme="minorEastAsia" w:cstheme="minorEastAsia"/>
          <w:sz w:val="18"/>
          <w:szCs w:val="18"/>
        </w:rPr>
        <w:t>6.4  泵站、电站</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_Toc23206 \h </w:instrText>
      </w:r>
      <w:r>
        <w:rPr>
          <w:rFonts w:hint="eastAsia" w:asciiTheme="minorEastAsia" w:hAnsiTheme="minorEastAsia" w:cstheme="minorEastAsia"/>
        </w:rPr>
        <w:fldChar w:fldCharType="separate"/>
      </w:r>
      <w:r>
        <w:rPr>
          <w:rFonts w:hint="eastAsia" w:asciiTheme="minorEastAsia" w:hAnsiTheme="minorEastAsia" w:cstheme="minorEastAsia"/>
        </w:rPr>
        <w:t>26</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"_Toc13967" </w:instrText>
      </w:r>
      <w:r>
        <w:fldChar w:fldCharType="separate"/>
      </w:r>
      <w:r>
        <w:rPr>
          <w:rFonts w:hint="eastAsia" w:asciiTheme="minorEastAsia" w:hAnsiTheme="minorEastAsia" w:cstheme="minorEastAsia"/>
          <w:sz w:val="18"/>
          <w:szCs w:val="18"/>
        </w:rPr>
        <w:t>6.5  输水建筑物</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_Toc13967 \h </w:instrText>
      </w:r>
      <w:r>
        <w:rPr>
          <w:rFonts w:hint="eastAsia" w:asciiTheme="minorEastAsia" w:hAnsiTheme="minorEastAsia" w:cstheme="minorEastAsia"/>
        </w:rPr>
        <w:fldChar w:fldCharType="separate"/>
      </w:r>
      <w:r>
        <w:rPr>
          <w:rFonts w:hint="eastAsia" w:asciiTheme="minorEastAsia" w:hAnsiTheme="minorEastAsia" w:cstheme="minorEastAsia"/>
        </w:rPr>
        <w:t>27</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"_Toc32213" </w:instrText>
      </w:r>
      <w:r>
        <w:fldChar w:fldCharType="separate"/>
      </w:r>
      <w:r>
        <w:rPr>
          <w:rFonts w:hint="eastAsia" w:asciiTheme="minorEastAsia" w:hAnsiTheme="minorEastAsia" w:cstheme="minorEastAsia"/>
          <w:sz w:val="18"/>
          <w:szCs w:val="18"/>
        </w:rPr>
        <w:t>6.6  通航、过鱼设施</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_Toc32213 \h </w:instrText>
      </w:r>
      <w:r>
        <w:rPr>
          <w:rFonts w:hint="eastAsia" w:asciiTheme="minorEastAsia" w:hAnsiTheme="minorEastAsia" w:cstheme="minorEastAsia"/>
        </w:rPr>
        <w:fldChar w:fldCharType="separate"/>
      </w:r>
      <w:r>
        <w:rPr>
          <w:rFonts w:hint="eastAsia" w:asciiTheme="minorEastAsia" w:hAnsiTheme="minorEastAsia" w:cstheme="minorEastAsia"/>
        </w:rPr>
        <w:t>27</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"_Toc10550" </w:instrText>
      </w:r>
      <w:r>
        <w:fldChar w:fldCharType="separate"/>
      </w:r>
      <w:r>
        <w:rPr>
          <w:rFonts w:hint="eastAsia" w:asciiTheme="minorEastAsia" w:hAnsiTheme="minorEastAsia" w:cstheme="minorEastAsia"/>
          <w:sz w:val="18"/>
          <w:szCs w:val="18"/>
        </w:rPr>
        <w:t>6.7  水下建筑物表观缺陷检测</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_Toc10550 \h </w:instrText>
      </w:r>
      <w:r>
        <w:rPr>
          <w:rFonts w:hint="eastAsia" w:asciiTheme="minorEastAsia" w:hAnsiTheme="minorEastAsia" w:cstheme="minorEastAsia"/>
        </w:rPr>
        <w:fldChar w:fldCharType="separate"/>
      </w:r>
      <w:r>
        <w:rPr>
          <w:rFonts w:hint="eastAsia" w:asciiTheme="minorEastAsia" w:hAnsiTheme="minorEastAsia" w:cstheme="minorEastAsia"/>
        </w:rPr>
        <w:t>28</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"_Toc11496" </w:instrText>
      </w:r>
      <w:r>
        <w:fldChar w:fldCharType="separate"/>
      </w:r>
      <w:r>
        <w:rPr>
          <w:rFonts w:hint="eastAsia" w:asciiTheme="minorEastAsia" w:hAnsiTheme="minorEastAsia" w:eastAsiaTheme="minorEastAsia" w:cstheme="minorEastAsia"/>
          <w:szCs w:val="28"/>
        </w:rPr>
        <w:t>7  金属结构</w:t>
      </w:r>
      <w:r>
        <w:rPr>
          <w:rFonts w:hint="eastAsia" w:asciiTheme="minorEastAsia" w:hAnsiTheme="minorEastAsia" w:eastAsiaTheme="minorEastAsia" w:cstheme="minorEastAsia"/>
        </w:rPr>
        <w:tab/>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_Toc11496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29</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"_Toc13316" </w:instrText>
      </w:r>
      <w:r>
        <w:fldChar w:fldCharType="separate"/>
      </w:r>
      <w:r>
        <w:rPr>
          <w:rFonts w:hint="eastAsia" w:asciiTheme="minorEastAsia" w:hAnsiTheme="minorEastAsia" w:cstheme="minorEastAsia"/>
          <w:sz w:val="18"/>
          <w:szCs w:val="18"/>
        </w:rPr>
        <w:t>7.1  一般规定</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_Toc13316 \h </w:instrText>
      </w:r>
      <w:r>
        <w:rPr>
          <w:rFonts w:hint="eastAsia" w:asciiTheme="minorEastAsia" w:hAnsiTheme="minorEastAsia" w:cstheme="minorEastAsia"/>
        </w:rPr>
        <w:fldChar w:fldCharType="separate"/>
      </w:r>
      <w:r>
        <w:rPr>
          <w:rFonts w:hint="eastAsia" w:asciiTheme="minorEastAsia" w:hAnsiTheme="minorEastAsia" w:cstheme="minorEastAsia"/>
        </w:rPr>
        <w:t>29</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"_Toc15630" </w:instrText>
      </w:r>
      <w:r>
        <w:fldChar w:fldCharType="separate"/>
      </w:r>
      <w:r>
        <w:rPr>
          <w:rFonts w:hint="eastAsia" w:asciiTheme="minorEastAsia" w:hAnsiTheme="minorEastAsia" w:cstheme="minorEastAsia"/>
          <w:sz w:val="18"/>
          <w:szCs w:val="18"/>
        </w:rPr>
        <w:t>7.2  闸  门</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_Toc15630 \h </w:instrText>
      </w:r>
      <w:r>
        <w:rPr>
          <w:rFonts w:hint="eastAsia" w:asciiTheme="minorEastAsia" w:hAnsiTheme="minorEastAsia" w:cstheme="minorEastAsia"/>
        </w:rPr>
        <w:fldChar w:fldCharType="separate"/>
      </w:r>
      <w:r>
        <w:rPr>
          <w:rFonts w:hint="eastAsia" w:asciiTheme="minorEastAsia" w:hAnsiTheme="minorEastAsia" w:cstheme="minorEastAsia"/>
        </w:rPr>
        <w:t>30</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"_Toc2051" </w:instrText>
      </w:r>
      <w:r>
        <w:fldChar w:fldCharType="separate"/>
      </w:r>
      <w:r>
        <w:rPr>
          <w:rFonts w:hint="eastAsia" w:asciiTheme="minorEastAsia" w:hAnsiTheme="minorEastAsia" w:cstheme="minorEastAsia"/>
          <w:sz w:val="18"/>
          <w:szCs w:val="18"/>
        </w:rPr>
        <w:t>7.3  压力钢管</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_Toc2051 \h </w:instrText>
      </w:r>
      <w:r>
        <w:rPr>
          <w:rFonts w:hint="eastAsia" w:asciiTheme="minorEastAsia" w:hAnsiTheme="minorEastAsia" w:cstheme="minorEastAsia"/>
        </w:rPr>
        <w:fldChar w:fldCharType="separate"/>
      </w:r>
      <w:r>
        <w:rPr>
          <w:rFonts w:hint="eastAsia" w:asciiTheme="minorEastAsia" w:hAnsiTheme="minorEastAsia" w:cstheme="minorEastAsia"/>
        </w:rPr>
        <w:t>31</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"_Toc29014" </w:instrText>
      </w:r>
      <w:r>
        <w:fldChar w:fldCharType="separate"/>
      </w:r>
      <w:r>
        <w:rPr>
          <w:rFonts w:hint="eastAsia" w:asciiTheme="minorEastAsia" w:hAnsiTheme="minorEastAsia" w:cstheme="minorEastAsia"/>
          <w:sz w:val="18"/>
          <w:szCs w:val="18"/>
        </w:rPr>
        <w:t>7.4  启 闭 机</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_Toc29014 \h </w:instrText>
      </w:r>
      <w:r>
        <w:rPr>
          <w:rFonts w:hint="eastAsia" w:asciiTheme="minorEastAsia" w:hAnsiTheme="minorEastAsia" w:cstheme="minorEastAsia"/>
        </w:rPr>
        <w:fldChar w:fldCharType="separate"/>
      </w:r>
      <w:r>
        <w:rPr>
          <w:rFonts w:hint="eastAsia" w:asciiTheme="minorEastAsia" w:hAnsiTheme="minorEastAsia" w:cstheme="minorEastAsia"/>
        </w:rPr>
        <w:t>32</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"_Toc8564" </w:instrText>
      </w:r>
      <w:r>
        <w:fldChar w:fldCharType="separate"/>
      </w:r>
      <w:r>
        <w:rPr>
          <w:rFonts w:hint="eastAsia" w:asciiTheme="minorEastAsia" w:hAnsiTheme="minorEastAsia" w:cstheme="minorEastAsia"/>
          <w:sz w:val="18"/>
          <w:szCs w:val="18"/>
        </w:rPr>
        <w:t>7.5  清 污 机</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_Toc8564 \h </w:instrText>
      </w:r>
      <w:r>
        <w:rPr>
          <w:rFonts w:hint="eastAsia" w:asciiTheme="minorEastAsia" w:hAnsiTheme="minorEastAsia" w:cstheme="minorEastAsia"/>
        </w:rPr>
        <w:fldChar w:fldCharType="separate"/>
      </w:r>
      <w:r>
        <w:rPr>
          <w:rFonts w:hint="eastAsia" w:asciiTheme="minorEastAsia" w:hAnsiTheme="minorEastAsia" w:cstheme="minorEastAsia"/>
        </w:rPr>
        <w:t>33</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"_Toc11462" </w:instrText>
      </w:r>
      <w:r>
        <w:fldChar w:fldCharType="separate"/>
      </w:r>
      <w:r>
        <w:rPr>
          <w:rFonts w:hint="eastAsia" w:asciiTheme="minorEastAsia" w:hAnsiTheme="minorEastAsia" w:eastAsiaTheme="minorEastAsia" w:cstheme="minorEastAsia"/>
          <w:szCs w:val="28"/>
        </w:rPr>
        <w:t>8   机 械 电 气</w:t>
      </w:r>
      <w:r>
        <w:rPr>
          <w:rFonts w:hint="eastAsia" w:asciiTheme="minorEastAsia" w:hAnsiTheme="minorEastAsia" w:eastAsiaTheme="minorEastAsia" w:cstheme="minorEastAsia"/>
        </w:rPr>
        <w:tab/>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_Toc11462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36</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"_Toc22529" </w:instrText>
      </w:r>
      <w:r>
        <w:fldChar w:fldCharType="separate"/>
      </w:r>
      <w:r>
        <w:rPr>
          <w:rFonts w:hint="eastAsia" w:asciiTheme="minorEastAsia" w:hAnsiTheme="minorEastAsia" w:cstheme="minorEastAsia"/>
          <w:sz w:val="18"/>
          <w:szCs w:val="18"/>
        </w:rPr>
        <w:t>8.1  一般规定</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_Toc22529 \h </w:instrText>
      </w:r>
      <w:r>
        <w:rPr>
          <w:rFonts w:hint="eastAsia" w:asciiTheme="minorEastAsia" w:hAnsiTheme="minorEastAsia" w:cstheme="minorEastAsia"/>
        </w:rPr>
        <w:fldChar w:fldCharType="separate"/>
      </w:r>
      <w:r>
        <w:rPr>
          <w:rFonts w:hint="eastAsia" w:asciiTheme="minorEastAsia" w:hAnsiTheme="minorEastAsia" w:cstheme="minorEastAsia"/>
        </w:rPr>
        <w:t>36</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"_Toc20012" </w:instrText>
      </w:r>
      <w:r>
        <w:fldChar w:fldCharType="separate"/>
      </w:r>
      <w:r>
        <w:rPr>
          <w:rFonts w:hint="eastAsia" w:asciiTheme="minorEastAsia" w:hAnsiTheme="minorEastAsia" w:cstheme="minorEastAsia"/>
          <w:sz w:val="18"/>
          <w:szCs w:val="18"/>
        </w:rPr>
        <w:t>8.2  水力机械及附属设备</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_Toc20012 \h </w:instrText>
      </w:r>
      <w:r>
        <w:rPr>
          <w:rFonts w:hint="eastAsia" w:asciiTheme="minorEastAsia" w:hAnsiTheme="minorEastAsia" w:cstheme="minorEastAsia"/>
        </w:rPr>
        <w:fldChar w:fldCharType="separate"/>
      </w:r>
      <w:r>
        <w:rPr>
          <w:rFonts w:hint="eastAsia" w:asciiTheme="minorEastAsia" w:hAnsiTheme="minorEastAsia" w:cstheme="minorEastAsia"/>
        </w:rPr>
        <w:t>36</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"_Toc9668" </w:instrText>
      </w:r>
      <w:r>
        <w:fldChar w:fldCharType="separate"/>
      </w:r>
      <w:r>
        <w:rPr>
          <w:rFonts w:hint="eastAsia" w:asciiTheme="minorEastAsia" w:hAnsiTheme="minorEastAsia" w:cstheme="minorEastAsia"/>
          <w:sz w:val="18"/>
          <w:szCs w:val="18"/>
        </w:rPr>
        <w:t>8.3  电机及附属设备</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_Toc9668 \h </w:instrText>
      </w:r>
      <w:r>
        <w:rPr>
          <w:rFonts w:hint="eastAsia" w:asciiTheme="minorEastAsia" w:hAnsiTheme="minorEastAsia" w:cstheme="minorEastAsia"/>
        </w:rPr>
        <w:fldChar w:fldCharType="separate"/>
      </w:r>
      <w:r>
        <w:rPr>
          <w:rFonts w:hint="eastAsia" w:asciiTheme="minorEastAsia" w:hAnsiTheme="minorEastAsia" w:cstheme="minorEastAsia"/>
        </w:rPr>
        <w:t>41</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"_Toc19359" </w:instrText>
      </w:r>
      <w:r>
        <w:fldChar w:fldCharType="separate"/>
      </w:r>
      <w:r>
        <w:rPr>
          <w:rFonts w:hint="eastAsia" w:asciiTheme="minorEastAsia" w:hAnsiTheme="minorEastAsia" w:cstheme="minorEastAsia"/>
          <w:sz w:val="18"/>
          <w:szCs w:val="18"/>
        </w:rPr>
        <w:t>8.4  高压电气设备</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_Toc19359 \h </w:instrText>
      </w:r>
      <w:r>
        <w:rPr>
          <w:rFonts w:hint="eastAsia" w:asciiTheme="minorEastAsia" w:hAnsiTheme="minorEastAsia" w:cstheme="minorEastAsia"/>
        </w:rPr>
        <w:fldChar w:fldCharType="separate"/>
      </w:r>
      <w:r>
        <w:rPr>
          <w:rFonts w:hint="eastAsia" w:asciiTheme="minorEastAsia" w:hAnsiTheme="minorEastAsia" w:cstheme="minorEastAsia"/>
        </w:rPr>
        <w:t>44</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"_Toc857" </w:instrText>
      </w:r>
      <w:r>
        <w:fldChar w:fldCharType="separate"/>
      </w:r>
      <w:r>
        <w:rPr>
          <w:rFonts w:hint="eastAsia" w:asciiTheme="minorEastAsia" w:hAnsiTheme="minorEastAsia" w:cstheme="minorEastAsia"/>
          <w:sz w:val="18"/>
          <w:szCs w:val="18"/>
        </w:rPr>
        <w:t>8.5  电气二次设备</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_Toc857 \h </w:instrText>
      </w:r>
      <w:r>
        <w:rPr>
          <w:rFonts w:hint="eastAsia" w:asciiTheme="minorEastAsia" w:hAnsiTheme="minorEastAsia" w:cstheme="minorEastAsia"/>
        </w:rPr>
        <w:fldChar w:fldCharType="separate"/>
      </w:r>
      <w:r>
        <w:rPr>
          <w:rFonts w:hint="eastAsia" w:asciiTheme="minorEastAsia" w:hAnsiTheme="minorEastAsia" w:cstheme="minorEastAsia"/>
        </w:rPr>
        <w:t>45</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"_Toc4798" </w:instrText>
      </w:r>
      <w:r>
        <w:fldChar w:fldCharType="separate"/>
      </w:r>
      <w:r>
        <w:rPr>
          <w:rFonts w:hint="eastAsia" w:asciiTheme="minorEastAsia" w:hAnsiTheme="minorEastAsia" w:eastAsiaTheme="minorEastAsia" w:cstheme="minorEastAsia"/>
          <w:szCs w:val="28"/>
        </w:rPr>
        <w:t>9  外观测量</w:t>
      </w:r>
      <w:r>
        <w:rPr>
          <w:rFonts w:hint="eastAsia" w:asciiTheme="minorEastAsia" w:hAnsiTheme="minorEastAsia" w:eastAsiaTheme="minorEastAsia" w:cstheme="minorEastAsia"/>
        </w:rPr>
        <w:tab/>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_Toc4798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47</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"_Toc27015" </w:instrText>
      </w:r>
      <w:r>
        <w:fldChar w:fldCharType="separate"/>
      </w:r>
      <w:r>
        <w:rPr>
          <w:rFonts w:hint="eastAsia" w:asciiTheme="minorEastAsia" w:hAnsiTheme="minorEastAsia" w:cstheme="minorEastAsia"/>
          <w:sz w:val="18"/>
          <w:szCs w:val="18"/>
        </w:rPr>
        <w:t>9.1  一般规定</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_Toc27015 \h </w:instrText>
      </w:r>
      <w:r>
        <w:rPr>
          <w:rFonts w:hint="eastAsia" w:asciiTheme="minorEastAsia" w:hAnsiTheme="minorEastAsia" w:cstheme="minorEastAsia"/>
        </w:rPr>
        <w:fldChar w:fldCharType="separate"/>
      </w:r>
      <w:r>
        <w:rPr>
          <w:rFonts w:hint="eastAsia" w:asciiTheme="minorEastAsia" w:hAnsiTheme="minorEastAsia" w:cstheme="minorEastAsia"/>
        </w:rPr>
        <w:t>47</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"_Toc7216" </w:instrText>
      </w:r>
      <w:r>
        <w:fldChar w:fldCharType="separate"/>
      </w:r>
      <w:r>
        <w:rPr>
          <w:rFonts w:hint="eastAsia" w:asciiTheme="minorEastAsia" w:hAnsiTheme="minorEastAsia" w:cstheme="minorEastAsia"/>
          <w:sz w:val="18"/>
          <w:szCs w:val="18"/>
        </w:rPr>
        <w:t>9.2  检测项目及布置</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_Toc7216 \h </w:instrText>
      </w:r>
      <w:r>
        <w:rPr>
          <w:rFonts w:hint="eastAsia" w:asciiTheme="minorEastAsia" w:hAnsiTheme="minorEastAsia" w:cstheme="minorEastAsia"/>
        </w:rPr>
        <w:fldChar w:fldCharType="separate"/>
      </w:r>
      <w:r>
        <w:rPr>
          <w:rFonts w:hint="eastAsia" w:asciiTheme="minorEastAsia" w:hAnsiTheme="minorEastAsia" w:cstheme="minorEastAsia"/>
        </w:rPr>
        <w:t>47</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"_Toc19796" </w:instrText>
      </w:r>
      <w:r>
        <w:fldChar w:fldCharType="separate"/>
      </w:r>
      <w:r>
        <w:rPr>
          <w:rFonts w:hint="eastAsia" w:asciiTheme="minorEastAsia" w:hAnsiTheme="minorEastAsia" w:cstheme="minorEastAsia"/>
          <w:sz w:val="18"/>
          <w:szCs w:val="18"/>
        </w:rPr>
        <w:t>9.3  检测方法</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_Toc19796 \h </w:instrText>
      </w:r>
      <w:r>
        <w:rPr>
          <w:rFonts w:hint="eastAsia" w:asciiTheme="minorEastAsia" w:hAnsiTheme="minorEastAsia" w:cstheme="minorEastAsia"/>
        </w:rPr>
        <w:fldChar w:fldCharType="separate"/>
      </w:r>
      <w:r>
        <w:rPr>
          <w:rFonts w:hint="eastAsia" w:asciiTheme="minorEastAsia" w:hAnsiTheme="minorEastAsia" w:cstheme="minorEastAsia"/>
        </w:rPr>
        <w:t>49</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"_Toc21502" </w:instrText>
      </w:r>
      <w:r>
        <w:fldChar w:fldCharType="separate"/>
      </w:r>
      <w:r>
        <w:rPr>
          <w:rFonts w:hint="eastAsia" w:asciiTheme="minorEastAsia" w:hAnsiTheme="minorEastAsia" w:cstheme="minorEastAsia"/>
          <w:sz w:val="18"/>
          <w:szCs w:val="18"/>
        </w:rPr>
        <w:t>9.4  结果评价</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_Toc21502 \h </w:instrText>
      </w:r>
      <w:r>
        <w:rPr>
          <w:rFonts w:hint="eastAsia" w:asciiTheme="minorEastAsia" w:hAnsiTheme="minorEastAsia" w:cstheme="minorEastAsia"/>
        </w:rPr>
        <w:fldChar w:fldCharType="separate"/>
      </w:r>
      <w:r>
        <w:rPr>
          <w:rFonts w:hint="eastAsia" w:asciiTheme="minorEastAsia" w:hAnsiTheme="minorEastAsia" w:cstheme="minorEastAsia"/>
        </w:rPr>
        <w:t>49</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"_Toc20850" </w:instrText>
      </w:r>
      <w:r>
        <w:fldChar w:fldCharType="separate"/>
      </w:r>
      <w:r>
        <w:rPr>
          <w:rFonts w:hint="eastAsia" w:asciiTheme="minorEastAsia" w:hAnsiTheme="minorEastAsia" w:eastAsiaTheme="minorEastAsia" w:cstheme="minorEastAsia"/>
          <w:szCs w:val="28"/>
        </w:rPr>
        <w:t>10  信息化系统</w:t>
      </w:r>
      <w:r>
        <w:rPr>
          <w:rFonts w:hint="eastAsia" w:asciiTheme="minorEastAsia" w:hAnsiTheme="minorEastAsia" w:eastAsiaTheme="minorEastAsia" w:cstheme="minorEastAsia"/>
        </w:rPr>
        <w:tab/>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_Toc20850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52</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"_Toc17835" </w:instrText>
      </w:r>
      <w:r>
        <w:fldChar w:fldCharType="separate"/>
      </w:r>
      <w:r>
        <w:rPr>
          <w:rFonts w:hint="eastAsia" w:asciiTheme="minorEastAsia" w:hAnsiTheme="minorEastAsia" w:cstheme="minorEastAsia"/>
          <w:sz w:val="18"/>
          <w:szCs w:val="18"/>
        </w:rPr>
        <w:t>10.1  一般规定</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_Toc17835 \h </w:instrText>
      </w:r>
      <w:r>
        <w:rPr>
          <w:rFonts w:hint="eastAsia" w:asciiTheme="minorEastAsia" w:hAnsiTheme="minorEastAsia" w:cstheme="minorEastAsia"/>
        </w:rPr>
        <w:fldChar w:fldCharType="separate"/>
      </w:r>
      <w:r>
        <w:rPr>
          <w:rFonts w:hint="eastAsia" w:asciiTheme="minorEastAsia" w:hAnsiTheme="minorEastAsia" w:cstheme="minorEastAsia"/>
        </w:rPr>
        <w:t>52</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"_Toc112" </w:instrText>
      </w:r>
      <w:r>
        <w:fldChar w:fldCharType="separate"/>
      </w:r>
      <w:r>
        <w:rPr>
          <w:rFonts w:hint="eastAsia" w:asciiTheme="minorEastAsia" w:hAnsiTheme="minorEastAsia" w:cstheme="minorEastAsia"/>
          <w:sz w:val="18"/>
          <w:szCs w:val="18"/>
        </w:rPr>
        <w:t>10.2  感知系统</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_Toc112 \h </w:instrText>
      </w:r>
      <w:r>
        <w:rPr>
          <w:rFonts w:hint="eastAsia" w:asciiTheme="minorEastAsia" w:hAnsiTheme="minorEastAsia" w:cstheme="minorEastAsia"/>
        </w:rPr>
        <w:fldChar w:fldCharType="separate"/>
      </w:r>
      <w:r>
        <w:rPr>
          <w:rFonts w:hint="eastAsia" w:asciiTheme="minorEastAsia" w:hAnsiTheme="minorEastAsia" w:cstheme="minorEastAsia"/>
        </w:rPr>
        <w:t>52</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"_Toc12868" </w:instrText>
      </w:r>
      <w:r>
        <w:fldChar w:fldCharType="separate"/>
      </w:r>
      <w:r>
        <w:rPr>
          <w:rFonts w:hint="eastAsia" w:asciiTheme="minorEastAsia" w:hAnsiTheme="minorEastAsia" w:cstheme="minorEastAsia"/>
          <w:sz w:val="18"/>
          <w:szCs w:val="18"/>
        </w:rPr>
        <w:t>10.3  系统和应用软件</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_Toc12868 \h </w:instrText>
      </w:r>
      <w:r>
        <w:rPr>
          <w:rFonts w:hint="eastAsia" w:asciiTheme="minorEastAsia" w:hAnsiTheme="minorEastAsia" w:cstheme="minorEastAsia"/>
        </w:rPr>
        <w:fldChar w:fldCharType="separate"/>
      </w:r>
      <w:r>
        <w:rPr>
          <w:rFonts w:hint="eastAsia" w:asciiTheme="minorEastAsia" w:hAnsiTheme="minorEastAsia" w:cstheme="minorEastAsia"/>
        </w:rPr>
        <w:t>53</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"_Toc15632" </w:instrText>
      </w:r>
      <w:r>
        <w:fldChar w:fldCharType="separate"/>
      </w:r>
      <w:r>
        <w:rPr>
          <w:rFonts w:hint="eastAsia" w:asciiTheme="minorEastAsia" w:hAnsiTheme="minorEastAsia" w:cstheme="minorEastAsia"/>
          <w:sz w:val="18"/>
          <w:szCs w:val="18"/>
        </w:rPr>
        <w:t>10.4  硬件设施</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_Toc15632 \h </w:instrText>
      </w:r>
      <w:r>
        <w:rPr>
          <w:rFonts w:hint="eastAsia" w:asciiTheme="minorEastAsia" w:hAnsiTheme="minorEastAsia" w:cstheme="minorEastAsia"/>
        </w:rPr>
        <w:fldChar w:fldCharType="separate"/>
      </w:r>
      <w:r>
        <w:rPr>
          <w:rFonts w:hint="eastAsia" w:asciiTheme="minorEastAsia" w:hAnsiTheme="minorEastAsia" w:cstheme="minorEastAsia"/>
        </w:rPr>
        <w:t>53</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"_Toc10173" </w:instrText>
      </w:r>
      <w:r>
        <w:fldChar w:fldCharType="separate"/>
      </w:r>
      <w:r>
        <w:rPr>
          <w:rFonts w:hint="eastAsia" w:asciiTheme="minorEastAsia" w:hAnsiTheme="minorEastAsia" w:cstheme="minorEastAsia"/>
          <w:sz w:val="18"/>
          <w:szCs w:val="18"/>
        </w:rPr>
        <w:t>10.5  数据资源</w:t>
      </w:r>
      <w:r>
        <w:rPr>
          <w:rFonts w:hint="eastAsia" w:asciiTheme="minorEastAsia" w:hAnsiTheme="minorEastAsia" w:cstheme="minorEastAsia"/>
        </w:rPr>
        <w:tab/>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_Toc10173 \h </w:instrText>
      </w:r>
      <w:r>
        <w:rPr>
          <w:rFonts w:hint="eastAsia" w:asciiTheme="minorEastAsia" w:hAnsiTheme="minorEastAsia" w:cstheme="minorEastAsia"/>
        </w:rPr>
        <w:fldChar w:fldCharType="separate"/>
      </w:r>
      <w:r>
        <w:rPr>
          <w:rFonts w:hint="eastAsia" w:asciiTheme="minorEastAsia" w:hAnsiTheme="minorEastAsia" w:cstheme="minorEastAsia"/>
        </w:rPr>
        <w:t>54</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"_Toc17075" </w:instrText>
      </w:r>
      <w:r>
        <w:fldChar w:fldCharType="separate"/>
      </w:r>
      <w:r>
        <w:rPr>
          <w:rFonts w:hint="eastAsia" w:asciiTheme="minorEastAsia" w:hAnsiTheme="minorEastAsia" w:eastAsiaTheme="minorEastAsia" w:cstheme="minorEastAsia"/>
          <w:szCs w:val="28"/>
        </w:rPr>
        <w:t>附录 A  质量检测单位检测工作流程</w:t>
      </w:r>
      <w:r>
        <w:rPr>
          <w:rFonts w:hint="eastAsia" w:asciiTheme="minorEastAsia" w:hAnsiTheme="minorEastAsia" w:eastAsiaTheme="minorEastAsia" w:cstheme="minorEastAsia"/>
        </w:rPr>
        <w:tab/>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_Toc17075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55</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"_Toc11343" </w:instrText>
      </w:r>
      <w:r>
        <w:fldChar w:fldCharType="separate"/>
      </w:r>
      <w:r>
        <w:rPr>
          <w:rFonts w:hint="eastAsia" w:asciiTheme="minorEastAsia" w:hAnsiTheme="minorEastAsia" w:eastAsiaTheme="minorEastAsia" w:cstheme="minorEastAsia"/>
          <w:szCs w:val="28"/>
        </w:rPr>
        <w:t>附录 B  水利工程质量检测报告的基本要求</w:t>
      </w:r>
      <w:r>
        <w:rPr>
          <w:rFonts w:hint="eastAsia" w:asciiTheme="minorEastAsia" w:hAnsiTheme="minorEastAsia" w:eastAsiaTheme="minorEastAsia" w:cstheme="minorEastAsia"/>
        </w:rPr>
        <w:tab/>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_Toc11343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56</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"_Toc7607" </w:instrText>
      </w:r>
      <w:r>
        <w:fldChar w:fldCharType="separate"/>
      </w:r>
      <w:r>
        <w:rPr>
          <w:rFonts w:hint="eastAsia" w:asciiTheme="minorEastAsia" w:hAnsiTheme="minorEastAsia" w:eastAsiaTheme="minorEastAsia" w:cstheme="minorEastAsia"/>
          <w:szCs w:val="28"/>
        </w:rPr>
        <w:t>附录 C  超声回弹综合法检测混凝土抗压强度</w:t>
      </w:r>
      <w:r>
        <w:rPr>
          <w:rFonts w:hint="eastAsia" w:asciiTheme="minorEastAsia" w:hAnsiTheme="minorEastAsia" w:eastAsiaTheme="minorEastAsia" w:cstheme="minorEastAsia"/>
        </w:rPr>
        <w:tab/>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_Toc7607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57</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"_Toc26038" </w:instrText>
      </w:r>
      <w:r>
        <w:fldChar w:fldCharType="separate"/>
      </w:r>
      <w:r>
        <w:rPr>
          <w:rFonts w:hint="eastAsia" w:asciiTheme="minorEastAsia" w:hAnsiTheme="minorEastAsia" w:eastAsiaTheme="minorEastAsia" w:cstheme="minorEastAsia"/>
          <w:szCs w:val="28"/>
        </w:rPr>
        <w:t>附录 D  冲击-回波法</w:t>
      </w:r>
      <w:r>
        <w:rPr>
          <w:rFonts w:hint="eastAsia" w:asciiTheme="minorEastAsia" w:hAnsiTheme="minorEastAsia" w:eastAsiaTheme="minorEastAsia" w:cstheme="minorEastAsia"/>
        </w:rPr>
        <w:tab/>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_Toc26038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71</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"_Toc11498" </w:instrText>
      </w:r>
      <w:r>
        <w:fldChar w:fldCharType="separate"/>
      </w:r>
      <w:r>
        <w:rPr>
          <w:rFonts w:hint="eastAsia" w:asciiTheme="minorEastAsia" w:hAnsiTheme="minorEastAsia" w:eastAsiaTheme="minorEastAsia" w:cstheme="minorEastAsia"/>
          <w:szCs w:val="28"/>
        </w:rPr>
        <w:t>附录 E  雷 达 法</w:t>
      </w:r>
      <w:r>
        <w:rPr>
          <w:rFonts w:hint="eastAsia" w:asciiTheme="minorEastAsia" w:hAnsiTheme="minorEastAsia" w:eastAsiaTheme="minorEastAsia" w:cstheme="minorEastAsia"/>
        </w:rPr>
        <w:tab/>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_Toc11498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76</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"_Toc12257" </w:instrText>
      </w:r>
      <w:r>
        <w:fldChar w:fldCharType="separate"/>
      </w:r>
      <w:r>
        <w:rPr>
          <w:rFonts w:hint="eastAsia" w:asciiTheme="minorEastAsia" w:hAnsiTheme="minorEastAsia" w:eastAsiaTheme="minorEastAsia" w:cstheme="minorEastAsia"/>
          <w:szCs w:val="28"/>
        </w:rPr>
        <w:t>附录 F  超声波法测混凝土表面损伤层厚度</w:t>
      </w:r>
      <w:r>
        <w:rPr>
          <w:rFonts w:hint="eastAsia" w:asciiTheme="minorEastAsia" w:hAnsiTheme="minorEastAsia" w:eastAsiaTheme="minorEastAsia" w:cstheme="minorEastAsia"/>
        </w:rPr>
        <w:tab/>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_Toc12257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80</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"_Toc14935" </w:instrText>
      </w:r>
      <w:r>
        <w:fldChar w:fldCharType="separate"/>
      </w:r>
      <w:r>
        <w:rPr>
          <w:rFonts w:hint="eastAsia" w:asciiTheme="minorEastAsia" w:hAnsiTheme="minorEastAsia" w:eastAsiaTheme="minorEastAsia" w:cstheme="minorEastAsia"/>
          <w:szCs w:val="28"/>
        </w:rPr>
        <w:t>附录 G  水下建筑物表观缺陷检测技术</w:t>
      </w:r>
      <w:r>
        <w:rPr>
          <w:rFonts w:hint="eastAsia" w:asciiTheme="minorEastAsia" w:hAnsiTheme="minorEastAsia" w:eastAsiaTheme="minorEastAsia" w:cstheme="minorEastAsia"/>
        </w:rPr>
        <w:tab/>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_Toc14935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82</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"_Toc25480" </w:instrText>
      </w:r>
      <w:r>
        <w:fldChar w:fldCharType="separate"/>
      </w:r>
      <w:r>
        <w:rPr>
          <w:rFonts w:hint="eastAsia" w:asciiTheme="minorEastAsia" w:hAnsiTheme="minorEastAsia" w:eastAsiaTheme="minorEastAsia" w:cstheme="minorEastAsia"/>
          <w:szCs w:val="28"/>
        </w:rPr>
        <w:t>附录 H  水轮发电机组(泵站机组)检测要求与评价表</w:t>
      </w:r>
      <w:r>
        <w:rPr>
          <w:rFonts w:hint="eastAsia" w:asciiTheme="minorEastAsia" w:hAnsiTheme="minorEastAsia" w:eastAsiaTheme="minorEastAsia" w:cstheme="minorEastAsia"/>
        </w:rPr>
        <w:tab/>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_Toc25480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85</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16"/>
        <w:tabs>
          <w:tab w:val="right" w:leader="dot" w:pos="8304"/>
        </w:tabs>
      </w:pPr>
      <w:r>
        <w:fldChar w:fldCharType="begin"/>
      </w:r>
      <w:r>
        <w:instrText xml:space="preserve"> HYPERLINK \l "_Toc5730" </w:instrText>
      </w:r>
      <w:r>
        <w:fldChar w:fldCharType="separate"/>
      </w:r>
      <w:r>
        <w:rPr>
          <w:rFonts w:hint="eastAsia" w:asciiTheme="minorEastAsia" w:hAnsiTheme="minorEastAsia" w:eastAsiaTheme="minorEastAsia" w:cstheme="minorEastAsia"/>
          <w:szCs w:val="28"/>
        </w:rPr>
        <w:t>标准用词说明</w:t>
      </w:r>
      <w:r>
        <w:rPr>
          <w:rFonts w:hint="eastAsia" w:asciiTheme="minorEastAsia" w:hAnsiTheme="minorEastAsia" w:eastAsiaTheme="minorEastAsia" w:cstheme="minorEastAsia"/>
        </w:rPr>
        <w:tab/>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_Toc5730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91</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rPr>
          <w:rFonts w:hint="eastAsia" w:asciiTheme="minorEastAsia" w:hAnsiTheme="minorEastAsia" w:cstheme="minorEastAsia"/>
          <w:szCs w:val="21"/>
        </w:rPr>
      </w:pPr>
      <w:r>
        <w:rPr>
          <w:rFonts w:hint="eastAsia" w:asciiTheme="minorEastAsia" w:hAnsiTheme="minorEastAsia" w:cstheme="minorEastAsia"/>
          <w:szCs w:val="21"/>
        </w:rPr>
        <w:fldChar w:fldCharType="end"/>
      </w:r>
      <w:r>
        <w:rPr>
          <w:rFonts w:hint="eastAsia" w:asciiTheme="minorEastAsia" w:hAnsiTheme="minorEastAsia" w:cstheme="minorEastAsia"/>
          <w:szCs w:val="21"/>
        </w:rPr>
        <w:t xml:space="preserve">    条文说明.................................................................91</w:t>
      </w:r>
    </w:p>
    <w:p>
      <w:pPr>
        <w:rPr>
          <w:rFonts w:hint="eastAsia" w:asciiTheme="minorEastAsia" w:hAnsiTheme="minorEastAsia" w:cstheme="minorEastAsia"/>
          <w:szCs w:val="21"/>
        </w:rPr>
      </w:pPr>
    </w:p>
    <w:p>
      <w:pPr>
        <w:rPr>
          <w:rFonts w:hint="eastAsia" w:ascii="宋体" w:hAnsi="宋体" w:eastAsia="宋体" w:cs="宋体"/>
        </w:rPr>
      </w:pPr>
    </w:p>
    <w:p>
      <w:pPr>
        <w:pStyle w:val="2"/>
        <w:rPr>
          <w:rFonts w:hint="eastAsia" w:ascii="黑体" w:hAnsi="黑体" w:eastAsia="黑体" w:cs="黑体"/>
          <w:b w:val="0"/>
          <w:bCs w:val="0"/>
          <w:sz w:val="28"/>
          <w:szCs w:val="28"/>
        </w:rPr>
        <w:sectPr>
          <w:footerReference r:id="rId10" w:type="default"/>
          <w:pgSz w:w="11907" w:h="16839"/>
          <w:pgMar w:top="1440" w:right="1803" w:bottom="1440" w:left="1800" w:header="0" w:footer="737" w:gutter="0"/>
          <w:pgNumType w:fmt="upperRoman"/>
          <w:cols w:space="720" w:num="1"/>
          <w:docGrid w:linePitch="286" w:charSpace="0"/>
        </w:sectPr>
      </w:pPr>
    </w:p>
    <w:p>
      <w:pPr>
        <w:pStyle w:val="2"/>
        <w:rPr>
          <w:rFonts w:hint="eastAsia" w:ascii="黑体" w:hAnsi="黑体" w:eastAsia="黑体" w:cs="黑体"/>
          <w:b w:val="0"/>
          <w:bCs w:val="0"/>
          <w:sz w:val="28"/>
          <w:szCs w:val="28"/>
        </w:rPr>
      </w:pPr>
      <w:bookmarkStart w:id="15" w:name="_Toc9935"/>
      <w:r>
        <w:rPr>
          <w:rFonts w:hint="eastAsia" w:ascii="黑体" w:hAnsi="黑体" w:eastAsia="黑体" w:cs="黑体"/>
          <w:b w:val="0"/>
          <w:bCs w:val="0"/>
          <w:sz w:val="28"/>
          <w:szCs w:val="28"/>
        </w:rPr>
        <w:t>1  总  则</w:t>
      </w:r>
      <w:bookmarkEnd w:id="15"/>
    </w:p>
    <w:p>
      <w:pPr>
        <w:spacing w:line="360" w:lineRule="auto"/>
      </w:pPr>
      <w:bookmarkStart w:id="16" w:name="_Hlk183638733"/>
      <w:r>
        <w:rPr>
          <w:rFonts w:hint="eastAsia" w:ascii="黑体" w:hAnsi="黑体" w:eastAsia="黑体" w:cs="黑体"/>
        </w:rPr>
        <w:t>1.0.1</w:t>
      </w:r>
      <w:r>
        <w:rPr>
          <w:rFonts w:hint="eastAsia"/>
        </w:rPr>
        <w:t xml:space="preserve">  为</w:t>
      </w:r>
      <w:bookmarkEnd w:id="16"/>
      <w:r>
        <w:rPr>
          <w:rFonts w:hint="eastAsia"/>
        </w:rPr>
        <w:t>加强水利工程质量检测管理，规范检测行为，保证检测工作质量，使检测工作标准化、规范化，制定本标准。</w:t>
      </w:r>
    </w:p>
    <w:p>
      <w:pPr>
        <w:spacing w:line="360" w:lineRule="auto"/>
      </w:pPr>
      <w:r>
        <w:rPr>
          <w:rFonts w:hint="eastAsia" w:ascii="黑体" w:hAnsi="黑体" w:eastAsia="黑体" w:cs="黑体"/>
        </w:rPr>
        <w:t xml:space="preserve">1.0.2 </w:t>
      </w:r>
      <w:r>
        <w:rPr>
          <w:rFonts w:hint="eastAsia"/>
        </w:rPr>
        <w:t xml:space="preserve"> </w:t>
      </w:r>
      <w:r>
        <w:rPr>
          <w:rFonts w:hint="eastAsia" w:ascii="宋体" w:hAnsi="宋体" w:eastAsia="宋体"/>
        </w:rPr>
        <w:t>本标准适用于水利水电工程的质量检测活动。</w:t>
      </w:r>
    </w:p>
    <w:p>
      <w:pPr>
        <w:spacing w:line="360" w:lineRule="auto"/>
      </w:pPr>
      <w:r>
        <w:rPr>
          <w:rFonts w:hint="eastAsia" w:ascii="黑体" w:hAnsi="黑体" w:eastAsia="黑体" w:cs="黑体"/>
        </w:rPr>
        <w:t xml:space="preserve">1.0.3 </w:t>
      </w:r>
      <w:r>
        <w:rPr>
          <w:rFonts w:hint="eastAsia"/>
        </w:rPr>
        <w:t xml:space="preserve"> 质量检测和结果评价主要依据如下：</w:t>
      </w:r>
    </w:p>
    <w:p>
      <w:pPr>
        <w:spacing w:line="360" w:lineRule="auto"/>
        <w:ind w:firstLine="420" w:firstLineChars="200"/>
      </w:pPr>
      <w:r>
        <w:rPr>
          <w:rFonts w:hint="eastAsia" w:ascii="黑体" w:hAnsi="黑体" w:eastAsia="黑体" w:cs="黑体"/>
        </w:rPr>
        <w:t>1</w:t>
      </w:r>
      <w:r>
        <w:rPr>
          <w:rFonts w:hint="eastAsia"/>
        </w:rPr>
        <w:t xml:space="preserve">  国家和行业现行有关法律、法规、规章、规范性文件和技术标准；</w:t>
      </w:r>
    </w:p>
    <w:p>
      <w:pPr>
        <w:spacing w:line="360" w:lineRule="auto"/>
        <w:ind w:firstLine="420" w:firstLineChars="200"/>
      </w:pPr>
      <w:r>
        <w:rPr>
          <w:rFonts w:hint="eastAsia" w:ascii="黑体" w:hAnsi="黑体" w:eastAsia="黑体" w:cs="黑体"/>
        </w:rPr>
        <w:t>2</w:t>
      </w:r>
      <w:r>
        <w:rPr>
          <w:rFonts w:hint="eastAsia"/>
        </w:rPr>
        <w:t xml:space="preserve">  合同文件、设计文件；</w:t>
      </w:r>
    </w:p>
    <w:p>
      <w:pPr>
        <w:spacing w:line="360" w:lineRule="auto"/>
        <w:ind w:firstLine="420" w:firstLineChars="200"/>
      </w:pPr>
      <w:r>
        <w:rPr>
          <w:rFonts w:hint="eastAsia" w:ascii="黑体" w:hAnsi="黑体" w:eastAsia="黑体" w:cs="黑体"/>
        </w:rPr>
        <w:t>3</w:t>
      </w:r>
      <w:r>
        <w:rPr>
          <w:rFonts w:hint="eastAsia"/>
        </w:rPr>
        <w:t xml:space="preserve">  主要设备、产品技术说明书等。</w:t>
      </w:r>
    </w:p>
    <w:p>
      <w:pPr>
        <w:tabs>
          <w:tab w:val="left" w:pos="7037"/>
        </w:tabs>
        <w:spacing w:line="360" w:lineRule="auto"/>
      </w:pPr>
      <w:r>
        <w:rPr>
          <w:rFonts w:hint="eastAsia" w:ascii="黑体" w:hAnsi="黑体" w:eastAsia="黑体" w:cs="黑体"/>
        </w:rPr>
        <w:t>1.0.4</w:t>
      </w:r>
      <w:r>
        <w:rPr>
          <w:rFonts w:hint="eastAsia"/>
        </w:rPr>
        <w:t xml:space="preserve">  本标准主要引用下列标准：</w:t>
      </w:r>
      <w:r>
        <w:rPr>
          <w:rFonts w:hint="eastAsia"/>
        </w:rPr>
        <w:tab/>
      </w:r>
    </w:p>
    <w:p>
      <w:pPr>
        <w:spacing w:line="360" w:lineRule="auto"/>
        <w:ind w:firstLine="420" w:firstLineChars="200"/>
      </w:pPr>
      <w:r>
        <w:rPr>
          <w:rFonts w:hint="eastAsia" w:ascii="Times New Roman" w:hAnsi="Times New Roman" w:cs="Times New Roman"/>
        </w:rPr>
        <w:t>GB/T 1029</w:t>
      </w:r>
      <w:r>
        <w:rPr>
          <w:rFonts w:hint="eastAsia"/>
        </w:rPr>
        <w:t xml:space="preserve">  三相同步电机试验方法</w:t>
      </w:r>
    </w:p>
    <w:p>
      <w:pPr>
        <w:spacing w:line="360" w:lineRule="auto"/>
        <w:ind w:firstLine="420" w:firstLineChars="200"/>
        <w:rPr>
          <w:rFonts w:ascii="Times New Roman" w:hAnsi="Times New Roman" w:cs="Times New Roman"/>
          <w:color w:val="0066FF"/>
        </w:rPr>
      </w:pPr>
      <w:r>
        <w:rPr>
          <w:rFonts w:hint="eastAsia" w:ascii="Times New Roman" w:hAnsi="Times New Roman" w:cs="Times New Roman"/>
        </w:rPr>
        <w:t>GB/T 2970</w:t>
      </w:r>
      <w:r>
        <w:rPr>
          <w:rFonts w:hint="eastAsia" w:ascii="宋体" w:hAnsi="宋体" w:eastAsia="宋体" w:cstheme="minorEastAsia"/>
          <w:szCs w:val="21"/>
        </w:rPr>
        <w:t xml:space="preserve">  厚钢板超声检测方法</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GB/T 8564</w:t>
      </w:r>
      <w:r>
        <w:rPr>
          <w:rFonts w:hint="eastAsia" w:asciiTheme="minorEastAsia" w:hAnsiTheme="minorEastAsia" w:cstheme="minorEastAsia"/>
        </w:rPr>
        <w:t xml:space="preserve">   水轮发电机组安装技术规范</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GB/T 9652.2</w:t>
      </w:r>
      <w:r>
        <w:rPr>
          <w:rFonts w:hint="eastAsia" w:asciiTheme="minorEastAsia" w:hAnsiTheme="minorEastAsia" w:cstheme="minorEastAsia"/>
        </w:rPr>
        <w:t xml:space="preserve">  水轮机控制系统试验</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GB/T 14173</w:t>
      </w:r>
      <w:r>
        <w:rPr>
          <w:rFonts w:hint="eastAsia" w:asciiTheme="minorEastAsia" w:hAnsiTheme="minorEastAsia" w:cstheme="minorEastAsia"/>
        </w:rPr>
        <w:t xml:space="preserve">  水利水电工程钢闸门制造、安装及验收规范</w:t>
      </w:r>
    </w:p>
    <w:p>
      <w:pPr>
        <w:spacing w:line="360" w:lineRule="auto"/>
        <w:ind w:firstLine="420" w:firstLineChars="200"/>
        <w:rPr>
          <w:rFonts w:hint="eastAsia" w:ascii="宋体" w:hAnsi="宋体" w:eastAsia="宋体" w:cstheme="minorEastAsia"/>
          <w:snapToGrid w:val="0"/>
          <w:kern w:val="0"/>
          <w:szCs w:val="21"/>
        </w:rPr>
      </w:pPr>
      <w:r>
        <w:rPr>
          <w:rFonts w:hint="eastAsia" w:ascii="Times New Roman" w:hAnsi="Times New Roman" w:cs="Times New Roman"/>
        </w:rPr>
        <w:t>GB/T 14977</w:t>
      </w:r>
      <w:r>
        <w:rPr>
          <w:rFonts w:hint="eastAsia" w:ascii="宋体" w:hAnsi="宋体" w:eastAsia="宋体" w:cstheme="minorEastAsia"/>
          <w:snapToGrid w:val="0"/>
          <w:kern w:val="0"/>
          <w:szCs w:val="21"/>
        </w:rPr>
        <w:t xml:space="preserve">  热轧钢板表面质量的一般要求</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 xml:space="preserve">GB/T 15345 </w:t>
      </w:r>
      <w:r>
        <w:rPr>
          <w:rFonts w:hint="eastAsia" w:asciiTheme="minorEastAsia" w:hAnsiTheme="minorEastAsia" w:cstheme="minorEastAsia"/>
        </w:rPr>
        <w:t xml:space="preserve"> 混凝土输水管试验方法</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GB/T 15468</w:t>
      </w:r>
      <w:r>
        <w:rPr>
          <w:rFonts w:hint="eastAsia" w:asciiTheme="minorEastAsia" w:hAnsiTheme="minorEastAsia" w:cstheme="minorEastAsia"/>
        </w:rPr>
        <w:t xml:space="preserve">  水轮机基本技术条件</w:t>
      </w:r>
    </w:p>
    <w:p>
      <w:pPr>
        <w:spacing w:line="360" w:lineRule="auto"/>
        <w:ind w:firstLine="420" w:firstLineChars="200"/>
        <w:rPr>
          <w:rFonts w:hint="eastAsia" w:ascii="黑体" w:hAnsi="黑体" w:eastAsia="黑体" w:cs="黑体"/>
          <w:i/>
          <w:iCs/>
        </w:rPr>
      </w:pPr>
      <w:r>
        <w:rPr>
          <w:rFonts w:hint="eastAsia" w:ascii="Times New Roman" w:hAnsi="Times New Roman" w:cs="Times New Roman"/>
        </w:rPr>
        <w:t xml:space="preserve">GB/T 15613  </w:t>
      </w:r>
      <w:r>
        <w:rPr>
          <w:rFonts w:hint="eastAsia" w:ascii="宋体" w:hAnsi="宋体" w:eastAsia="宋体" w:cstheme="minorEastAsia"/>
          <w:snapToGrid w:val="0"/>
          <w:kern w:val="0"/>
          <w:szCs w:val="21"/>
        </w:rPr>
        <w:t>水轮机、蓄能泵和水泵水轮机模型验</w:t>
      </w:r>
      <w:r>
        <w:rPr>
          <w:rFonts w:hint="eastAsia" w:cs="黑体" w:asciiTheme="minorEastAsia" w:hAnsiTheme="minorEastAsia"/>
          <w:szCs w:val="21"/>
        </w:rPr>
        <w:t>收</w:t>
      </w:r>
      <w:r>
        <w:rPr>
          <w:rFonts w:hint="eastAsia" w:ascii="宋体" w:hAnsi="宋体" w:eastAsia="宋体" w:cstheme="minorEastAsia"/>
          <w:snapToGrid w:val="0"/>
          <w:kern w:val="0"/>
          <w:szCs w:val="21"/>
        </w:rPr>
        <w:t>试验</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GB/T 18482</w:t>
      </w:r>
      <w:r>
        <w:rPr>
          <w:rFonts w:hint="eastAsia" w:asciiTheme="minorEastAsia" w:hAnsiTheme="minorEastAsia" w:cstheme="minorEastAsia"/>
        </w:rPr>
        <w:t xml:space="preserve">  可逆式抽水蓄能机组启动试运行规程</w:t>
      </w:r>
    </w:p>
    <w:p>
      <w:pPr>
        <w:spacing w:line="360" w:lineRule="auto"/>
        <w:ind w:firstLine="420" w:firstLineChars="200"/>
        <w:rPr>
          <w:rFonts w:hint="eastAsia" w:ascii="黑体" w:hAnsi="黑体" w:eastAsia="黑体" w:cs="黑体"/>
          <w:i/>
          <w:iCs/>
          <w:szCs w:val="21"/>
        </w:rPr>
      </w:pPr>
      <w:r>
        <w:rPr>
          <w:rFonts w:hint="eastAsia" w:ascii="Times New Roman" w:hAnsi="Times New Roman" w:cs="Times New Roman"/>
        </w:rPr>
        <w:t xml:space="preserve">GB 19212.1 </w:t>
      </w:r>
      <w:r>
        <w:rPr>
          <w:rFonts w:hint="eastAsia" w:ascii="宋体" w:hAnsi="宋体" w:eastAsia="宋体" w:cstheme="minorEastAsia"/>
          <w:snapToGrid w:val="0"/>
          <w:kern w:val="0"/>
          <w:szCs w:val="21"/>
        </w:rPr>
        <w:t xml:space="preserve"> 变压器、电抗器、电源装置及其组合的安全 第1部分：通用要求和试验</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GB/T 20043</w:t>
      </w:r>
      <w:r>
        <w:rPr>
          <w:rFonts w:hint="eastAsia" w:asciiTheme="minorEastAsia" w:hAnsiTheme="minorEastAsia" w:cstheme="minorEastAsia"/>
        </w:rPr>
        <w:t xml:space="preserve">  水轮机、蓄能泵和水泵水轮机水力性能现场验收试验规程</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GB/T 20835</w:t>
      </w:r>
      <w:r>
        <w:rPr>
          <w:rFonts w:hint="eastAsia" w:asciiTheme="minorEastAsia" w:hAnsiTheme="minorEastAsia" w:cstheme="minorEastAsia"/>
        </w:rPr>
        <w:t xml:space="preserve">  发电机定子铁芯磁化试验导则</w:t>
      </w:r>
    </w:p>
    <w:p>
      <w:pPr>
        <w:spacing w:line="360" w:lineRule="auto"/>
        <w:ind w:firstLine="420" w:firstLineChars="200"/>
        <w:rPr>
          <w:rFonts w:hint="eastAsia" w:ascii="宋体" w:hAnsi="宋体" w:eastAsia="宋体" w:cstheme="minorEastAsia"/>
          <w:snapToGrid w:val="0"/>
          <w:kern w:val="0"/>
          <w:szCs w:val="21"/>
        </w:rPr>
      </w:pPr>
      <w:r>
        <w:rPr>
          <w:rFonts w:hint="eastAsia" w:ascii="Times New Roman" w:hAnsi="Times New Roman" w:cs="Times New Roman"/>
        </w:rPr>
        <w:t>GB/T 25442</w:t>
      </w:r>
      <w:r>
        <w:rPr>
          <w:rFonts w:hint="eastAsia" w:ascii="宋体" w:hAnsi="宋体" w:eastAsia="宋体" w:cstheme="minorEastAsia"/>
          <w:snapToGrid w:val="0"/>
          <w:kern w:val="0"/>
          <w:szCs w:val="21"/>
        </w:rPr>
        <w:t xml:space="preserve">  旋转电机(牵引电机除外)确定损耗和效率的试验方法</w:t>
      </w:r>
    </w:p>
    <w:p>
      <w:pPr>
        <w:spacing w:line="360" w:lineRule="auto"/>
        <w:ind w:firstLine="420" w:firstLineChars="200"/>
        <w:rPr>
          <w:rFonts w:hint="eastAsia" w:ascii="宋体" w:hAnsi="宋体" w:eastAsia="宋体"/>
          <w:szCs w:val="21"/>
        </w:rPr>
      </w:pPr>
      <w:r>
        <w:rPr>
          <w:rFonts w:hint="eastAsia" w:ascii="Times New Roman" w:hAnsi="Times New Roman" w:cs="Times New Roman"/>
        </w:rPr>
        <w:t>GB/T 50086</w:t>
      </w:r>
      <w:r>
        <w:rPr>
          <w:rFonts w:hint="eastAsia" w:ascii="宋体" w:hAnsi="宋体" w:eastAsia="宋体"/>
          <w:kern w:val="0"/>
          <w:szCs w:val="21"/>
        </w:rPr>
        <w:t xml:space="preserve">  岩土锚杆与喷射混凝土支护工程技术规范</w:t>
      </w:r>
    </w:p>
    <w:p>
      <w:pPr>
        <w:spacing w:line="360" w:lineRule="auto"/>
        <w:ind w:firstLine="420" w:firstLineChars="200"/>
        <w:rPr>
          <w:rFonts w:hint="eastAsia" w:ascii="宋体" w:hAnsi="宋体" w:eastAsia="宋体"/>
          <w:szCs w:val="21"/>
        </w:rPr>
      </w:pPr>
      <w:r>
        <w:rPr>
          <w:rFonts w:hint="eastAsia" w:ascii="Times New Roman" w:hAnsi="Times New Roman" w:cs="Times New Roman"/>
        </w:rPr>
        <w:t xml:space="preserve">GB/T 50123 </w:t>
      </w:r>
      <w:r>
        <w:rPr>
          <w:rFonts w:hint="eastAsia" w:ascii="宋体" w:hAnsi="宋体" w:eastAsia="宋体"/>
          <w:szCs w:val="21"/>
        </w:rPr>
        <w:t xml:space="preserve"> 土工试验方法标准</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GB 50150</w:t>
      </w:r>
      <w:r>
        <w:rPr>
          <w:rFonts w:hint="eastAsia" w:asciiTheme="minorEastAsia" w:hAnsiTheme="minorEastAsia" w:cstheme="minorEastAsia"/>
        </w:rPr>
        <w:t xml:space="preserve">  电气装置安装工程  电气设备交接试验标准</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GB/T 50152</w:t>
      </w:r>
      <w:r>
        <w:rPr>
          <w:rFonts w:hint="eastAsia" w:asciiTheme="minorEastAsia" w:hAnsiTheme="minorEastAsia" w:cstheme="minorEastAsia"/>
        </w:rPr>
        <w:t xml:space="preserve">  混凝土结构试验方法标准</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GB 50203</w:t>
      </w:r>
      <w:r>
        <w:rPr>
          <w:rFonts w:hint="eastAsia" w:asciiTheme="minorEastAsia" w:hAnsiTheme="minorEastAsia" w:cstheme="minorEastAsia"/>
        </w:rPr>
        <w:t xml:space="preserve">  砌体结构工程施工质量验收规范</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SL 31</w:t>
      </w:r>
      <w:r>
        <w:rPr>
          <w:rFonts w:hint="eastAsia" w:asciiTheme="minorEastAsia" w:hAnsiTheme="minorEastAsia" w:cstheme="minorEastAsia"/>
        </w:rPr>
        <w:t xml:space="preserve">  水利水电工程钻孔压水试验规程</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SL 36</w:t>
      </w:r>
      <w:r>
        <w:rPr>
          <w:rFonts w:hint="eastAsia" w:asciiTheme="minorEastAsia" w:hAnsiTheme="minorEastAsia" w:cstheme="minorEastAsia"/>
        </w:rPr>
        <w:t xml:space="preserve">  水工金属结构焊接通用技术条件</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SL/T 105</w:t>
      </w:r>
      <w:r>
        <w:rPr>
          <w:rFonts w:hint="eastAsia" w:asciiTheme="minorEastAsia" w:hAnsiTheme="minorEastAsia" w:cstheme="minorEastAsia"/>
        </w:rPr>
        <w:t xml:space="preserve">  水工金属结构防腐蚀规范</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SL 197</w:t>
      </w:r>
      <w:r>
        <w:rPr>
          <w:rFonts w:hint="eastAsia" w:asciiTheme="minorEastAsia" w:hAnsiTheme="minorEastAsia" w:cstheme="minorEastAsia"/>
        </w:rPr>
        <w:t xml:space="preserve">  水利水电工程测量规范</w:t>
      </w:r>
    </w:p>
    <w:p>
      <w:pPr>
        <w:spacing w:line="360" w:lineRule="auto"/>
        <w:ind w:firstLine="420" w:firstLineChars="200"/>
        <w:rPr>
          <w:rFonts w:hint="eastAsia" w:ascii="宋体" w:hAnsi="宋体" w:eastAsia="宋体" w:cstheme="minorEastAsia"/>
          <w:position w:val="-2"/>
          <w:szCs w:val="21"/>
        </w:rPr>
      </w:pPr>
      <w:r>
        <w:rPr>
          <w:rFonts w:hint="eastAsia" w:ascii="Times New Roman" w:hAnsi="Times New Roman" w:cs="Times New Roman"/>
        </w:rPr>
        <w:t xml:space="preserve">SL/T 212  </w:t>
      </w:r>
      <w:r>
        <w:rPr>
          <w:rFonts w:ascii="宋体" w:hAnsi="宋体" w:eastAsia="宋体" w:cstheme="minorEastAsia"/>
          <w:position w:val="-2"/>
          <w:szCs w:val="21"/>
        </w:rPr>
        <w:t>水工预应力锚固</w:t>
      </w:r>
      <w:r>
        <w:rPr>
          <w:rFonts w:hint="eastAsia" w:ascii="宋体" w:hAnsi="宋体" w:eastAsia="宋体" w:cstheme="minorEastAsia"/>
          <w:position w:val="-2"/>
          <w:szCs w:val="21"/>
        </w:rPr>
        <w:t>技术</w:t>
      </w:r>
      <w:r>
        <w:rPr>
          <w:rFonts w:ascii="宋体" w:hAnsi="宋体" w:eastAsia="宋体" w:cstheme="minorEastAsia"/>
          <w:position w:val="-2"/>
          <w:szCs w:val="21"/>
        </w:rPr>
        <w:t>规范</w:t>
      </w:r>
    </w:p>
    <w:p>
      <w:pPr>
        <w:spacing w:line="360" w:lineRule="auto"/>
        <w:ind w:firstLine="420" w:firstLineChars="200"/>
        <w:rPr>
          <w:rFonts w:hint="eastAsia" w:ascii="宋体" w:hAnsi="宋体" w:eastAsia="宋体" w:cstheme="minorEastAsia"/>
          <w:position w:val="-2"/>
          <w:szCs w:val="21"/>
        </w:rPr>
      </w:pPr>
      <w:r>
        <w:rPr>
          <w:rFonts w:hint="eastAsia" w:ascii="Times New Roman" w:hAnsi="Times New Roman" w:cs="Times New Roman"/>
        </w:rPr>
        <w:t xml:space="preserve">SL/T 223 </w:t>
      </w:r>
      <w:r>
        <w:rPr>
          <w:rFonts w:hint="eastAsia" w:ascii="宋体" w:hAnsi="宋体" w:eastAsia="宋体" w:cstheme="minorEastAsia"/>
          <w:position w:val="-2"/>
          <w:szCs w:val="21"/>
        </w:rPr>
        <w:t xml:space="preserve"> 水利水电建设工程验收规程</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 xml:space="preserve">SL 235 </w:t>
      </w:r>
      <w:r>
        <w:rPr>
          <w:rFonts w:hint="eastAsia" w:ascii="宋体" w:hAnsi="宋体" w:eastAsia="宋体" w:cstheme="minorEastAsia"/>
          <w:szCs w:val="21"/>
        </w:rPr>
        <w:t xml:space="preserve"> 土工合成材料测试规程</w:t>
      </w:r>
    </w:p>
    <w:p>
      <w:pPr>
        <w:spacing w:line="360" w:lineRule="auto"/>
        <w:ind w:firstLine="420" w:firstLineChars="200"/>
        <w:rPr>
          <w:rFonts w:ascii="Times New Roman" w:hAnsi="Times New Roman" w:cs="Times New Roman"/>
        </w:rPr>
      </w:pPr>
      <w:r>
        <w:rPr>
          <w:rFonts w:hint="eastAsia" w:ascii="Times New Roman" w:hAnsi="Times New Roman" w:cs="Times New Roman"/>
        </w:rPr>
        <w:t>SL/T 264</w:t>
      </w:r>
      <w:r>
        <w:rPr>
          <w:rFonts w:hint="eastAsia" w:asciiTheme="minorEastAsia" w:hAnsiTheme="minorEastAsia" w:cstheme="minorEastAsia"/>
        </w:rPr>
        <w:t xml:space="preserve">  水利水电工程岩石试验规程</w:t>
      </w:r>
    </w:p>
    <w:p>
      <w:pPr>
        <w:spacing w:line="360" w:lineRule="auto"/>
        <w:ind w:firstLine="420" w:firstLineChars="200"/>
        <w:rPr>
          <w:rFonts w:hint="eastAsia" w:ascii="宋体" w:hAnsi="宋体" w:eastAsia="宋体" w:cstheme="minorEastAsia"/>
          <w:szCs w:val="21"/>
        </w:rPr>
      </w:pPr>
      <w:r>
        <w:rPr>
          <w:rFonts w:hint="eastAsia" w:ascii="Times New Roman" w:hAnsi="Times New Roman" w:cs="Times New Roman"/>
        </w:rPr>
        <w:t xml:space="preserve">SL/T 291.1 </w:t>
      </w:r>
      <w:r>
        <w:rPr>
          <w:rFonts w:hint="eastAsia" w:ascii="宋体" w:hAnsi="宋体" w:eastAsia="宋体"/>
          <w:szCs w:val="21"/>
        </w:rPr>
        <w:t xml:space="preserve"> 水利水电工程勘探规程第1部分:物探</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 xml:space="preserve">SL 317  </w:t>
      </w:r>
      <w:r>
        <w:rPr>
          <w:rFonts w:hint="eastAsia" w:asciiTheme="minorEastAsia" w:hAnsiTheme="minorEastAsia" w:cstheme="minorEastAsia"/>
        </w:rPr>
        <w:t>泵站设备安装及验收规范</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 xml:space="preserve">SL 352  </w:t>
      </w:r>
      <w:r>
        <w:rPr>
          <w:rFonts w:hint="eastAsia" w:asciiTheme="minorEastAsia" w:hAnsiTheme="minorEastAsia" w:cstheme="minorEastAsia"/>
        </w:rPr>
        <w:t>水工混凝土试验规程</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 xml:space="preserve">SL/T 381  </w:t>
      </w:r>
      <w:r>
        <w:rPr>
          <w:rFonts w:hint="eastAsia" w:asciiTheme="minorEastAsia" w:hAnsiTheme="minorEastAsia" w:cstheme="minorEastAsia"/>
        </w:rPr>
        <w:t>水利水电工程启闭机制造安装及验收规范</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SL/T 432  水</w:t>
      </w:r>
      <w:r>
        <w:rPr>
          <w:rFonts w:hint="eastAsia" w:asciiTheme="minorEastAsia" w:hAnsiTheme="minorEastAsia" w:cstheme="minorEastAsia"/>
        </w:rPr>
        <w:t xml:space="preserve">利工程压力钢管制造安装及验收规范 </w:t>
      </w:r>
    </w:p>
    <w:p>
      <w:pPr>
        <w:spacing w:line="360" w:lineRule="auto"/>
        <w:ind w:firstLine="420" w:firstLineChars="200"/>
        <w:rPr>
          <w:rFonts w:ascii="Times New Roman" w:hAnsi="Times New Roman" w:cs="Times New Roman"/>
        </w:rPr>
      </w:pPr>
      <w:r>
        <w:rPr>
          <w:rFonts w:hint="eastAsia" w:ascii="Times New Roman" w:hAnsi="Times New Roman" w:cs="Times New Roman"/>
        </w:rPr>
        <w:t xml:space="preserve">SL 434  </w:t>
      </w:r>
      <w:r>
        <w:rPr>
          <w:rFonts w:hint="eastAsia" w:ascii="宋体" w:hAnsi="宋体" w:eastAsia="宋体" w:cs="黑体"/>
          <w:szCs w:val="21"/>
        </w:rPr>
        <w:t>水利信息网建设指南</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 xml:space="preserve">SL/T 436  </w:t>
      </w:r>
      <w:r>
        <w:rPr>
          <w:rFonts w:hint="eastAsia" w:asciiTheme="minorEastAsia" w:hAnsiTheme="minorEastAsia" w:cstheme="minorEastAsia"/>
        </w:rPr>
        <w:t>堤防隐患探测规程</w:t>
      </w:r>
    </w:p>
    <w:p>
      <w:pPr>
        <w:spacing w:line="360" w:lineRule="auto"/>
        <w:ind w:firstLine="420" w:firstLineChars="200"/>
        <w:rPr>
          <w:rFonts w:hint="eastAsia" w:ascii="宋体" w:hAnsi="宋体" w:eastAsia="宋体"/>
          <w:szCs w:val="21"/>
        </w:rPr>
      </w:pPr>
      <w:r>
        <w:rPr>
          <w:rFonts w:hint="eastAsia" w:ascii="Times New Roman" w:hAnsi="Times New Roman" w:eastAsia="宋体" w:cs="Times New Roman"/>
          <w:bCs/>
          <w:kern w:val="0"/>
          <w:szCs w:val="21"/>
        </w:rPr>
        <w:t xml:space="preserve">SL 514  </w:t>
      </w:r>
      <w:r>
        <w:rPr>
          <w:rFonts w:hint="eastAsia" w:ascii="宋体" w:hAnsi="宋体" w:eastAsia="宋体"/>
          <w:szCs w:val="21"/>
        </w:rPr>
        <w:t>水工沥青混凝土施工规范</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 xml:space="preserve">SL /T 545  </w:t>
      </w:r>
      <w:r>
        <w:rPr>
          <w:rFonts w:hint="eastAsia" w:asciiTheme="minorEastAsia" w:hAnsiTheme="minorEastAsia" w:cstheme="minorEastAsia"/>
        </w:rPr>
        <w:t>铸铁闸门技术条件</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 xml:space="preserve">SL 548  </w:t>
      </w:r>
      <w:r>
        <w:rPr>
          <w:rFonts w:hint="eastAsia" w:asciiTheme="minorEastAsia" w:hAnsiTheme="minorEastAsia" w:cstheme="minorEastAsia"/>
        </w:rPr>
        <w:t>泵站现场测试与安全监测规程</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 xml:space="preserve">SL 555  </w:t>
      </w:r>
      <w:r>
        <w:rPr>
          <w:rFonts w:hint="eastAsia" w:asciiTheme="minorEastAsia" w:hAnsiTheme="minorEastAsia" w:cstheme="minorEastAsia"/>
        </w:rPr>
        <w:t>小型水电站现场效率试验规程</w:t>
      </w:r>
    </w:p>
    <w:p>
      <w:pPr>
        <w:spacing w:line="360" w:lineRule="auto"/>
        <w:ind w:firstLine="420" w:firstLineChars="200"/>
        <w:rPr>
          <w:rFonts w:hint="eastAsia" w:ascii="黑体" w:hAnsi="黑体" w:eastAsia="黑体" w:cs="黑体"/>
          <w:i/>
          <w:iCs/>
        </w:rPr>
      </w:pPr>
      <w:r>
        <w:rPr>
          <w:rFonts w:hint="eastAsia" w:ascii="Times New Roman" w:hAnsi="Times New Roman" w:cs="Times New Roman"/>
        </w:rPr>
        <w:t xml:space="preserve">SL /T 582  </w:t>
      </w:r>
      <w:r>
        <w:rPr>
          <w:rFonts w:hint="eastAsia" w:asciiTheme="minorEastAsia" w:hAnsiTheme="minorEastAsia" w:cstheme="minorEastAsia"/>
        </w:rPr>
        <w:t>水工金属结构制造安装质量检验通则</w:t>
      </w:r>
    </w:p>
    <w:p>
      <w:pPr>
        <w:spacing w:line="360" w:lineRule="auto"/>
        <w:ind w:firstLine="420" w:firstLineChars="200"/>
        <w:rPr>
          <w:rFonts w:hint="eastAsia" w:asciiTheme="minorEastAsia" w:hAnsiTheme="minorEastAsia" w:cstheme="minorEastAsia"/>
        </w:rPr>
      </w:pPr>
      <w:r>
        <w:rPr>
          <w:rFonts w:hint="eastAsia" w:ascii="Times New Roman" w:hAnsi="Times New Roman" w:eastAsia="宋体" w:cs="Times New Roman"/>
          <w:bCs/>
          <w:kern w:val="0"/>
          <w:szCs w:val="21"/>
        </w:rPr>
        <w:t xml:space="preserve">SL 583 </w:t>
      </w:r>
      <w:r>
        <w:rPr>
          <w:rFonts w:hint="eastAsia" w:ascii="宋体" w:hAnsi="宋体" w:eastAsia="宋体" w:cstheme="minorEastAsia"/>
          <w:snapToGrid w:val="0"/>
          <w:kern w:val="0"/>
          <w:szCs w:val="21"/>
        </w:rPr>
        <w:t xml:space="preserve"> 泵站计算机监控与信息系统技术导则</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 xml:space="preserve">SL/T 631.1  </w:t>
      </w:r>
      <w:r>
        <w:rPr>
          <w:rFonts w:hint="eastAsia" w:asciiTheme="minorEastAsia" w:hAnsiTheme="minorEastAsia" w:cstheme="minorEastAsia"/>
        </w:rPr>
        <w:t>水利水电工程单元工程施工质量验收标准-土石方工程</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 xml:space="preserve">SL/T 631.2  </w:t>
      </w:r>
      <w:r>
        <w:rPr>
          <w:rFonts w:hint="eastAsia" w:asciiTheme="minorEastAsia" w:hAnsiTheme="minorEastAsia" w:cstheme="minorEastAsia"/>
        </w:rPr>
        <w:t>水利水电工程单元工程施工质量验收标准-混凝土工程</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 xml:space="preserve">SL 635~637  </w:t>
      </w:r>
      <w:r>
        <w:rPr>
          <w:rFonts w:hint="eastAsia" w:asciiTheme="minorEastAsia" w:hAnsiTheme="minorEastAsia" w:cstheme="minorEastAsia"/>
        </w:rPr>
        <w:t>水利水电工程单元工程施工质量验收评定标准</w:t>
      </w:r>
    </w:p>
    <w:p>
      <w:pPr>
        <w:spacing w:line="360" w:lineRule="auto"/>
        <w:ind w:firstLine="420" w:firstLineChars="200"/>
        <w:rPr>
          <w:rFonts w:ascii="Times New Roman" w:hAnsi="Times New Roman" w:cs="Times New Roman"/>
        </w:rPr>
      </w:pPr>
      <w:r>
        <w:rPr>
          <w:rFonts w:hint="eastAsia" w:ascii="Times New Roman" w:hAnsi="Times New Roman" w:cs="Times New Roman"/>
        </w:rPr>
        <w:t>DL/T 443</w:t>
      </w:r>
      <w:r>
        <w:rPr>
          <w:rFonts w:hint="eastAsia" w:ascii="宋体" w:hAnsi="宋体" w:eastAsia="宋体" w:cstheme="minorEastAsia"/>
          <w:snapToGrid w:val="0"/>
          <w:kern w:val="0"/>
          <w:szCs w:val="21"/>
        </w:rPr>
        <w:t xml:space="preserve">  水轮发电机组及其附属设备出厂检验导则</w:t>
      </w:r>
    </w:p>
    <w:p>
      <w:pPr>
        <w:spacing w:line="360" w:lineRule="auto"/>
        <w:ind w:firstLine="420" w:firstLineChars="200"/>
        <w:rPr>
          <w:rFonts w:ascii="Times New Roman" w:hAnsi="Times New Roman" w:cs="Times New Roman"/>
        </w:rPr>
      </w:pPr>
      <w:r>
        <w:rPr>
          <w:rFonts w:hint="eastAsia" w:ascii="Times New Roman" w:hAnsi="Times New Roman" w:cs="Times New Roman"/>
        </w:rPr>
        <w:t xml:space="preserve">DL/T 444 </w:t>
      </w:r>
      <w:r>
        <w:rPr>
          <w:rFonts w:hint="eastAsia" w:ascii="宋体" w:hAnsi="宋体" w:eastAsia="宋体" w:cstheme="minorEastAsia"/>
          <w:snapToGrid w:val="0"/>
          <w:kern w:val="0"/>
          <w:szCs w:val="21"/>
        </w:rPr>
        <w:t xml:space="preserve"> 反击式水轮机磨蚀评价导则</w:t>
      </w:r>
    </w:p>
    <w:p>
      <w:pPr>
        <w:spacing w:line="360" w:lineRule="auto"/>
        <w:ind w:firstLine="420" w:firstLineChars="200"/>
        <w:rPr>
          <w:rFonts w:ascii="Times New Roman" w:hAnsi="Times New Roman" w:cs="Times New Roman"/>
        </w:rPr>
      </w:pPr>
      <w:r>
        <w:rPr>
          <w:rFonts w:hint="eastAsia" w:ascii="Times New Roman" w:hAnsi="Times New Roman" w:cs="Times New Roman"/>
        </w:rPr>
        <w:t xml:space="preserve">DL/T 474.2  </w:t>
      </w:r>
      <w:r>
        <w:rPr>
          <w:rFonts w:hint="eastAsia" w:asciiTheme="minorEastAsia" w:hAnsiTheme="minorEastAsia" w:cstheme="minorEastAsia"/>
        </w:rPr>
        <w:t xml:space="preserve">现场绝缘试验实施导则  </w:t>
      </w:r>
      <w:r>
        <w:rPr>
          <w:rFonts w:hint="eastAsia" w:ascii="宋体" w:hAnsi="宋体" w:eastAsia="宋体" w:cstheme="minorEastAsia"/>
          <w:snapToGrid w:val="0"/>
          <w:kern w:val="0"/>
          <w:szCs w:val="21"/>
        </w:rPr>
        <w:t>直流高电压试验</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DL/T 474.4</w:t>
      </w:r>
      <w:r>
        <w:rPr>
          <w:rFonts w:hint="eastAsia" w:asciiTheme="minorEastAsia" w:hAnsiTheme="minorEastAsia" w:cstheme="minorEastAsia"/>
        </w:rPr>
        <w:t xml:space="preserve">  现场绝缘试验实施导则  </w:t>
      </w:r>
      <w:r>
        <w:rPr>
          <w:rFonts w:hint="eastAsia" w:ascii="宋体" w:hAnsi="宋体" w:eastAsia="宋体" w:cstheme="minorEastAsia"/>
          <w:snapToGrid w:val="0"/>
          <w:kern w:val="0"/>
          <w:szCs w:val="21"/>
        </w:rPr>
        <w:t>交流耐压试验</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DL/T 489</w:t>
      </w:r>
      <w:r>
        <w:rPr>
          <w:rFonts w:hint="eastAsia" w:asciiTheme="minorEastAsia" w:hAnsiTheme="minorEastAsia" w:cstheme="minorEastAsia"/>
        </w:rPr>
        <w:tab/>
      </w:r>
      <w:r>
        <w:rPr>
          <w:rFonts w:hint="eastAsia" w:asciiTheme="minorEastAsia" w:hAnsiTheme="minorEastAsia" w:cstheme="minorEastAsia"/>
        </w:rPr>
        <w:t xml:space="preserve">  大中型水轮发电机静止整流励磁系统试验规程</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DL/T 507</w:t>
      </w:r>
      <w:r>
        <w:rPr>
          <w:rFonts w:hint="eastAsia" w:asciiTheme="minorEastAsia" w:hAnsiTheme="minorEastAsia" w:cstheme="minorEastAsia"/>
        </w:rPr>
        <w:tab/>
      </w:r>
      <w:r>
        <w:rPr>
          <w:rFonts w:hint="eastAsia" w:asciiTheme="minorEastAsia" w:hAnsiTheme="minorEastAsia" w:cstheme="minorEastAsia"/>
        </w:rPr>
        <w:t xml:space="preserve">  水轮发电机组启动试验规程</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DL/T 596</w:t>
      </w:r>
      <w:r>
        <w:rPr>
          <w:rFonts w:hint="eastAsia" w:asciiTheme="minorEastAsia" w:hAnsiTheme="minorEastAsia" w:cstheme="minorEastAsia"/>
        </w:rPr>
        <w:tab/>
      </w:r>
      <w:r>
        <w:rPr>
          <w:rFonts w:hint="eastAsia" w:asciiTheme="minorEastAsia" w:hAnsiTheme="minorEastAsia" w:cstheme="minorEastAsia"/>
        </w:rPr>
        <w:t xml:space="preserve">  电力设备预防性试验规程</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DL/T 822</w:t>
      </w:r>
      <w:r>
        <w:rPr>
          <w:rFonts w:hint="eastAsia" w:asciiTheme="minorEastAsia" w:hAnsiTheme="minorEastAsia" w:cstheme="minorEastAsia"/>
        </w:rPr>
        <w:tab/>
      </w:r>
      <w:r>
        <w:rPr>
          <w:rFonts w:hint="eastAsia" w:asciiTheme="minorEastAsia" w:hAnsiTheme="minorEastAsia" w:cstheme="minorEastAsia"/>
        </w:rPr>
        <w:t xml:space="preserve">  水电厂计算机监控系统试验验收规程</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DL/T 827</w:t>
      </w:r>
      <w:r>
        <w:rPr>
          <w:rFonts w:hint="eastAsia" w:asciiTheme="minorEastAsia" w:hAnsiTheme="minorEastAsia" w:cstheme="minorEastAsia"/>
        </w:rPr>
        <w:tab/>
      </w:r>
      <w:r>
        <w:rPr>
          <w:rFonts w:hint="eastAsia" w:asciiTheme="minorEastAsia" w:hAnsiTheme="minorEastAsia" w:cstheme="minorEastAsia"/>
        </w:rPr>
        <w:t xml:space="preserve">  灯泡贯流式水轮发电机组启动试验规程</w:t>
      </w:r>
    </w:p>
    <w:p>
      <w:pPr>
        <w:spacing w:line="360" w:lineRule="auto"/>
        <w:ind w:firstLine="420" w:firstLineChars="200"/>
        <w:rPr>
          <w:rFonts w:ascii="Times New Roman" w:hAnsi="Times New Roman" w:cs="Times New Roman"/>
        </w:rPr>
      </w:pPr>
      <w:r>
        <w:rPr>
          <w:rFonts w:hint="eastAsia" w:ascii="Times New Roman" w:hAnsi="Times New Roman" w:cs="Times New Roman"/>
        </w:rPr>
        <w:t xml:space="preserve">DL/T 5356 </w:t>
      </w:r>
      <w:r>
        <w:rPr>
          <w:rFonts w:hint="eastAsia" w:ascii="宋体" w:hAnsi="宋体" w:eastAsia="宋体" w:cstheme="minorEastAsia"/>
          <w:szCs w:val="21"/>
        </w:rPr>
        <w:t xml:space="preserve"> 水电工程土工试验规程</w:t>
      </w:r>
    </w:p>
    <w:p>
      <w:pPr>
        <w:spacing w:line="360" w:lineRule="auto"/>
        <w:ind w:firstLine="420" w:firstLineChars="200"/>
        <w:rPr>
          <w:rFonts w:ascii="Times New Roman" w:hAnsi="Times New Roman" w:cs="Times New Roman"/>
        </w:rPr>
      </w:pPr>
      <w:r>
        <w:rPr>
          <w:rFonts w:hint="eastAsia" w:ascii="Times New Roman" w:hAnsi="Times New Roman" w:cs="Times New Roman"/>
        </w:rPr>
        <w:t xml:space="preserve">DL/T 5406 </w:t>
      </w:r>
      <w:r>
        <w:rPr>
          <w:rFonts w:hint="eastAsia" w:ascii="宋体" w:hAnsi="宋体" w:eastAsia="宋体" w:cstheme="minorEastAsia"/>
          <w:szCs w:val="21"/>
        </w:rPr>
        <w:t xml:space="preserve"> 水工建筑物化学灌浆施工规范</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JGJ/T 23</w:t>
      </w:r>
      <w:r>
        <w:rPr>
          <w:rFonts w:hint="eastAsia" w:asciiTheme="minorEastAsia" w:hAnsiTheme="minorEastAsia" w:cstheme="minorEastAsia"/>
        </w:rPr>
        <w:t xml:space="preserve">  回弹法检测混凝土抗压强度技术规程</w:t>
      </w:r>
    </w:p>
    <w:p>
      <w:pPr>
        <w:spacing w:line="360" w:lineRule="auto"/>
        <w:ind w:firstLine="420" w:firstLineChars="200"/>
        <w:rPr>
          <w:rFonts w:ascii="Times New Roman" w:hAnsi="Times New Roman" w:cs="Times New Roman"/>
        </w:rPr>
      </w:pPr>
      <w:r>
        <w:rPr>
          <w:rFonts w:hint="eastAsia" w:ascii="Times New Roman" w:hAnsi="Times New Roman" w:cs="Times New Roman"/>
        </w:rPr>
        <w:t xml:space="preserve">JGJ/T 152  </w:t>
      </w:r>
      <w:r>
        <w:rPr>
          <w:rFonts w:hint="eastAsia" w:asciiTheme="minorEastAsia" w:hAnsiTheme="minorEastAsia" w:cstheme="minorEastAsia"/>
        </w:rPr>
        <w:t>混凝土中钢筋检测技术规程</w:t>
      </w:r>
    </w:p>
    <w:p>
      <w:pPr>
        <w:spacing w:line="360" w:lineRule="auto"/>
        <w:ind w:firstLine="420" w:firstLineChars="200"/>
        <w:rPr>
          <w:rFonts w:ascii="Times New Roman" w:hAnsi="Times New Roman" w:cs="Times New Roman"/>
        </w:rPr>
      </w:pPr>
      <w:r>
        <w:rPr>
          <w:rFonts w:hint="eastAsia" w:ascii="Times New Roman" w:hAnsi="Times New Roman" w:cs="Times New Roman"/>
        </w:rPr>
        <w:t xml:space="preserve">JTG E 20  </w:t>
      </w:r>
      <w:r>
        <w:rPr>
          <w:rFonts w:hint="eastAsia" w:asciiTheme="minorEastAsia" w:hAnsiTheme="minorEastAsia" w:cstheme="minorEastAsia"/>
        </w:rPr>
        <w:t>公路工程沥青及沥青混合料试验规程</w:t>
      </w:r>
    </w:p>
    <w:p>
      <w:pPr>
        <w:spacing w:line="360" w:lineRule="auto"/>
        <w:ind w:firstLine="420" w:firstLineChars="200"/>
        <w:rPr>
          <w:rFonts w:hint="eastAsia" w:ascii="宋体" w:hAnsi="宋体" w:eastAsia="宋体"/>
          <w:bCs/>
          <w:kern w:val="0"/>
          <w:szCs w:val="21"/>
        </w:rPr>
      </w:pPr>
      <w:r>
        <w:rPr>
          <w:rFonts w:hint="eastAsia" w:ascii="Times New Roman" w:hAnsi="Times New Roman" w:cs="Times New Roman"/>
        </w:rPr>
        <w:t>JT/T 746</w:t>
      </w:r>
      <w:r>
        <w:rPr>
          <w:rFonts w:hint="eastAsia" w:ascii="宋体" w:hAnsi="宋体" w:eastAsia="宋体"/>
          <w:bCs/>
          <w:kern w:val="0"/>
          <w:szCs w:val="21"/>
        </w:rPr>
        <w:t xml:space="preserve">  遥控无人潜水器协同潜水作业要求</w:t>
      </w:r>
    </w:p>
    <w:p>
      <w:pPr>
        <w:spacing w:line="360" w:lineRule="auto"/>
        <w:ind w:firstLine="420" w:firstLineChars="200"/>
        <w:rPr>
          <w:rFonts w:hint="eastAsia" w:ascii="宋体" w:hAnsi="宋体" w:eastAsia="宋体"/>
          <w:bCs/>
          <w:kern w:val="0"/>
          <w:szCs w:val="21"/>
        </w:rPr>
      </w:pPr>
      <w:r>
        <w:rPr>
          <w:rFonts w:hint="eastAsia" w:ascii="Times New Roman" w:hAnsi="Times New Roman" w:cs="Times New Roman"/>
        </w:rPr>
        <w:t>JT/T 790</w:t>
      </w:r>
      <w:r>
        <w:rPr>
          <w:rFonts w:hint="eastAsia" w:ascii="宋体" w:hAnsi="宋体" w:eastAsia="宋体"/>
          <w:bCs/>
          <w:kern w:val="0"/>
          <w:szCs w:val="21"/>
        </w:rPr>
        <w:t xml:space="preserve">  多波束测深系统测量技术要求</w:t>
      </w:r>
    </w:p>
    <w:p>
      <w:pPr>
        <w:spacing w:line="360" w:lineRule="auto"/>
        <w:ind w:firstLine="420" w:firstLineChars="200"/>
        <w:rPr>
          <w:rFonts w:ascii="Times New Roman" w:hAnsi="Times New Roman" w:cs="Times New Roman"/>
        </w:rPr>
      </w:pPr>
      <w:r>
        <w:rPr>
          <w:rFonts w:hint="eastAsia" w:ascii="Times New Roman" w:hAnsi="Times New Roman" w:cs="Times New Roman"/>
        </w:rPr>
        <w:t>NB/T 10078</w:t>
      </w:r>
      <w:r>
        <w:rPr>
          <w:rFonts w:hint="eastAsia" w:ascii="宋体" w:hAnsi="宋体" w:eastAsia="宋体" w:cstheme="minorEastAsia"/>
          <w:snapToGrid w:val="0"/>
          <w:kern w:val="0"/>
          <w:szCs w:val="21"/>
        </w:rPr>
        <w:t xml:space="preserve">  水轮机进水球阀选用、试验及验收规范</w:t>
      </w:r>
    </w:p>
    <w:p>
      <w:pPr>
        <w:spacing w:line="360" w:lineRule="auto"/>
        <w:ind w:firstLine="420" w:firstLineChars="200"/>
        <w:rPr>
          <w:rFonts w:ascii="Times New Roman" w:hAnsi="Times New Roman" w:cs="Times New Roman"/>
        </w:rPr>
      </w:pPr>
      <w:r>
        <w:rPr>
          <w:rFonts w:hint="eastAsia" w:ascii="Times New Roman" w:hAnsi="Times New Roman" w:cs="Times New Roman"/>
        </w:rPr>
        <w:t>NB/T 10970</w:t>
      </w:r>
      <w:r>
        <w:rPr>
          <w:rFonts w:hint="eastAsia" w:ascii="宋体" w:hAnsi="宋体" w:eastAsia="宋体" w:cstheme="minorEastAsia"/>
          <w:snapToGrid w:val="0"/>
          <w:kern w:val="0"/>
          <w:szCs w:val="21"/>
        </w:rPr>
        <w:t xml:space="preserve">  水轮机进水液动蝶阀选用、试验及验收规范</w:t>
      </w:r>
    </w:p>
    <w:p>
      <w:pPr>
        <w:spacing w:line="360" w:lineRule="auto"/>
        <w:ind w:firstLine="420" w:firstLineChars="200"/>
        <w:rPr>
          <w:rFonts w:hint="eastAsia" w:asciiTheme="minorEastAsia" w:hAnsiTheme="minorEastAsia" w:cstheme="minorEastAsia"/>
        </w:rPr>
      </w:pPr>
      <w:r>
        <w:rPr>
          <w:rFonts w:hint="eastAsia" w:ascii="Times New Roman" w:hAnsi="Times New Roman" w:cs="Times New Roman"/>
        </w:rPr>
        <w:t>NB/T 35010</w:t>
      </w:r>
      <w:r>
        <w:rPr>
          <w:rFonts w:hint="eastAsia" w:asciiTheme="minorEastAsia" w:hAnsiTheme="minorEastAsia" w:cstheme="minorEastAsia"/>
        </w:rPr>
        <w:t xml:space="preserve">  水力发电厂继电保护设计规范</w:t>
      </w:r>
    </w:p>
    <w:p>
      <w:pPr>
        <w:spacing w:line="360" w:lineRule="auto"/>
        <w:rPr>
          <w:rFonts w:hint="eastAsia" w:asciiTheme="minorEastAsia" w:hAnsiTheme="minorEastAsia" w:cstheme="minorEastAsia"/>
        </w:rPr>
      </w:pPr>
      <w:r>
        <w:rPr>
          <w:rFonts w:hint="eastAsia" w:ascii="黑体" w:hAnsi="黑体" w:eastAsia="黑体" w:cs="黑体"/>
        </w:rPr>
        <w:t xml:space="preserve">1.0.5  </w:t>
      </w:r>
      <w:r>
        <w:rPr>
          <w:rFonts w:hint="eastAsia" w:asciiTheme="minorEastAsia" w:hAnsiTheme="minorEastAsia" w:cstheme="minorEastAsia"/>
        </w:rPr>
        <w:t>水利工程质量检测除应符合本标准规定外，还应符合国家现行有关标准的规定。</w:t>
      </w:r>
    </w:p>
    <w:p>
      <w:pPr>
        <w:rPr>
          <w:rFonts w:hint="eastAsia" w:ascii="宋体" w:hAnsi="宋体" w:eastAsia="宋体" w:cs="宋体"/>
        </w:rPr>
      </w:pPr>
      <w:r>
        <w:rPr>
          <w:rFonts w:hint="eastAsia" w:ascii="宋体" w:hAnsi="宋体" w:eastAsia="宋体" w:cs="宋体"/>
        </w:rPr>
        <w:br w:type="page"/>
      </w:r>
    </w:p>
    <w:p>
      <w:pPr>
        <w:pStyle w:val="2"/>
        <w:rPr>
          <w:rFonts w:hint="eastAsia" w:ascii="黑体" w:hAnsi="黑体" w:eastAsia="黑体" w:cs="黑体"/>
          <w:b w:val="0"/>
          <w:bCs w:val="0"/>
          <w:sz w:val="28"/>
          <w:szCs w:val="28"/>
        </w:rPr>
      </w:pPr>
      <w:bookmarkStart w:id="17" w:name="_Toc28621"/>
      <w:bookmarkStart w:id="18" w:name="_Toc11992"/>
      <w:r>
        <w:rPr>
          <w:rFonts w:hint="eastAsia" w:ascii="黑体" w:hAnsi="黑体" w:eastAsia="黑体" w:cs="黑体"/>
          <w:b w:val="0"/>
          <w:bCs w:val="0"/>
          <w:sz w:val="28"/>
          <w:szCs w:val="28"/>
        </w:rPr>
        <w:t>2  术   语</w:t>
      </w:r>
      <w:bookmarkEnd w:id="17"/>
      <w:bookmarkEnd w:id="18"/>
    </w:p>
    <w:p>
      <w:pPr>
        <w:spacing w:line="360" w:lineRule="auto"/>
        <w:ind w:firstLine="420" w:firstLineChars="200"/>
      </w:pPr>
      <w:r>
        <w:rPr>
          <w:rFonts w:hint="eastAsia"/>
        </w:rPr>
        <w:t>下列术语及其定义适用于本标准。</w:t>
      </w:r>
    </w:p>
    <w:p>
      <w:pPr>
        <w:spacing w:line="360" w:lineRule="auto"/>
        <w:rPr>
          <w:rFonts w:hint="eastAsia" w:ascii="黑体" w:hAnsi="黑体" w:eastAsia="黑体" w:cs="黑体"/>
        </w:rPr>
      </w:pPr>
      <w:r>
        <w:rPr>
          <w:rFonts w:hint="eastAsia" w:ascii="黑体" w:hAnsi="黑体" w:eastAsia="黑体" w:cs="黑体"/>
        </w:rPr>
        <w:t>2.0.1  工程实体  project structure</w:t>
      </w:r>
    </w:p>
    <w:p>
      <w:pPr>
        <w:spacing w:line="360" w:lineRule="auto"/>
        <w:ind w:firstLine="420" w:firstLineChars="200"/>
      </w:pPr>
      <w:r>
        <w:rPr>
          <w:rFonts w:hint="eastAsia"/>
        </w:rPr>
        <w:t>由原材料、中间产品、构（部）件按一定的工艺或技术要求施工或制造、安装形成的结构体或设备。</w:t>
      </w:r>
    </w:p>
    <w:p>
      <w:pPr>
        <w:spacing w:line="360" w:lineRule="auto"/>
        <w:rPr>
          <w:rFonts w:hint="eastAsia" w:ascii="黑体" w:hAnsi="黑体" w:eastAsia="黑体" w:cs="黑体"/>
        </w:rPr>
      </w:pPr>
      <w:r>
        <w:rPr>
          <w:rFonts w:hint="eastAsia" w:ascii="黑体" w:hAnsi="黑体" w:eastAsia="黑体" w:cs="黑体"/>
        </w:rPr>
        <w:t>2.0.2  检测单元  detection unit</w:t>
      </w:r>
    </w:p>
    <w:p>
      <w:pPr>
        <w:spacing w:line="360" w:lineRule="auto"/>
        <w:ind w:firstLine="420" w:firstLineChars="200"/>
      </w:pPr>
      <w:r>
        <w:rPr>
          <w:rFonts w:hint="eastAsia"/>
        </w:rPr>
        <w:t>根据水利工程的结构或设备特点及检测工作需要，采取相应检测技术、方法划分的可独立评价其结果符合性的基本检测单位。</w:t>
      </w:r>
    </w:p>
    <w:p>
      <w:pPr>
        <w:spacing w:line="360" w:lineRule="auto"/>
        <w:rPr>
          <w:rFonts w:hint="eastAsia" w:ascii="黑体" w:hAnsi="黑体" w:eastAsia="黑体" w:cs="黑体"/>
        </w:rPr>
      </w:pPr>
      <w:r>
        <w:rPr>
          <w:rFonts w:hint="eastAsia" w:ascii="黑体" w:hAnsi="黑体" w:eastAsia="黑体" w:cs="黑体"/>
        </w:rPr>
        <w:t>2.0.3  测区  detection area</w:t>
      </w:r>
    </w:p>
    <w:p>
      <w:pPr>
        <w:spacing w:line="360" w:lineRule="auto"/>
        <w:ind w:firstLine="420" w:firstLineChars="200"/>
      </w:pPr>
      <w:r>
        <w:rPr>
          <w:rFonts w:hint="eastAsia"/>
        </w:rPr>
        <w:t>按检测方法要求，在检测单元内为取得检测数据而选定的测试区。</w:t>
      </w:r>
    </w:p>
    <w:p>
      <w:pPr>
        <w:spacing w:line="360" w:lineRule="auto"/>
        <w:rPr>
          <w:rFonts w:hint="eastAsia" w:ascii="黑体" w:hAnsi="黑体" w:eastAsia="黑体" w:cs="黑体"/>
        </w:rPr>
      </w:pPr>
      <w:r>
        <w:rPr>
          <w:rFonts w:hint="eastAsia" w:ascii="黑体" w:hAnsi="黑体" w:eastAsia="黑体" w:cs="黑体"/>
        </w:rPr>
        <w:t>2.0.4  测线  line of detection</w:t>
      </w:r>
    </w:p>
    <w:p>
      <w:pPr>
        <w:spacing w:line="360" w:lineRule="auto"/>
        <w:ind w:firstLine="420" w:firstLineChars="200"/>
      </w:pPr>
      <w:r>
        <w:rPr>
          <w:rFonts w:hint="eastAsia"/>
        </w:rPr>
        <w:t>按检测方法要求，在检测单元内为取得检测数据而选定的测试线段。</w:t>
      </w:r>
    </w:p>
    <w:p>
      <w:pPr>
        <w:spacing w:line="360" w:lineRule="auto"/>
        <w:rPr>
          <w:rFonts w:hint="eastAsia" w:ascii="黑体" w:hAnsi="黑体" w:eastAsia="黑体" w:cs="黑体"/>
        </w:rPr>
      </w:pPr>
      <w:r>
        <w:rPr>
          <w:rFonts w:hint="eastAsia" w:ascii="黑体" w:hAnsi="黑体" w:eastAsia="黑体" w:cs="黑体"/>
        </w:rPr>
        <w:t>2.0.5  测点   detection point</w:t>
      </w:r>
    </w:p>
    <w:p>
      <w:pPr>
        <w:spacing w:line="360" w:lineRule="auto"/>
        <w:ind w:firstLine="420" w:firstLineChars="200"/>
      </w:pPr>
      <w:r>
        <w:rPr>
          <w:rFonts w:hint="eastAsia"/>
        </w:rPr>
        <w:t>按检测方法要求，在检测单元内为取得检测数据而选定的测试点。</w:t>
      </w:r>
    </w:p>
    <w:p>
      <w:pPr>
        <w:spacing w:line="360" w:lineRule="auto"/>
        <w:rPr>
          <w:rFonts w:hint="eastAsia" w:ascii="黑体" w:hAnsi="黑体" w:eastAsia="黑体" w:cs="黑体"/>
        </w:rPr>
      </w:pPr>
      <w:r>
        <w:rPr>
          <w:rFonts w:hint="eastAsia" w:ascii="黑体" w:hAnsi="黑体" w:eastAsia="黑体" w:cs="黑体"/>
        </w:rPr>
        <w:t>2.0.6 结果评价  result evaluation</w:t>
      </w:r>
    </w:p>
    <w:p>
      <w:pPr>
        <w:spacing w:line="360" w:lineRule="auto"/>
        <w:ind w:firstLine="420" w:firstLineChars="200"/>
      </w:pPr>
      <w:r>
        <w:rPr>
          <w:rFonts w:hint="eastAsia"/>
        </w:rPr>
        <w:t>质量检测单位将质量检测成果与有关设计和技术标准进行比较，确定结果是否合格所进行的活动。</w:t>
      </w:r>
    </w:p>
    <w:p>
      <w:pPr>
        <w:spacing w:line="360" w:lineRule="auto"/>
        <w:rPr>
          <w:rFonts w:hint="eastAsia" w:ascii="黑体" w:hAnsi="黑体" w:eastAsia="黑体" w:cs="黑体"/>
        </w:rPr>
      </w:pPr>
      <w:r>
        <w:rPr>
          <w:rFonts w:hint="eastAsia" w:ascii="黑体" w:hAnsi="黑体" w:eastAsia="黑体" w:cs="黑体"/>
        </w:rPr>
        <w:t>2.0.7  全数检测  comprehensive inspection</w:t>
      </w:r>
    </w:p>
    <w:p>
      <w:pPr>
        <w:spacing w:line="360" w:lineRule="auto"/>
        <w:ind w:firstLine="420" w:firstLineChars="200"/>
      </w:pPr>
      <w:r>
        <w:rPr>
          <w:rFonts w:hint="eastAsia"/>
        </w:rPr>
        <w:t>根据标准对全部检测单元逐个进行检测，获得全部数据以判断全部检测单元是否合格的一种检测方法。</w:t>
      </w:r>
    </w:p>
    <w:p>
      <w:pPr>
        <w:spacing w:line="360" w:lineRule="auto"/>
        <w:rPr>
          <w:rFonts w:hint="eastAsia" w:ascii="黑体" w:hAnsi="黑体" w:eastAsia="黑体" w:cs="黑体"/>
        </w:rPr>
      </w:pPr>
      <w:r>
        <w:rPr>
          <w:rFonts w:hint="eastAsia" w:ascii="黑体" w:hAnsi="黑体" w:eastAsia="黑体" w:cs="黑体"/>
        </w:rPr>
        <w:t>2.0.8  抽样检测  sampling inspection</w:t>
      </w:r>
    </w:p>
    <w:p>
      <w:pPr>
        <w:spacing w:line="360" w:lineRule="auto"/>
        <w:ind w:firstLine="420" w:firstLineChars="200"/>
      </w:pPr>
      <w:r>
        <w:rPr>
          <w:rFonts w:hint="eastAsia"/>
        </w:rPr>
        <w:t>根据标准随机对部分检测单元进行检测，获得部分数据以推断全部检测单元是否合格的一种检测方法。</w:t>
      </w:r>
    </w:p>
    <w:p>
      <w:pPr>
        <w:ind w:firstLine="1050" w:firstLineChars="500"/>
        <w:rPr>
          <w:rFonts w:hint="eastAsia" w:ascii="黑体" w:hAnsi="黑体" w:eastAsia="黑体" w:cs="黑体"/>
          <w:i/>
          <w:iCs/>
          <w:color w:val="0000FF"/>
          <w:szCs w:val="21"/>
        </w:rPr>
      </w:pPr>
    </w:p>
    <w:p>
      <w:pPr>
        <w:ind w:firstLine="1050" w:firstLineChars="500"/>
        <w:rPr>
          <w:rFonts w:hint="eastAsia" w:ascii="黑体" w:hAnsi="黑体" w:eastAsia="黑体" w:cs="黑体"/>
          <w:i/>
          <w:iCs/>
          <w:color w:val="0000FF"/>
          <w:szCs w:val="21"/>
        </w:rPr>
      </w:pPr>
    </w:p>
    <w:p>
      <w:pPr>
        <w:ind w:firstLine="1050" w:firstLineChars="500"/>
        <w:rPr>
          <w:rFonts w:hint="eastAsia" w:ascii="黑体" w:hAnsi="黑体" w:eastAsia="黑体" w:cs="黑体"/>
          <w:i/>
          <w:iCs/>
          <w:color w:val="0000FF"/>
          <w:szCs w:val="21"/>
        </w:rPr>
      </w:pPr>
    </w:p>
    <w:p>
      <w:pPr>
        <w:ind w:firstLine="1050" w:firstLineChars="500"/>
        <w:rPr>
          <w:rFonts w:hint="eastAsia" w:ascii="黑体" w:hAnsi="黑体" w:eastAsia="黑体" w:cs="黑体"/>
          <w:i/>
          <w:iCs/>
          <w:color w:val="0000FF"/>
          <w:szCs w:val="21"/>
        </w:rPr>
      </w:pPr>
    </w:p>
    <w:p>
      <w:pPr>
        <w:ind w:firstLine="1050" w:firstLineChars="500"/>
        <w:rPr>
          <w:rFonts w:hint="eastAsia" w:ascii="黑体" w:hAnsi="黑体" w:eastAsia="黑体" w:cs="黑体"/>
          <w:i/>
          <w:iCs/>
          <w:color w:val="0000FF"/>
          <w:szCs w:val="21"/>
        </w:rPr>
      </w:pPr>
    </w:p>
    <w:p>
      <w:pPr>
        <w:ind w:firstLine="1050" w:firstLineChars="500"/>
        <w:rPr>
          <w:rFonts w:hint="eastAsia" w:ascii="黑体" w:hAnsi="黑体" w:eastAsia="黑体" w:cs="黑体"/>
          <w:i/>
          <w:iCs/>
          <w:color w:val="0000FF"/>
          <w:szCs w:val="21"/>
        </w:rPr>
      </w:pPr>
    </w:p>
    <w:p>
      <w:pPr>
        <w:ind w:firstLine="1050" w:firstLineChars="500"/>
        <w:rPr>
          <w:rFonts w:hint="eastAsia" w:ascii="黑体" w:hAnsi="黑体" w:eastAsia="黑体" w:cs="黑体"/>
          <w:i/>
          <w:iCs/>
          <w:color w:val="0000FF"/>
          <w:szCs w:val="21"/>
        </w:rPr>
      </w:pPr>
    </w:p>
    <w:p>
      <w:pPr>
        <w:ind w:firstLine="1050" w:firstLineChars="500"/>
        <w:rPr>
          <w:rFonts w:hint="eastAsia" w:ascii="黑体" w:hAnsi="黑体" w:eastAsia="黑体" w:cs="黑体"/>
          <w:i/>
          <w:iCs/>
          <w:color w:val="0000FF"/>
          <w:szCs w:val="21"/>
        </w:rPr>
      </w:pPr>
    </w:p>
    <w:p>
      <w:pPr>
        <w:ind w:firstLine="1050" w:firstLineChars="500"/>
        <w:rPr>
          <w:rFonts w:hint="eastAsia" w:ascii="黑体" w:hAnsi="黑体" w:eastAsia="黑体" w:cs="黑体"/>
          <w:i/>
          <w:iCs/>
          <w:color w:val="0000FF"/>
          <w:szCs w:val="21"/>
        </w:rPr>
      </w:pPr>
    </w:p>
    <w:p>
      <w:pPr>
        <w:ind w:firstLine="1050" w:firstLineChars="500"/>
        <w:rPr>
          <w:rFonts w:hint="eastAsia" w:ascii="黑体" w:hAnsi="黑体" w:eastAsia="黑体" w:cs="黑体"/>
          <w:i/>
          <w:iCs/>
          <w:color w:val="0000FF"/>
          <w:szCs w:val="21"/>
        </w:rPr>
      </w:pPr>
    </w:p>
    <w:p>
      <w:pPr>
        <w:ind w:firstLine="1050" w:firstLineChars="500"/>
        <w:rPr>
          <w:rFonts w:hint="eastAsia" w:ascii="黑体" w:hAnsi="黑体" w:eastAsia="黑体" w:cs="黑体"/>
          <w:i/>
          <w:iCs/>
          <w:color w:val="0000FF"/>
          <w:szCs w:val="21"/>
        </w:rPr>
      </w:pPr>
    </w:p>
    <w:p>
      <w:pPr>
        <w:ind w:firstLine="1050" w:firstLineChars="500"/>
        <w:rPr>
          <w:rFonts w:hint="eastAsia" w:ascii="黑体" w:hAnsi="黑体" w:eastAsia="黑体" w:cs="黑体"/>
          <w:i/>
          <w:iCs/>
          <w:color w:val="0000FF"/>
          <w:szCs w:val="21"/>
        </w:rPr>
      </w:pPr>
    </w:p>
    <w:p>
      <w:pPr>
        <w:ind w:firstLine="1050" w:firstLineChars="500"/>
        <w:rPr>
          <w:rFonts w:hint="eastAsia" w:ascii="黑体" w:hAnsi="黑体" w:eastAsia="黑体" w:cs="黑体"/>
          <w:i/>
          <w:iCs/>
          <w:color w:val="0000FF"/>
          <w:szCs w:val="21"/>
        </w:rPr>
      </w:pPr>
    </w:p>
    <w:p>
      <w:pPr>
        <w:ind w:firstLine="1050" w:firstLineChars="500"/>
        <w:rPr>
          <w:rFonts w:hint="eastAsia" w:ascii="黑体" w:hAnsi="黑体" w:eastAsia="黑体" w:cs="黑体"/>
          <w:i/>
          <w:iCs/>
          <w:color w:val="0000FF"/>
          <w:szCs w:val="21"/>
        </w:rPr>
      </w:pPr>
    </w:p>
    <w:p>
      <w:pPr>
        <w:ind w:firstLine="1050" w:firstLineChars="500"/>
        <w:rPr>
          <w:rFonts w:hint="eastAsia" w:ascii="黑体" w:hAnsi="黑体" w:eastAsia="黑体" w:cs="黑体"/>
          <w:i/>
          <w:iCs/>
          <w:color w:val="0000FF"/>
          <w:szCs w:val="21"/>
        </w:rPr>
      </w:pPr>
    </w:p>
    <w:p>
      <w:pPr>
        <w:pStyle w:val="2"/>
        <w:rPr>
          <w:rFonts w:hint="eastAsia" w:ascii="黑体" w:hAnsi="黑体" w:eastAsia="黑体" w:cs="黑体"/>
          <w:b w:val="0"/>
          <w:bCs w:val="0"/>
          <w:sz w:val="28"/>
          <w:szCs w:val="28"/>
        </w:rPr>
      </w:pPr>
      <w:bookmarkStart w:id="19" w:name="_Toc14054"/>
      <w:r>
        <w:rPr>
          <w:rFonts w:hint="eastAsia" w:ascii="黑体" w:hAnsi="黑体" w:eastAsia="黑体" w:cs="黑体"/>
          <w:b w:val="0"/>
          <w:bCs w:val="0"/>
          <w:sz w:val="28"/>
          <w:szCs w:val="28"/>
        </w:rPr>
        <w:t>3  基 本 规 定</w:t>
      </w:r>
      <w:bookmarkEnd w:id="19"/>
    </w:p>
    <w:p>
      <w:pPr>
        <w:spacing w:line="360" w:lineRule="auto"/>
      </w:pPr>
      <w:r>
        <w:rPr>
          <w:rFonts w:hint="eastAsia" w:ascii="黑体" w:hAnsi="黑体" w:eastAsia="黑体" w:cs="黑体"/>
        </w:rPr>
        <w:t>3.0.1　</w:t>
      </w:r>
      <w:r>
        <w:rPr>
          <w:rFonts w:hint="eastAsia"/>
        </w:rPr>
        <w:t>检测单元的划分应遵循下列原则：</w:t>
      </w:r>
      <w:r>
        <w:t xml:space="preserve"> </w:t>
      </w:r>
    </w:p>
    <w:p>
      <w:pPr>
        <w:spacing w:line="360" w:lineRule="auto"/>
        <w:ind w:firstLine="420" w:firstLineChars="200"/>
      </w:pPr>
      <w:r>
        <w:rPr>
          <w:rFonts w:hint="eastAsia" w:ascii="黑体" w:hAnsi="黑体" w:eastAsia="黑体" w:cs="黑体"/>
        </w:rPr>
        <w:t>1　</w:t>
      </w:r>
      <w:r>
        <w:rPr>
          <w:rFonts w:hint="eastAsia"/>
        </w:rPr>
        <w:t>检测单元划分宜与结构设计</w:t>
      </w:r>
      <w:r>
        <w:rPr>
          <w:rFonts w:hint="eastAsia" w:ascii="宋体" w:hAnsi="宋体" w:eastAsia="宋体" w:cs="宋体"/>
        </w:rPr>
        <w:t>(分缝、分段、分块) 或功</w:t>
      </w:r>
      <w:r>
        <w:rPr>
          <w:rFonts w:hint="eastAsia"/>
        </w:rPr>
        <w:t>能相结合。</w:t>
      </w:r>
    </w:p>
    <w:p>
      <w:pPr>
        <w:spacing w:line="360" w:lineRule="auto"/>
        <w:ind w:firstLine="420" w:firstLineChars="200"/>
      </w:pPr>
      <w:r>
        <w:rPr>
          <w:rFonts w:hint="eastAsia" w:ascii="黑体" w:hAnsi="黑体" w:eastAsia="黑体" w:cs="黑体"/>
        </w:rPr>
        <w:t>2　</w:t>
      </w:r>
      <w:r>
        <w:rPr>
          <w:rFonts w:hint="eastAsia"/>
        </w:rPr>
        <w:t>对于梁、柱、桩或板类的结构体，可将单根梁、柱、桩或单块板划分为一个检测单元；对于体积</w:t>
      </w:r>
      <w:r>
        <w:rPr>
          <w:rFonts w:hint="eastAsia" w:ascii="宋体" w:hAnsi="宋体" w:eastAsia="宋体" w:cs="宋体"/>
        </w:rPr>
        <w:t>(面积)较大</w:t>
      </w:r>
      <w:r>
        <w:rPr>
          <w:rFonts w:hint="eastAsia"/>
        </w:rPr>
        <w:t>、线路较长的结构体，应根据使用的检测方法分块、分段划分检测单元。</w:t>
      </w:r>
    </w:p>
    <w:p>
      <w:pPr>
        <w:spacing w:line="360" w:lineRule="auto"/>
        <w:ind w:firstLine="420" w:firstLineChars="200"/>
        <w:rPr>
          <w:rFonts w:hint="eastAsia" w:asciiTheme="minorEastAsia" w:hAnsiTheme="minorEastAsia" w:cstheme="minorEastAsia"/>
        </w:rPr>
      </w:pPr>
      <w:r>
        <w:rPr>
          <w:rFonts w:hint="eastAsia" w:ascii="黑体" w:hAnsi="黑体" w:eastAsia="黑体" w:cs="黑体"/>
        </w:rPr>
        <w:t>3　</w:t>
      </w:r>
      <w:r>
        <w:rPr>
          <w:rFonts w:hint="eastAsia"/>
        </w:rPr>
        <w:t>对于金属结构、机电设备，以单</w:t>
      </w:r>
      <w:r>
        <w:rPr>
          <w:rFonts w:hint="eastAsia" w:asciiTheme="minorEastAsia" w:hAnsiTheme="minorEastAsia" w:cstheme="minorEastAsia"/>
        </w:rPr>
        <w:t>台(套、扇)或制造段(安装段)作为一个检测单元。</w:t>
      </w:r>
    </w:p>
    <w:p>
      <w:pPr>
        <w:spacing w:line="360" w:lineRule="auto"/>
        <w:rPr>
          <w:rFonts w:hint="eastAsia" w:ascii="MS Gothic" w:hAnsi="MS Gothic" w:cs="MS Gothic"/>
          <w:i/>
          <w:iCs/>
          <w:color w:val="0000FF"/>
          <w:szCs w:val="21"/>
        </w:rPr>
      </w:pPr>
      <w:r>
        <w:rPr>
          <w:rFonts w:hint="eastAsia" w:ascii="黑体" w:hAnsi="黑体" w:eastAsia="黑体" w:cs="黑体"/>
        </w:rPr>
        <w:t xml:space="preserve">3.0.2  </w:t>
      </w:r>
      <w:r>
        <w:rPr>
          <w:rFonts w:hint="eastAsia"/>
        </w:rPr>
        <w:t>应对原材料、中间产品和设备质量检测，检测合格后方可使用；未经检测或检测不合格，不得用于工程。</w:t>
      </w:r>
    </w:p>
    <w:p>
      <w:pPr>
        <w:spacing w:line="360" w:lineRule="auto"/>
        <w:rPr>
          <w:rFonts w:hint="eastAsia" w:asciiTheme="minorEastAsia" w:hAnsiTheme="minorEastAsia" w:cstheme="minorEastAsia"/>
        </w:rPr>
      </w:pPr>
      <w:r>
        <w:rPr>
          <w:rFonts w:hint="eastAsia" w:ascii="黑体" w:hAnsi="黑体" w:eastAsia="黑体" w:cs="黑体"/>
        </w:rPr>
        <w:t xml:space="preserve">3.0.3 </w:t>
      </w:r>
      <w:r>
        <w:rPr>
          <w:rFonts w:hint="eastAsia" w:asciiTheme="minorEastAsia" w:hAnsiTheme="minorEastAsia" w:cstheme="minorEastAsia"/>
        </w:rPr>
        <w:t xml:space="preserve"> </w:t>
      </w:r>
      <w:r>
        <w:rPr>
          <w:rFonts w:hint="eastAsia" w:ascii="宋体" w:hAnsi="宋体" w:eastAsia="宋体"/>
        </w:rPr>
        <w:t>在对工程实体进行质量检测时，应优先选用无损检测方法，宜避免对工程实体造成损伤。必要且具备条件时应对原材料、中间产品、构（部）件进行质量检测。</w:t>
      </w:r>
    </w:p>
    <w:p>
      <w:pPr>
        <w:spacing w:line="360" w:lineRule="auto"/>
        <w:rPr>
          <w:rFonts w:hint="eastAsia" w:ascii="宋体" w:hAnsi="宋体" w:eastAsia="宋体"/>
        </w:rPr>
      </w:pPr>
      <w:r>
        <w:rPr>
          <w:rFonts w:hint="eastAsia" w:ascii="黑体" w:hAnsi="黑体" w:eastAsia="黑体" w:cs="黑体"/>
        </w:rPr>
        <w:t>3.0.4</w:t>
      </w:r>
      <w:r>
        <w:rPr>
          <w:rFonts w:hint="eastAsia" w:ascii="宋体" w:hAnsi="宋体" w:eastAsia="宋体"/>
        </w:rPr>
        <w:t xml:space="preserve">  同一个检测项目，有多种检测方法可以选择时，应优先选择成熟可靠且经过验证的检测方法。</w:t>
      </w:r>
    </w:p>
    <w:p>
      <w:pPr>
        <w:spacing w:line="360" w:lineRule="auto"/>
        <w:rPr>
          <w:rFonts w:hint="eastAsia" w:asciiTheme="minorEastAsia" w:hAnsiTheme="minorEastAsia" w:cstheme="minorEastAsia"/>
        </w:rPr>
      </w:pPr>
      <w:r>
        <w:rPr>
          <w:rFonts w:hint="eastAsia" w:ascii="黑体" w:hAnsi="黑体" w:eastAsia="黑体" w:cs="黑体"/>
        </w:rPr>
        <w:t>3.0.5</w:t>
      </w:r>
      <w:r>
        <w:rPr>
          <w:rFonts w:hint="eastAsia" w:asciiTheme="minorEastAsia" w:hAnsiTheme="minorEastAsia" w:cstheme="minorEastAsia"/>
        </w:rPr>
        <w:t xml:space="preserve">  工程质量检测中，检测项目出现不合格时，检测单位确认后应及时通知委托方。委托方应进一步组织有关单位确认，按照有关规定进行处理。</w:t>
      </w:r>
    </w:p>
    <w:p>
      <w:pPr>
        <w:spacing w:line="360" w:lineRule="auto"/>
        <w:rPr>
          <w:rFonts w:hint="eastAsia" w:asciiTheme="minorEastAsia" w:hAnsiTheme="minorEastAsia" w:cstheme="minorEastAsia"/>
        </w:rPr>
      </w:pPr>
      <w:r>
        <w:rPr>
          <w:rFonts w:hint="eastAsia" w:ascii="黑体" w:hAnsi="黑体" w:eastAsia="黑体" w:cs="黑体"/>
        </w:rPr>
        <w:t xml:space="preserve">3.0.6 </w:t>
      </w:r>
      <w:r>
        <w:rPr>
          <w:rFonts w:hint="eastAsia" w:asciiTheme="minorEastAsia" w:hAnsiTheme="minorEastAsia" w:cstheme="minorEastAsia"/>
        </w:rPr>
        <w:t xml:space="preserve"> 检测单位的质量检测活动应客观、公正、规范，并接受水行政主管部门的监督管理。</w:t>
      </w:r>
    </w:p>
    <w:p>
      <w:pPr>
        <w:spacing w:line="360" w:lineRule="auto"/>
        <w:rPr>
          <w:rFonts w:hint="eastAsia" w:asciiTheme="minorEastAsia" w:hAnsiTheme="minorEastAsia" w:cstheme="minorEastAsia"/>
        </w:rPr>
      </w:pPr>
      <w:r>
        <w:rPr>
          <w:rFonts w:hint="eastAsia" w:ascii="黑体" w:hAnsi="黑体" w:eastAsia="黑体" w:cs="黑体"/>
        </w:rPr>
        <w:t>3.0.7</w:t>
      </w:r>
      <w:r>
        <w:rPr>
          <w:rFonts w:hint="eastAsia" w:asciiTheme="minorEastAsia" w:hAnsiTheme="minorEastAsia" w:cstheme="minorEastAsia"/>
        </w:rPr>
        <w:t xml:space="preserve">  检测单位和检测人员应按相关规定开展质量检测工作，对检测数据和检测报告的真实性、准确性负责。质量检测单位检测工作流程见附录A，水利工程质量检测报告的基本要求见附录B。</w:t>
      </w:r>
    </w:p>
    <w:p>
      <w:pPr>
        <w:spacing w:line="360" w:lineRule="auto"/>
      </w:pPr>
      <w:r>
        <w:rPr>
          <w:rFonts w:hint="eastAsia" w:ascii="黑体" w:hAnsi="黑体" w:eastAsia="黑体" w:cs="黑体"/>
        </w:rPr>
        <w:t>3.0.8</w:t>
      </w:r>
      <w:r>
        <w:rPr>
          <w:rFonts w:hint="eastAsia" w:asciiTheme="minorEastAsia" w:hAnsiTheme="minorEastAsia" w:cstheme="minorEastAsia"/>
        </w:rPr>
        <w:t xml:space="preserve">  </w:t>
      </w:r>
      <w:r>
        <w:rPr>
          <w:rFonts w:hint="eastAsia"/>
        </w:rPr>
        <w:t>检测原始记录、分析计算等成果资料应完整齐全，按档案管理规定永久保存。</w:t>
      </w:r>
      <w:r>
        <w:rPr>
          <w:rFonts w:hint="eastAsia" w:asciiTheme="minorEastAsia" w:hAnsiTheme="minorEastAsia" w:cstheme="minorEastAsia"/>
        </w:rPr>
        <w:t>检测</w:t>
      </w:r>
      <w:r>
        <w:rPr>
          <w:rFonts w:hint="eastAsia"/>
        </w:rPr>
        <w:t>有不合格结果时，应建立检测不合格项台账登记备查。</w:t>
      </w:r>
    </w:p>
    <w:p>
      <w:pPr>
        <w:spacing w:line="360" w:lineRule="auto"/>
      </w:pPr>
      <w:r>
        <w:rPr>
          <w:rFonts w:hint="eastAsia" w:ascii="黑体" w:hAnsi="黑体" w:eastAsia="黑体" w:cs="黑体"/>
        </w:rPr>
        <w:t>3.0.9</w:t>
      </w:r>
      <w:r>
        <w:rPr>
          <w:rFonts w:hint="eastAsia"/>
        </w:rPr>
        <w:t xml:space="preserve">  水利工程项目中的交通、电力、建筑、市政等采用相应行业技术标准设计、施工的，工程质量检测应符合相应行业的规定及技术标准要求。</w:t>
      </w:r>
    </w:p>
    <w:p>
      <w:pPr>
        <w:spacing w:line="360" w:lineRule="auto"/>
      </w:pPr>
      <w:r>
        <w:rPr>
          <w:rFonts w:hint="eastAsia" w:ascii="黑体" w:hAnsi="黑体" w:eastAsia="黑体" w:cs="黑体"/>
        </w:rPr>
        <w:t xml:space="preserve">3.0.10 </w:t>
      </w:r>
      <w:r>
        <w:rPr>
          <w:rFonts w:hint="eastAsia"/>
        </w:rPr>
        <w:t xml:space="preserve"> 检测单位资质等级应与其承担质量检测业务的水利工程等级匹配。</w:t>
      </w:r>
    </w:p>
    <w:p>
      <w:pPr>
        <w:spacing w:line="360" w:lineRule="auto"/>
      </w:pPr>
      <w:r>
        <w:rPr>
          <w:rFonts w:hint="eastAsia" w:ascii="黑体" w:hAnsi="黑体" w:eastAsia="黑体" w:cs="黑体"/>
        </w:rPr>
        <w:t xml:space="preserve">3.0.11 </w:t>
      </w:r>
      <w:r>
        <w:rPr>
          <w:rFonts w:hint="eastAsia"/>
        </w:rPr>
        <w:t xml:space="preserve"> 从事水利工程质量检测的专业技术人员，应具备相应的质量检测知识和能力，并取得相应的从业资格。</w:t>
      </w:r>
    </w:p>
    <w:p>
      <w:pPr>
        <w:spacing w:line="360" w:lineRule="auto"/>
      </w:pPr>
      <w:r>
        <w:rPr>
          <w:rFonts w:hint="eastAsia" w:ascii="黑体" w:hAnsi="黑体" w:eastAsia="黑体" w:cs="黑体"/>
        </w:rPr>
        <w:t xml:space="preserve">3.0.12  </w:t>
      </w:r>
      <w:r>
        <w:rPr>
          <w:rFonts w:hint="eastAsia"/>
        </w:rPr>
        <w:t>质量检测单位应积极采用经试验论证其确实可靠的新技术、新材料、新工艺、新产品、新设备开展质量检测活动。</w:t>
      </w:r>
    </w:p>
    <w:p>
      <w:pPr>
        <w:spacing w:line="360" w:lineRule="auto"/>
      </w:pPr>
      <w:r>
        <w:rPr>
          <w:rFonts w:hint="eastAsia" w:ascii="黑体" w:hAnsi="黑体" w:eastAsia="黑体" w:cs="黑体"/>
        </w:rPr>
        <w:t xml:space="preserve">3.0.13  </w:t>
      </w:r>
      <w:r>
        <w:rPr>
          <w:rFonts w:hint="eastAsia"/>
        </w:rPr>
        <w:t>检测单位应进行信息化检测数据实时传输和检测流程信息化管理，保证检测作业全过程可追溯。</w:t>
      </w:r>
    </w:p>
    <w:p>
      <w:pPr>
        <w:spacing w:line="360" w:lineRule="auto"/>
      </w:pPr>
      <w:r>
        <w:rPr>
          <w:rFonts w:hint="eastAsia" w:ascii="黑体" w:hAnsi="黑体" w:eastAsia="黑体" w:cs="黑体"/>
        </w:rPr>
        <w:t xml:space="preserve">3.0.14  </w:t>
      </w:r>
      <w:r>
        <w:rPr>
          <w:rFonts w:hint="eastAsia"/>
        </w:rPr>
        <w:t>已进行数字化和信息化智慧水利平台建设的工程，应进行在线监测系统质量检测，确定质量是否合格。</w:t>
      </w:r>
    </w:p>
    <w:p>
      <w:pPr>
        <w:spacing w:line="360" w:lineRule="auto"/>
        <w:rPr>
          <w:rFonts w:hint="eastAsia" w:ascii="黑体" w:hAnsi="黑体" w:eastAsia="黑体" w:cs="黑体"/>
          <w:i/>
          <w:iCs/>
          <w:color w:val="0000FF"/>
          <w:szCs w:val="21"/>
        </w:rPr>
        <w:sectPr>
          <w:footerReference r:id="rId11" w:type="default"/>
          <w:pgSz w:w="11907" w:h="16839"/>
          <w:pgMar w:top="1440" w:right="1803" w:bottom="1440" w:left="1800" w:header="0" w:footer="737" w:gutter="0"/>
          <w:pgNumType w:start="1"/>
          <w:cols w:space="720" w:num="1"/>
          <w:docGrid w:linePitch="286" w:charSpace="0"/>
        </w:sectPr>
      </w:pPr>
      <w:r>
        <w:rPr>
          <w:rFonts w:hint="eastAsia" w:ascii="MS Gothic" w:hAnsi="MS Gothic" w:eastAsia="MS Gothic" w:cs="MS Gothic"/>
          <w:i/>
          <w:iCs/>
          <w:color w:val="0000FF"/>
          <w:szCs w:val="21"/>
        </w:rPr>
        <w:t>‌</w:t>
      </w:r>
    </w:p>
    <w:p>
      <w:pPr>
        <w:pStyle w:val="2"/>
        <w:rPr>
          <w:rFonts w:hint="eastAsia" w:ascii="黑体" w:hAnsi="黑体" w:eastAsia="黑体" w:cs="黑体"/>
          <w:b w:val="0"/>
          <w:bCs w:val="0"/>
          <w:sz w:val="28"/>
          <w:szCs w:val="28"/>
        </w:rPr>
      </w:pPr>
      <w:bookmarkStart w:id="20" w:name="_Toc21968"/>
      <w:r>
        <w:rPr>
          <w:rFonts w:hint="eastAsia" w:ascii="黑体" w:hAnsi="黑体" w:eastAsia="黑体" w:cs="黑体"/>
          <w:b w:val="0"/>
          <w:bCs w:val="0"/>
          <w:sz w:val="28"/>
          <w:szCs w:val="28"/>
        </w:rPr>
        <w:t>4 地基与基础工程</w:t>
      </w:r>
      <w:bookmarkEnd w:id="20"/>
    </w:p>
    <w:p>
      <w:pPr>
        <w:pStyle w:val="3"/>
        <w:snapToGrid w:val="0"/>
        <w:spacing w:beforeLines="50" w:afterLines="50" w:line="360" w:lineRule="auto"/>
        <w:jc w:val="center"/>
        <w:rPr>
          <w:rFonts w:asciiTheme="minorEastAsia" w:hAnsiTheme="minorEastAsia" w:eastAsiaTheme="minorEastAsia"/>
          <w:sz w:val="24"/>
          <w:szCs w:val="24"/>
        </w:rPr>
      </w:pPr>
      <w:bookmarkStart w:id="21" w:name="_Toc19748"/>
      <w:r>
        <w:rPr>
          <w:rFonts w:ascii="黑体" w:hAnsi="黑体" w:cs="黑体"/>
          <w:sz w:val="24"/>
          <w:szCs w:val="24"/>
        </w:rPr>
        <w:t>4.1 一般规定</w:t>
      </w:r>
      <w:bookmarkEnd w:id="21"/>
    </w:p>
    <w:p>
      <w:pPr>
        <w:snapToGrid w:val="0"/>
        <w:spacing w:line="360" w:lineRule="auto"/>
        <w:rPr>
          <w:rFonts w:hint="eastAsia" w:asciiTheme="minorEastAsia" w:hAnsiTheme="minorEastAsia" w:cstheme="majorBidi"/>
          <w:bCs/>
          <w:szCs w:val="21"/>
        </w:rPr>
      </w:pPr>
      <w:r>
        <w:rPr>
          <w:rFonts w:hint="eastAsia" w:ascii="黑体" w:hAnsi="黑体" w:eastAsia="黑体" w:cs="黑体"/>
          <w:szCs w:val="21"/>
        </w:rPr>
        <w:t>4.1.1</w:t>
      </w:r>
      <w:r>
        <w:rPr>
          <w:rFonts w:cs="Times New Roman" w:asciiTheme="minorEastAsia" w:hAnsiTheme="minorEastAsia"/>
          <w:szCs w:val="21"/>
        </w:rPr>
        <w:t xml:space="preserve"> </w:t>
      </w:r>
      <w:r>
        <w:rPr>
          <w:rFonts w:cs="Times New Roman" w:asciiTheme="minorEastAsia" w:hAnsiTheme="minorEastAsia"/>
          <w:bCs/>
          <w:szCs w:val="21"/>
        </w:rPr>
        <w:t xml:space="preserve"> </w:t>
      </w:r>
      <w:r>
        <w:rPr>
          <w:rFonts w:hint="eastAsia" w:cs="Times New Roman" w:asciiTheme="minorEastAsia" w:hAnsiTheme="minorEastAsia"/>
          <w:bCs/>
          <w:szCs w:val="21"/>
        </w:rPr>
        <w:t>地基与基础</w:t>
      </w:r>
      <w:r>
        <w:rPr>
          <w:rFonts w:hint="eastAsia" w:asciiTheme="minorEastAsia" w:hAnsiTheme="minorEastAsia" w:cstheme="majorBidi"/>
          <w:bCs/>
          <w:szCs w:val="21"/>
        </w:rPr>
        <w:t>工程质量检测应包括为设计提供依据的试验检测、施工质量检测以及为验收提供依据的</w:t>
      </w:r>
      <w:bookmarkStart w:id="22" w:name="OLE_LINK9"/>
      <w:r>
        <w:rPr>
          <w:rFonts w:hint="eastAsia" w:asciiTheme="minorEastAsia" w:hAnsiTheme="minorEastAsia" w:cstheme="majorBidi"/>
          <w:bCs/>
          <w:szCs w:val="21"/>
        </w:rPr>
        <w:t>工程质量检测</w:t>
      </w:r>
      <w:bookmarkEnd w:id="22"/>
      <w:r>
        <w:rPr>
          <w:rFonts w:hint="eastAsia" w:asciiTheme="minorEastAsia" w:hAnsiTheme="minorEastAsia" w:cstheme="majorBidi"/>
          <w:bCs/>
          <w:szCs w:val="21"/>
        </w:rPr>
        <w:t>，需要验证承载力及变形参数的地基应按设计要求或采用载荷试验进行检测。</w:t>
      </w:r>
    </w:p>
    <w:p>
      <w:pPr>
        <w:snapToGrid w:val="0"/>
        <w:spacing w:line="360" w:lineRule="auto"/>
        <w:rPr>
          <w:rFonts w:hint="eastAsia" w:asciiTheme="minorEastAsia" w:hAnsiTheme="minorEastAsia" w:cstheme="majorBidi"/>
          <w:bCs/>
          <w:szCs w:val="21"/>
        </w:rPr>
      </w:pPr>
      <w:r>
        <w:rPr>
          <w:rFonts w:hint="eastAsia" w:ascii="黑体" w:hAnsi="黑体" w:eastAsia="黑体" w:cs="黑体"/>
          <w:szCs w:val="21"/>
        </w:rPr>
        <w:t>4.1.2</w:t>
      </w:r>
      <w:r>
        <w:rPr>
          <w:rFonts w:hint="eastAsia" w:asciiTheme="minorEastAsia" w:hAnsiTheme="minorEastAsia" w:cstheme="majorBidi"/>
          <w:bCs/>
          <w:szCs w:val="21"/>
        </w:rPr>
        <w:t xml:space="preserve">  </w:t>
      </w:r>
      <w:r>
        <w:rPr>
          <w:rFonts w:hint="eastAsia" w:cs="Times New Roman" w:asciiTheme="minorEastAsia" w:hAnsiTheme="minorEastAsia"/>
          <w:bCs/>
          <w:szCs w:val="21"/>
        </w:rPr>
        <w:t>检测前应进行现场调查，应根据检测目的和要求对工程情况和现场环境条件进行资料收集和分析。</w:t>
      </w:r>
    </w:p>
    <w:p>
      <w:pPr>
        <w:snapToGrid w:val="0"/>
        <w:spacing w:line="360" w:lineRule="auto"/>
        <w:rPr>
          <w:rFonts w:hint="eastAsia" w:cs="Times New Roman" w:asciiTheme="minorEastAsia" w:hAnsiTheme="minorEastAsia"/>
          <w:bCs/>
          <w:szCs w:val="21"/>
        </w:rPr>
      </w:pPr>
      <w:r>
        <w:rPr>
          <w:rFonts w:hint="eastAsia" w:ascii="黑体" w:hAnsi="黑体" w:eastAsia="黑体" w:cs="黑体"/>
          <w:szCs w:val="21"/>
        </w:rPr>
        <w:t>4.1.3</w:t>
      </w:r>
      <w:r>
        <w:rPr>
          <w:rFonts w:cs="Times New Roman" w:asciiTheme="minorEastAsia" w:hAnsiTheme="minorEastAsia"/>
          <w:b/>
          <w:szCs w:val="21"/>
        </w:rPr>
        <w:t xml:space="preserve"> </w:t>
      </w:r>
      <w:r>
        <w:rPr>
          <w:rFonts w:hint="eastAsia" w:cs="黑体" w:asciiTheme="minorEastAsia" w:hAnsiTheme="minorEastAsia"/>
          <w:szCs w:val="21"/>
        </w:rPr>
        <w:t xml:space="preserve"> </w:t>
      </w:r>
      <w:r>
        <w:rPr>
          <w:rFonts w:hint="eastAsia" w:cs="Times New Roman" w:asciiTheme="minorEastAsia" w:hAnsiTheme="minorEastAsia"/>
          <w:bCs/>
          <w:szCs w:val="21"/>
        </w:rPr>
        <w:t>应根据检测目的、实施对象、工程状态、检测环境及检测指标要求等，制定检测技术方案。</w:t>
      </w:r>
    </w:p>
    <w:p>
      <w:pPr>
        <w:snapToGrid w:val="0"/>
        <w:spacing w:line="360" w:lineRule="auto"/>
        <w:rPr>
          <w:rFonts w:hint="eastAsia" w:asciiTheme="minorEastAsia" w:hAnsiTheme="minorEastAsia"/>
          <w:szCs w:val="21"/>
        </w:rPr>
      </w:pPr>
      <w:r>
        <w:rPr>
          <w:rFonts w:hint="eastAsia" w:ascii="黑体" w:hAnsi="黑体" w:eastAsia="黑体" w:cs="黑体"/>
          <w:szCs w:val="21"/>
        </w:rPr>
        <w:t>4.1.4</w:t>
      </w:r>
      <w:r>
        <w:rPr>
          <w:rFonts w:hint="eastAsia" w:asciiTheme="minorEastAsia" w:hAnsiTheme="minorEastAsia"/>
          <w:szCs w:val="21"/>
        </w:rPr>
        <w:t xml:space="preserve">  </w:t>
      </w:r>
      <w:r>
        <w:rPr>
          <w:rFonts w:hint="eastAsia" w:cs="Times New Roman" w:asciiTheme="minorEastAsia" w:hAnsiTheme="minorEastAsia"/>
          <w:bCs/>
          <w:szCs w:val="21"/>
        </w:rPr>
        <w:t>检测工作宜采用多种检测方法相结合，多种检测方法的成果应能互相对比和验证。检测成果应真实、直观的反映工程质量状态。</w:t>
      </w:r>
    </w:p>
    <w:p>
      <w:pPr>
        <w:pStyle w:val="3"/>
        <w:snapToGrid w:val="0"/>
        <w:spacing w:beforeLines="50" w:afterLines="50" w:line="360" w:lineRule="auto"/>
        <w:jc w:val="center"/>
        <w:rPr>
          <w:rFonts w:ascii="黑体" w:hAnsi="黑体" w:cs="黑体"/>
          <w:sz w:val="24"/>
          <w:szCs w:val="24"/>
        </w:rPr>
      </w:pPr>
      <w:bookmarkStart w:id="23" w:name="_Toc28229"/>
      <w:bookmarkStart w:id="24" w:name="_Toc6366"/>
      <w:bookmarkStart w:id="25" w:name="_Toc17752"/>
      <w:r>
        <w:rPr>
          <w:rFonts w:ascii="黑体" w:hAnsi="黑体" w:cs="黑体"/>
          <w:sz w:val="24"/>
          <w:szCs w:val="24"/>
        </w:rPr>
        <w:t>4.2  地基工程</w:t>
      </w:r>
      <w:bookmarkEnd w:id="23"/>
      <w:bookmarkEnd w:id="24"/>
      <w:bookmarkEnd w:id="25"/>
    </w:p>
    <w:p>
      <w:pPr>
        <w:widowControl/>
        <w:kinsoku w:val="0"/>
        <w:autoSpaceDE w:val="0"/>
        <w:autoSpaceDN w:val="0"/>
        <w:adjustRightInd w:val="0"/>
        <w:snapToGrid w:val="0"/>
        <w:spacing w:line="360" w:lineRule="auto"/>
        <w:jc w:val="left"/>
        <w:textAlignment w:val="baseline"/>
        <w:rPr>
          <w:rFonts w:hint="eastAsia" w:cs="Arial" w:asciiTheme="minorEastAsia" w:hAnsiTheme="minorEastAsia"/>
          <w:snapToGrid w:val="0"/>
          <w:color w:val="000000"/>
          <w:kern w:val="0"/>
          <w:szCs w:val="21"/>
        </w:rPr>
      </w:pPr>
      <w:r>
        <w:rPr>
          <w:rFonts w:hint="eastAsia" w:ascii="黑体" w:hAnsi="黑体" w:eastAsia="黑体" w:cs="黑体"/>
          <w:szCs w:val="21"/>
        </w:rPr>
        <w:t>4.2.1</w:t>
      </w:r>
      <w:r>
        <w:rPr>
          <w:rFonts w:cs="黑体" w:asciiTheme="minorEastAsia" w:hAnsiTheme="minorEastAsia"/>
          <w:snapToGrid w:val="0"/>
          <w:color w:val="000000"/>
          <w:kern w:val="0"/>
          <w:szCs w:val="21"/>
        </w:rPr>
        <w:t xml:space="preserve">  </w:t>
      </w:r>
      <w:r>
        <w:rPr>
          <w:rFonts w:cs="Arial" w:asciiTheme="minorEastAsia" w:hAnsiTheme="minorEastAsia"/>
          <w:snapToGrid w:val="0"/>
          <w:color w:val="000000"/>
          <w:kern w:val="0"/>
          <w:szCs w:val="21"/>
        </w:rPr>
        <w:t>检测项目</w:t>
      </w:r>
      <w:r>
        <w:rPr>
          <w:rFonts w:hint="eastAsia" w:cs="Arial" w:asciiTheme="minorEastAsia" w:hAnsiTheme="minorEastAsia"/>
          <w:snapToGrid w:val="0"/>
          <w:color w:val="000000"/>
          <w:kern w:val="0"/>
          <w:szCs w:val="21"/>
        </w:rPr>
        <w:t>宜</w:t>
      </w:r>
      <w:r>
        <w:rPr>
          <w:rFonts w:cs="Arial" w:asciiTheme="minorEastAsia" w:hAnsiTheme="minorEastAsia"/>
          <w:snapToGrid w:val="0"/>
          <w:color w:val="000000"/>
          <w:kern w:val="0"/>
          <w:szCs w:val="21"/>
        </w:rPr>
        <w:t>包括以下内容</w:t>
      </w:r>
      <w:r>
        <w:rPr>
          <w:rFonts w:hint="eastAsia" w:cs="Arial" w:asciiTheme="minorEastAsia" w:hAnsiTheme="minorEastAsia"/>
          <w:snapToGrid w:val="0"/>
          <w:color w:val="000000"/>
          <w:kern w:val="0"/>
          <w:szCs w:val="21"/>
        </w:rPr>
        <w:t>：</w:t>
      </w:r>
    </w:p>
    <w:p>
      <w:pPr>
        <w:widowControl/>
        <w:kinsoku w:val="0"/>
        <w:autoSpaceDE w:val="0"/>
        <w:autoSpaceDN w:val="0"/>
        <w:adjustRightInd w:val="0"/>
        <w:snapToGrid w:val="0"/>
        <w:spacing w:line="360" w:lineRule="auto"/>
        <w:ind w:firstLine="420" w:firstLineChars="200"/>
        <w:textAlignment w:val="baseline"/>
        <w:rPr>
          <w:rFonts w:hint="eastAsia" w:cs="宋体" w:asciiTheme="minorEastAsia" w:hAnsiTheme="minorEastAsia"/>
          <w:snapToGrid w:val="0"/>
          <w:color w:val="000000"/>
          <w:kern w:val="0"/>
          <w:szCs w:val="21"/>
        </w:rPr>
      </w:pPr>
      <w:r>
        <w:rPr>
          <w:rFonts w:hint="eastAsia" w:ascii="黑体" w:hAnsi="黑体" w:eastAsia="黑体" w:cs="黑体"/>
          <w:szCs w:val="21"/>
        </w:rPr>
        <w:t xml:space="preserve">1 </w:t>
      </w:r>
      <w:r>
        <w:rPr>
          <w:rFonts w:hint="eastAsia" w:cs="黑体" w:asciiTheme="minorEastAsia" w:hAnsiTheme="minorEastAsia"/>
          <w:snapToGrid w:val="0"/>
          <w:color w:val="000000"/>
          <w:kern w:val="0"/>
          <w:szCs w:val="21"/>
        </w:rPr>
        <w:t xml:space="preserve"> </w:t>
      </w:r>
      <w:r>
        <w:rPr>
          <w:rFonts w:hint="eastAsia" w:cs="Times New Roman" w:asciiTheme="minorEastAsia" w:hAnsiTheme="minorEastAsia"/>
          <w:bCs/>
          <w:snapToGrid w:val="0"/>
          <w:color w:val="000000"/>
          <w:kern w:val="0"/>
          <w:szCs w:val="21"/>
        </w:rPr>
        <w:t>土（岩）地基宜包括检测压实度（系数）、渗透系数、承载力、</w:t>
      </w:r>
      <w:bookmarkStart w:id="26" w:name="_Hlk162343648"/>
      <w:r>
        <w:rPr>
          <w:rFonts w:hint="eastAsia" w:cs="Times New Roman" w:asciiTheme="minorEastAsia" w:hAnsiTheme="minorEastAsia"/>
          <w:bCs/>
          <w:snapToGrid w:val="0"/>
          <w:color w:val="000000"/>
          <w:kern w:val="0"/>
          <w:szCs w:val="21"/>
        </w:rPr>
        <w:t>贯入度（贯入阻力）</w:t>
      </w:r>
      <w:bookmarkEnd w:id="26"/>
      <w:r>
        <w:rPr>
          <w:rFonts w:hint="eastAsia" w:cs="Times New Roman" w:asciiTheme="minorEastAsia" w:hAnsiTheme="minorEastAsia"/>
          <w:bCs/>
          <w:snapToGrid w:val="0"/>
          <w:color w:val="000000"/>
          <w:kern w:val="0"/>
          <w:szCs w:val="21"/>
        </w:rPr>
        <w:t>。</w:t>
      </w:r>
    </w:p>
    <w:p>
      <w:pPr>
        <w:widowControl/>
        <w:kinsoku w:val="0"/>
        <w:autoSpaceDE w:val="0"/>
        <w:autoSpaceDN w:val="0"/>
        <w:adjustRightInd w:val="0"/>
        <w:snapToGrid w:val="0"/>
        <w:spacing w:line="360" w:lineRule="auto"/>
        <w:ind w:firstLine="420" w:firstLineChars="200"/>
        <w:textAlignment w:val="baseline"/>
        <w:rPr>
          <w:rFonts w:hint="eastAsia" w:cs="宋体" w:asciiTheme="minorEastAsia" w:hAnsiTheme="minorEastAsia"/>
          <w:snapToGrid w:val="0"/>
          <w:color w:val="000000"/>
          <w:kern w:val="0"/>
          <w:szCs w:val="21"/>
        </w:rPr>
      </w:pPr>
      <w:r>
        <w:rPr>
          <w:rFonts w:hint="eastAsia" w:ascii="黑体" w:hAnsi="黑体" w:eastAsia="黑体" w:cs="黑体"/>
          <w:szCs w:val="21"/>
        </w:rPr>
        <w:t xml:space="preserve">2 </w:t>
      </w:r>
      <w:r>
        <w:rPr>
          <w:rFonts w:hint="eastAsia" w:cs="Times New Roman" w:asciiTheme="minorEastAsia" w:hAnsiTheme="minorEastAsia"/>
          <w:bCs/>
          <w:snapToGrid w:val="0"/>
          <w:color w:val="000000"/>
          <w:kern w:val="0"/>
          <w:szCs w:val="21"/>
        </w:rPr>
        <w:t xml:space="preserve"> 复合地基宜包括检测压实度（系数）、渗透系数、承载力、桩身抗压强度、桩身搭接质量。</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3 </w:t>
      </w:r>
      <w:r>
        <w:rPr>
          <w:rFonts w:hint="eastAsia" w:cs="宋体" w:asciiTheme="minorEastAsia" w:hAnsiTheme="minorEastAsia"/>
          <w:snapToGrid w:val="0"/>
          <w:color w:val="000000"/>
          <w:kern w:val="0"/>
          <w:szCs w:val="21"/>
        </w:rPr>
        <w:t xml:space="preserve"> </w:t>
      </w:r>
      <w:r>
        <w:rPr>
          <w:rFonts w:hint="eastAsia" w:cs="Times New Roman" w:asciiTheme="minorEastAsia" w:hAnsiTheme="minorEastAsia"/>
          <w:bCs/>
          <w:snapToGrid w:val="0"/>
          <w:color w:val="000000"/>
          <w:kern w:val="0"/>
          <w:szCs w:val="21"/>
        </w:rPr>
        <w:t>竖向增强体宜包括检测竖向承载力。</w:t>
      </w:r>
    </w:p>
    <w:p>
      <w:pPr>
        <w:widowControl/>
        <w:kinsoku w:val="0"/>
        <w:autoSpaceDE w:val="0"/>
        <w:autoSpaceDN w:val="0"/>
        <w:adjustRightInd w:val="0"/>
        <w:snapToGrid w:val="0"/>
        <w:spacing w:line="360" w:lineRule="auto"/>
        <w:jc w:val="left"/>
        <w:textAlignment w:val="baseline"/>
        <w:rPr>
          <w:rFonts w:hint="eastAsia" w:ascii="黑体" w:hAnsi="黑体" w:eastAsia="黑体" w:cs="黑体"/>
          <w:szCs w:val="21"/>
        </w:rPr>
      </w:pPr>
      <w:r>
        <w:rPr>
          <w:rFonts w:hint="eastAsia" w:ascii="黑体" w:hAnsi="黑体" w:eastAsia="黑体" w:cstheme="minorEastAsia"/>
        </w:rPr>
        <w:t xml:space="preserve">4.2.2  </w:t>
      </w:r>
      <w:r>
        <w:rPr>
          <w:rFonts w:hint="eastAsia" w:ascii="宋体" w:hAnsi="宋体" w:eastAsia="宋体" w:cstheme="minorEastAsia"/>
        </w:rPr>
        <w:t>检测单元应根据工程特点和施工情况划分，每个检测单元的面积不宜大于25m</w:t>
      </w:r>
      <w:r>
        <w:rPr>
          <w:rFonts w:hint="eastAsia" w:ascii="宋体" w:hAnsi="宋体" w:eastAsia="宋体" w:cstheme="minorEastAsia"/>
          <w:vertAlign w:val="superscript"/>
        </w:rPr>
        <w:t>2</w:t>
      </w:r>
      <w:r>
        <w:rPr>
          <w:rFonts w:hint="eastAsia" w:ascii="宋体" w:hAnsi="宋体" w:eastAsia="宋体" w:cstheme="minorEastAsia"/>
        </w:rPr>
        <w:t>，应包含1根基桩，基桩位于检测单元中心附近</w:t>
      </w:r>
      <w:r>
        <w:rPr>
          <w:rFonts w:hint="eastAsia" w:asciiTheme="minorEastAsia" w:hAnsiTheme="minorEastAsia" w:cstheme="minorEastAsia"/>
        </w:rPr>
        <w:t>。</w:t>
      </w:r>
    </w:p>
    <w:p>
      <w:pPr>
        <w:widowControl/>
        <w:kinsoku w:val="0"/>
        <w:autoSpaceDE w:val="0"/>
        <w:autoSpaceDN w:val="0"/>
        <w:adjustRightInd w:val="0"/>
        <w:snapToGrid w:val="0"/>
        <w:spacing w:line="360" w:lineRule="auto"/>
        <w:jc w:val="left"/>
        <w:textAlignment w:val="baseline"/>
        <w:rPr>
          <w:rFonts w:hint="eastAsia" w:cs="Arial" w:asciiTheme="minorEastAsia" w:hAnsiTheme="minorEastAsia"/>
          <w:snapToGrid w:val="0"/>
          <w:color w:val="000000"/>
          <w:kern w:val="0"/>
          <w:szCs w:val="21"/>
        </w:rPr>
      </w:pPr>
      <w:r>
        <w:rPr>
          <w:rFonts w:hint="eastAsia" w:ascii="黑体" w:hAnsi="黑体" w:eastAsia="黑体" w:cs="黑体"/>
          <w:szCs w:val="21"/>
        </w:rPr>
        <w:t xml:space="preserve">4.2.3 </w:t>
      </w:r>
      <w:r>
        <w:rPr>
          <w:rFonts w:cs="黑体" w:asciiTheme="minorEastAsia" w:hAnsiTheme="minorEastAsia"/>
          <w:snapToGrid w:val="0"/>
          <w:color w:val="000000"/>
          <w:kern w:val="0"/>
          <w:szCs w:val="21"/>
        </w:rPr>
        <w:t xml:space="preserve"> </w:t>
      </w:r>
      <w:r>
        <w:rPr>
          <w:rFonts w:cs="Arial" w:asciiTheme="minorEastAsia" w:hAnsiTheme="minorEastAsia"/>
          <w:snapToGrid w:val="0"/>
          <w:color w:val="000000"/>
          <w:kern w:val="0"/>
          <w:szCs w:val="21"/>
        </w:rPr>
        <w:t>检测方法应符合下列要求</w:t>
      </w:r>
      <w:r>
        <w:rPr>
          <w:rFonts w:hint="eastAsia" w:cs="Arial" w:asciiTheme="minorEastAsia" w:hAnsiTheme="minorEastAsia"/>
          <w:snapToGrid w:val="0"/>
          <w:color w:val="000000"/>
          <w:kern w:val="0"/>
          <w:szCs w:val="21"/>
        </w:rPr>
        <w:t>：</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1 </w:t>
      </w:r>
      <w:r>
        <w:rPr>
          <w:rFonts w:hint="eastAsia" w:cs="宋体" w:asciiTheme="minorEastAsia" w:hAnsiTheme="minorEastAsia"/>
          <w:snapToGrid w:val="0"/>
          <w:color w:val="000000"/>
          <w:kern w:val="0"/>
          <w:szCs w:val="21"/>
        </w:rPr>
        <w:t xml:space="preserve"> </w:t>
      </w:r>
      <w:r>
        <w:rPr>
          <w:rFonts w:hint="eastAsia" w:cs="Times New Roman" w:asciiTheme="minorEastAsia" w:hAnsiTheme="minorEastAsia"/>
          <w:bCs/>
          <w:snapToGrid w:val="0"/>
          <w:color w:val="000000"/>
          <w:kern w:val="0"/>
          <w:szCs w:val="21"/>
        </w:rPr>
        <w:t>土（岩）地基：</w:t>
      </w:r>
    </w:p>
    <w:p>
      <w:pPr>
        <w:widowControl/>
        <w:numPr>
          <w:ilvl w:val="0"/>
          <w:numId w:val="1"/>
        </w:numPr>
        <w:kinsoku w:val="0"/>
        <w:autoSpaceDE w:val="0"/>
        <w:autoSpaceDN w:val="0"/>
        <w:adjustRightInd w:val="0"/>
        <w:snapToGrid w:val="0"/>
        <w:spacing w:line="360" w:lineRule="auto"/>
        <w:ind w:left="1049" w:leftChars="301" w:hanging="417" w:hangingChars="199"/>
        <w:textAlignment w:val="baseline"/>
        <w:rPr>
          <w:rFonts w:hint="eastAsia" w:cs="Times New Roman" w:asciiTheme="minorEastAsia" w:hAnsiTheme="minorEastAsia"/>
          <w:bCs/>
          <w:snapToGrid w:val="0"/>
          <w:color w:val="000000"/>
          <w:kern w:val="0"/>
          <w:szCs w:val="21"/>
        </w:rPr>
      </w:pPr>
      <w:r>
        <w:rPr>
          <w:rFonts w:hint="eastAsia" w:asciiTheme="minorEastAsia" w:hAnsiTheme="minorEastAsia"/>
          <w:szCs w:val="21"/>
        </w:rPr>
        <w:t>压实度（系数）检测：环刀法适用于细粒土地基的压实度检测，灌砂法适用于细粒土、砂类土和砾类土地基的压实度检测，灌水法适用于细粒土、砂类土和砾类土、块石换填/填筑等类型地基压实度检测；当堆石（土）体分层碾压施工、粒径较大（0.2m以上）、成分相对均一时，可采用附加质量法；当堆石（土）体粒径较小且厚度较小（0.4m以下）或堆积物为土体时，可采用核子水分-密度法测试。</w:t>
      </w:r>
    </w:p>
    <w:p>
      <w:pPr>
        <w:widowControl/>
        <w:numPr>
          <w:ilvl w:val="0"/>
          <w:numId w:val="1"/>
        </w:numPr>
        <w:kinsoku w:val="0"/>
        <w:autoSpaceDE w:val="0"/>
        <w:autoSpaceDN w:val="0"/>
        <w:adjustRightInd w:val="0"/>
        <w:snapToGrid w:val="0"/>
        <w:spacing w:line="360" w:lineRule="auto"/>
        <w:ind w:left="1049" w:leftChars="301" w:hanging="417" w:hangingChars="199"/>
        <w:textAlignment w:val="baseline"/>
        <w:rPr>
          <w:rFonts w:hint="eastAsia" w:cs="Times New Roman" w:asciiTheme="minorEastAsia" w:hAnsiTheme="minorEastAsia"/>
          <w:bCs/>
          <w:snapToGrid w:val="0"/>
          <w:color w:val="000000"/>
          <w:kern w:val="0"/>
          <w:szCs w:val="21"/>
        </w:rPr>
      </w:pPr>
      <w:r>
        <w:rPr>
          <w:rFonts w:hint="eastAsia" w:asciiTheme="minorEastAsia" w:hAnsiTheme="minorEastAsia"/>
          <w:szCs w:val="21"/>
        </w:rPr>
        <w:t>渗透系数检测：采用试坑注水试验。</w:t>
      </w:r>
    </w:p>
    <w:p>
      <w:pPr>
        <w:widowControl/>
        <w:numPr>
          <w:ilvl w:val="0"/>
          <w:numId w:val="1"/>
        </w:numPr>
        <w:kinsoku w:val="0"/>
        <w:autoSpaceDE w:val="0"/>
        <w:autoSpaceDN w:val="0"/>
        <w:adjustRightInd w:val="0"/>
        <w:snapToGrid w:val="0"/>
        <w:spacing w:line="360" w:lineRule="auto"/>
        <w:ind w:left="1049" w:leftChars="301" w:hanging="417" w:hangingChars="199"/>
        <w:textAlignment w:val="baseline"/>
        <w:rPr>
          <w:rFonts w:hint="eastAsia" w:cs="宋体" w:asciiTheme="minorEastAsia" w:hAnsiTheme="minorEastAsia"/>
          <w:snapToGrid w:val="0"/>
          <w:color w:val="000000"/>
          <w:kern w:val="0"/>
          <w:szCs w:val="21"/>
        </w:rPr>
      </w:pPr>
      <w:r>
        <w:rPr>
          <w:rFonts w:hint="eastAsia" w:asciiTheme="minorEastAsia" w:hAnsiTheme="minorEastAsia"/>
          <w:szCs w:val="21"/>
        </w:rPr>
        <w:t>承载力检测：浅层地基采用浅层平板载荷试验，试验深度不小于5m的深层地基土和大直径桩的桩端土采用深层载荷试验，深层地基或地下水位以下的黏土和砂土地基可采用螺旋板载荷试验。</w:t>
      </w:r>
    </w:p>
    <w:p>
      <w:pPr>
        <w:widowControl/>
        <w:numPr>
          <w:ilvl w:val="0"/>
          <w:numId w:val="1"/>
        </w:numPr>
        <w:kinsoku w:val="0"/>
        <w:autoSpaceDE w:val="0"/>
        <w:autoSpaceDN w:val="0"/>
        <w:adjustRightInd w:val="0"/>
        <w:snapToGrid w:val="0"/>
        <w:spacing w:line="360" w:lineRule="auto"/>
        <w:ind w:left="1049" w:leftChars="301" w:hanging="417" w:hangingChars="199"/>
        <w:textAlignment w:val="baseline"/>
        <w:rPr>
          <w:rFonts w:hint="eastAsia" w:cs="宋体" w:asciiTheme="minorEastAsia" w:hAnsiTheme="minorEastAsia"/>
          <w:snapToGrid w:val="0"/>
          <w:color w:val="000000"/>
          <w:kern w:val="0"/>
          <w:szCs w:val="21"/>
        </w:rPr>
      </w:pPr>
      <w:r>
        <w:rPr>
          <w:rFonts w:hint="eastAsia" w:asciiTheme="minorEastAsia" w:hAnsiTheme="minorEastAsia"/>
          <w:szCs w:val="21"/>
        </w:rPr>
        <w:t>贯入度（贯入阻力）：采用标准贯入试验、触探试验。</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2 </w:t>
      </w:r>
      <w:r>
        <w:rPr>
          <w:rFonts w:hint="eastAsia" w:cs="黑体" w:asciiTheme="minorEastAsia" w:hAnsiTheme="minorEastAsia"/>
          <w:snapToGrid w:val="0"/>
          <w:color w:val="000000"/>
          <w:kern w:val="0"/>
          <w:szCs w:val="21"/>
        </w:rPr>
        <w:t xml:space="preserve"> </w:t>
      </w:r>
      <w:r>
        <w:rPr>
          <w:rFonts w:hint="eastAsia" w:cs="Times New Roman" w:asciiTheme="minorEastAsia" w:hAnsiTheme="minorEastAsia"/>
          <w:bCs/>
          <w:snapToGrid w:val="0"/>
          <w:color w:val="000000"/>
          <w:kern w:val="0"/>
          <w:szCs w:val="21"/>
        </w:rPr>
        <w:t>复合地基：</w:t>
      </w:r>
    </w:p>
    <w:p>
      <w:pPr>
        <w:widowControl/>
        <w:numPr>
          <w:ilvl w:val="0"/>
          <w:numId w:val="2"/>
        </w:numPr>
        <w:kinsoku w:val="0"/>
        <w:autoSpaceDE w:val="0"/>
        <w:autoSpaceDN w:val="0"/>
        <w:adjustRightInd w:val="0"/>
        <w:snapToGrid w:val="0"/>
        <w:spacing w:line="360" w:lineRule="auto"/>
        <w:ind w:firstLine="630" w:firstLineChars="300"/>
        <w:textAlignment w:val="baseline"/>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压实度（系数）检测：采用灌水法、灌砂法。</w:t>
      </w:r>
    </w:p>
    <w:p>
      <w:pPr>
        <w:widowControl/>
        <w:numPr>
          <w:ilvl w:val="0"/>
          <w:numId w:val="2"/>
        </w:numPr>
        <w:kinsoku w:val="0"/>
        <w:autoSpaceDE w:val="0"/>
        <w:autoSpaceDN w:val="0"/>
        <w:adjustRightInd w:val="0"/>
        <w:snapToGrid w:val="0"/>
        <w:spacing w:line="360" w:lineRule="auto"/>
        <w:ind w:left="1058" w:leftChars="300" w:hanging="428" w:hangingChars="204"/>
        <w:textAlignment w:val="baseline"/>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渗透系数检测：采用试坑注水试验、钻孔压水试验，高压喷射灌浆渗透系数检测优先选用围井法，也可选用钻孔压水试验或其他方法进行检查。</w:t>
      </w:r>
    </w:p>
    <w:p>
      <w:pPr>
        <w:widowControl/>
        <w:numPr>
          <w:ilvl w:val="0"/>
          <w:numId w:val="2"/>
        </w:numPr>
        <w:kinsoku w:val="0"/>
        <w:autoSpaceDE w:val="0"/>
        <w:autoSpaceDN w:val="0"/>
        <w:adjustRightInd w:val="0"/>
        <w:snapToGrid w:val="0"/>
        <w:spacing w:line="360" w:lineRule="auto"/>
        <w:ind w:left="1058" w:leftChars="300" w:hanging="428" w:hangingChars="204"/>
        <w:textAlignment w:val="baseline"/>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承载力检测：采用慢速维持荷载法试验。</w:t>
      </w:r>
    </w:p>
    <w:p>
      <w:pPr>
        <w:widowControl/>
        <w:numPr>
          <w:ilvl w:val="0"/>
          <w:numId w:val="2"/>
        </w:numPr>
        <w:kinsoku w:val="0"/>
        <w:autoSpaceDE w:val="0"/>
        <w:autoSpaceDN w:val="0"/>
        <w:adjustRightInd w:val="0"/>
        <w:snapToGrid w:val="0"/>
        <w:spacing w:line="360" w:lineRule="auto"/>
        <w:ind w:left="1058" w:leftChars="300" w:hanging="428" w:hangingChars="204"/>
        <w:textAlignment w:val="baseline"/>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桩身抗压强度：采用钻芯法。</w:t>
      </w:r>
    </w:p>
    <w:p>
      <w:pPr>
        <w:widowControl/>
        <w:numPr>
          <w:ilvl w:val="0"/>
          <w:numId w:val="2"/>
        </w:numPr>
        <w:kinsoku w:val="0"/>
        <w:autoSpaceDE w:val="0"/>
        <w:autoSpaceDN w:val="0"/>
        <w:adjustRightInd w:val="0"/>
        <w:snapToGrid w:val="0"/>
        <w:spacing w:line="360" w:lineRule="auto"/>
        <w:ind w:left="1058" w:leftChars="300" w:hanging="428" w:hangingChars="204"/>
        <w:textAlignment w:val="baseline"/>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桩身搭接质量：采用开挖检查、弹性波等方法。</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3 </w:t>
      </w:r>
      <w:r>
        <w:rPr>
          <w:rFonts w:hint="eastAsia" w:cs="黑体" w:asciiTheme="minorEastAsia" w:hAnsiTheme="minorEastAsia"/>
          <w:snapToGrid w:val="0"/>
          <w:color w:val="000000"/>
          <w:kern w:val="0"/>
          <w:szCs w:val="21"/>
        </w:rPr>
        <w:t xml:space="preserve"> </w:t>
      </w:r>
      <w:r>
        <w:rPr>
          <w:rFonts w:hint="eastAsia" w:cs="Times New Roman" w:asciiTheme="minorEastAsia" w:hAnsiTheme="minorEastAsia"/>
          <w:bCs/>
          <w:snapToGrid w:val="0"/>
          <w:color w:val="000000"/>
          <w:kern w:val="0"/>
          <w:szCs w:val="21"/>
        </w:rPr>
        <w:t>竖向增强体复合地基检测竖向承载力应采用慢速维持荷载法试验。</w:t>
      </w:r>
    </w:p>
    <w:p>
      <w:pPr>
        <w:widowControl/>
        <w:kinsoku w:val="0"/>
        <w:autoSpaceDE w:val="0"/>
        <w:autoSpaceDN w:val="0"/>
        <w:adjustRightInd w:val="0"/>
        <w:snapToGrid w:val="0"/>
        <w:spacing w:line="360" w:lineRule="auto"/>
        <w:jc w:val="left"/>
        <w:textAlignment w:val="baseline"/>
        <w:rPr>
          <w:rFonts w:hint="eastAsia" w:cs="Arial" w:asciiTheme="minorEastAsia" w:hAnsiTheme="minorEastAsia"/>
          <w:snapToGrid w:val="0"/>
          <w:color w:val="000000"/>
          <w:kern w:val="0"/>
          <w:szCs w:val="21"/>
        </w:rPr>
      </w:pPr>
      <w:r>
        <w:rPr>
          <w:rFonts w:hint="eastAsia" w:ascii="黑体" w:hAnsi="黑体" w:eastAsia="黑体" w:cs="黑体"/>
          <w:szCs w:val="21"/>
        </w:rPr>
        <w:t>4.2.4</w:t>
      </w:r>
      <w:r>
        <w:rPr>
          <w:rFonts w:cs="黑体" w:asciiTheme="minorEastAsia" w:hAnsiTheme="minorEastAsia"/>
          <w:snapToGrid w:val="0"/>
          <w:color w:val="000000"/>
          <w:kern w:val="0"/>
          <w:szCs w:val="21"/>
        </w:rPr>
        <w:t xml:space="preserve">  </w:t>
      </w:r>
      <w:r>
        <w:rPr>
          <w:rFonts w:hint="eastAsia" w:asciiTheme="minorEastAsia" w:hAnsiTheme="minorEastAsia"/>
          <w:szCs w:val="21"/>
        </w:rPr>
        <w:t>检测工作布置和频次应符合下列要求</w:t>
      </w:r>
      <w:r>
        <w:rPr>
          <w:rFonts w:hint="eastAsia" w:cs="Arial" w:asciiTheme="minorEastAsia" w:hAnsiTheme="minorEastAsia"/>
          <w:snapToGrid w:val="0"/>
          <w:color w:val="000000"/>
          <w:kern w:val="0"/>
          <w:szCs w:val="21"/>
        </w:rPr>
        <w:t>：</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1</w:t>
      </w:r>
      <w:r>
        <w:rPr>
          <w:rFonts w:hint="eastAsia" w:cs="Times New Roman" w:asciiTheme="minorEastAsia" w:hAnsiTheme="minorEastAsia"/>
          <w:bCs/>
          <w:snapToGrid w:val="0"/>
          <w:color w:val="000000"/>
          <w:kern w:val="0"/>
          <w:szCs w:val="21"/>
        </w:rPr>
        <w:t xml:space="preserve">  </w:t>
      </w:r>
      <w:r>
        <w:rPr>
          <w:rFonts w:hint="eastAsia" w:asciiTheme="minorEastAsia" w:hAnsiTheme="minorEastAsia"/>
          <w:szCs w:val="21"/>
        </w:rPr>
        <w:t>检测工作布置和频次应充分考虑质量评定和工程验收的要求，应符合《水利水电工程单元工程验收标准》等规程规范的规定要求</w:t>
      </w:r>
      <w:r>
        <w:rPr>
          <w:rFonts w:hint="eastAsia" w:cs="Times New Roman" w:asciiTheme="minorEastAsia" w:hAnsiTheme="minorEastAsia"/>
          <w:bCs/>
          <w:snapToGrid w:val="0"/>
          <w:color w:val="000000"/>
          <w:kern w:val="0"/>
          <w:szCs w:val="21"/>
        </w:rPr>
        <w:t>。</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2 </w:t>
      </w:r>
      <w:r>
        <w:rPr>
          <w:rFonts w:hint="eastAsia" w:cs="Times New Roman" w:asciiTheme="minorEastAsia" w:hAnsiTheme="minorEastAsia"/>
          <w:bCs/>
          <w:snapToGrid w:val="0"/>
          <w:color w:val="000000"/>
          <w:kern w:val="0"/>
          <w:szCs w:val="21"/>
        </w:rPr>
        <w:t xml:space="preserve"> 压实度：</w:t>
      </w:r>
      <w:bookmarkStart w:id="27" w:name="_Hlk182383610"/>
      <w:r>
        <w:rPr>
          <w:rFonts w:hint="eastAsia" w:cs="Times New Roman" w:asciiTheme="minorEastAsia" w:hAnsiTheme="minorEastAsia"/>
          <w:bCs/>
          <w:snapToGrid w:val="0"/>
          <w:color w:val="000000"/>
          <w:kern w:val="0"/>
          <w:szCs w:val="21"/>
        </w:rPr>
        <w:t>根据工程特点和施工情况，每50m</w:t>
      </w:r>
      <w:r>
        <w:rPr>
          <w:rFonts w:hint="eastAsia" w:cs="Times New Roman" w:asciiTheme="minorEastAsia" w:hAnsiTheme="minorEastAsia"/>
          <w:bCs/>
          <w:snapToGrid w:val="0"/>
          <w:color w:val="000000"/>
          <w:kern w:val="0"/>
          <w:szCs w:val="21"/>
          <w:vertAlign w:val="superscript"/>
        </w:rPr>
        <w:t>2</w:t>
      </w:r>
      <w:r>
        <w:rPr>
          <w:rFonts w:hint="eastAsia" w:cs="Times New Roman" w:asciiTheme="minorEastAsia" w:hAnsiTheme="minorEastAsia"/>
          <w:bCs/>
          <w:snapToGrid w:val="0"/>
          <w:color w:val="000000"/>
          <w:kern w:val="0"/>
          <w:szCs w:val="21"/>
        </w:rPr>
        <w:t>～100m</w:t>
      </w:r>
      <w:r>
        <w:rPr>
          <w:rFonts w:hint="eastAsia" w:cs="Times New Roman" w:asciiTheme="minorEastAsia" w:hAnsiTheme="minorEastAsia"/>
          <w:bCs/>
          <w:snapToGrid w:val="0"/>
          <w:color w:val="000000"/>
          <w:kern w:val="0"/>
          <w:szCs w:val="21"/>
          <w:vertAlign w:val="superscript"/>
        </w:rPr>
        <w:t>2</w:t>
      </w:r>
      <w:r>
        <w:rPr>
          <w:rFonts w:hint="eastAsia" w:cs="Times New Roman" w:asciiTheme="minorEastAsia" w:hAnsiTheme="minorEastAsia"/>
          <w:bCs/>
          <w:snapToGrid w:val="0"/>
          <w:color w:val="000000"/>
          <w:kern w:val="0"/>
          <w:szCs w:val="21"/>
        </w:rPr>
        <w:t>或条形地基、基础、基槽宜20m～50m检测1组，每组</w:t>
      </w:r>
      <w:bookmarkEnd w:id="27"/>
      <w:r>
        <w:rPr>
          <w:rFonts w:hint="eastAsia" w:cs="Times New Roman" w:asciiTheme="minorEastAsia" w:hAnsiTheme="minorEastAsia"/>
          <w:bCs/>
          <w:snapToGrid w:val="0"/>
          <w:color w:val="000000"/>
          <w:kern w:val="0"/>
          <w:szCs w:val="21"/>
        </w:rPr>
        <w:t>应至少布置2个测点；若采用附加质量法或核子水分-密度法，测点布置应执行SL/T 291.1的规定。</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3 </w:t>
      </w:r>
      <w:r>
        <w:rPr>
          <w:rFonts w:hint="eastAsia" w:cs="Times New Roman" w:asciiTheme="minorEastAsia" w:hAnsiTheme="minorEastAsia"/>
          <w:bCs/>
          <w:snapToGrid w:val="0"/>
          <w:color w:val="000000"/>
          <w:kern w:val="0"/>
          <w:szCs w:val="21"/>
        </w:rPr>
        <w:t xml:space="preserve"> 渗透系数：根据工程特点和施工情况，每50m</w:t>
      </w:r>
      <w:r>
        <w:rPr>
          <w:rFonts w:hint="eastAsia" w:cs="Times New Roman" w:asciiTheme="minorEastAsia" w:hAnsiTheme="minorEastAsia"/>
          <w:bCs/>
          <w:snapToGrid w:val="0"/>
          <w:color w:val="000000"/>
          <w:kern w:val="0"/>
          <w:szCs w:val="21"/>
          <w:vertAlign w:val="superscript"/>
        </w:rPr>
        <w:t>2</w:t>
      </w:r>
      <w:r>
        <w:rPr>
          <w:rFonts w:hint="eastAsia" w:cs="Times New Roman" w:asciiTheme="minorEastAsia" w:hAnsiTheme="minorEastAsia"/>
          <w:bCs/>
          <w:snapToGrid w:val="0"/>
          <w:color w:val="000000"/>
          <w:kern w:val="0"/>
          <w:szCs w:val="21"/>
        </w:rPr>
        <w:t>～100m</w:t>
      </w:r>
      <w:r>
        <w:rPr>
          <w:rFonts w:hint="eastAsia" w:cs="Times New Roman" w:asciiTheme="minorEastAsia" w:hAnsiTheme="minorEastAsia"/>
          <w:bCs/>
          <w:snapToGrid w:val="0"/>
          <w:color w:val="000000"/>
          <w:kern w:val="0"/>
          <w:szCs w:val="21"/>
          <w:vertAlign w:val="superscript"/>
        </w:rPr>
        <w:t>2</w:t>
      </w:r>
      <w:r>
        <w:rPr>
          <w:rFonts w:hint="eastAsia" w:cs="Times New Roman" w:asciiTheme="minorEastAsia" w:hAnsiTheme="minorEastAsia"/>
          <w:bCs/>
          <w:snapToGrid w:val="0"/>
          <w:color w:val="000000"/>
          <w:kern w:val="0"/>
          <w:szCs w:val="21"/>
        </w:rPr>
        <w:t>或条形地基、基础、基槽宜20m～50m检测1组，每组应不少于1个测点。</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4 </w:t>
      </w:r>
      <w:r>
        <w:rPr>
          <w:rFonts w:hint="eastAsia" w:cs="Times New Roman" w:asciiTheme="minorEastAsia" w:hAnsiTheme="minorEastAsia"/>
          <w:bCs/>
          <w:snapToGrid w:val="0"/>
          <w:color w:val="000000"/>
          <w:kern w:val="0"/>
          <w:szCs w:val="21"/>
        </w:rPr>
        <w:t xml:space="preserve"> 承载力：根据工程特点和施工情况，每50m</w:t>
      </w:r>
      <w:r>
        <w:rPr>
          <w:rFonts w:hint="eastAsia" w:cs="Times New Roman" w:asciiTheme="minorEastAsia" w:hAnsiTheme="minorEastAsia"/>
          <w:bCs/>
          <w:snapToGrid w:val="0"/>
          <w:color w:val="000000"/>
          <w:kern w:val="0"/>
          <w:szCs w:val="21"/>
          <w:vertAlign w:val="superscript"/>
        </w:rPr>
        <w:t>2</w:t>
      </w:r>
      <w:r>
        <w:rPr>
          <w:rFonts w:hint="eastAsia" w:cs="Times New Roman" w:asciiTheme="minorEastAsia" w:hAnsiTheme="minorEastAsia"/>
          <w:bCs/>
          <w:snapToGrid w:val="0"/>
          <w:color w:val="000000"/>
          <w:kern w:val="0"/>
          <w:szCs w:val="21"/>
        </w:rPr>
        <w:t>～100m</w:t>
      </w:r>
      <w:r>
        <w:rPr>
          <w:rFonts w:hint="eastAsia" w:cs="Times New Roman" w:asciiTheme="minorEastAsia" w:hAnsiTheme="minorEastAsia"/>
          <w:bCs/>
          <w:snapToGrid w:val="0"/>
          <w:color w:val="000000"/>
          <w:kern w:val="0"/>
          <w:szCs w:val="21"/>
          <w:vertAlign w:val="superscript"/>
        </w:rPr>
        <w:t>2</w:t>
      </w:r>
      <w:r>
        <w:rPr>
          <w:rFonts w:hint="eastAsia" w:cs="Times New Roman" w:asciiTheme="minorEastAsia" w:hAnsiTheme="minorEastAsia"/>
          <w:bCs/>
          <w:snapToGrid w:val="0"/>
          <w:color w:val="000000"/>
          <w:kern w:val="0"/>
          <w:szCs w:val="21"/>
        </w:rPr>
        <w:t>或条形地基、基础、基槽宜20m～50m检测1组，每组应不少于1个测点。</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5 </w:t>
      </w:r>
      <w:r>
        <w:rPr>
          <w:rFonts w:hint="eastAsia" w:cs="Times New Roman" w:asciiTheme="minorEastAsia" w:hAnsiTheme="minorEastAsia"/>
          <w:bCs/>
          <w:snapToGrid w:val="0"/>
          <w:color w:val="000000"/>
          <w:kern w:val="0"/>
          <w:szCs w:val="21"/>
        </w:rPr>
        <w:t xml:space="preserve"> 贯入度（贯入阻力）：根据工程特点和施工情况，每50m</w:t>
      </w:r>
      <w:r>
        <w:rPr>
          <w:rFonts w:hint="eastAsia" w:cs="Times New Roman" w:asciiTheme="minorEastAsia" w:hAnsiTheme="minorEastAsia"/>
          <w:bCs/>
          <w:snapToGrid w:val="0"/>
          <w:color w:val="000000"/>
          <w:kern w:val="0"/>
          <w:szCs w:val="21"/>
          <w:vertAlign w:val="superscript"/>
        </w:rPr>
        <w:t>2</w:t>
      </w:r>
      <w:r>
        <w:rPr>
          <w:rFonts w:hint="eastAsia" w:cs="Times New Roman" w:asciiTheme="minorEastAsia" w:hAnsiTheme="minorEastAsia"/>
          <w:bCs/>
          <w:snapToGrid w:val="0"/>
          <w:color w:val="000000"/>
          <w:kern w:val="0"/>
          <w:szCs w:val="21"/>
        </w:rPr>
        <w:t>～100m</w:t>
      </w:r>
      <w:r>
        <w:rPr>
          <w:rFonts w:hint="eastAsia" w:cs="Times New Roman" w:asciiTheme="minorEastAsia" w:hAnsiTheme="minorEastAsia"/>
          <w:bCs/>
          <w:snapToGrid w:val="0"/>
          <w:color w:val="000000"/>
          <w:kern w:val="0"/>
          <w:szCs w:val="21"/>
          <w:vertAlign w:val="superscript"/>
        </w:rPr>
        <w:t>2</w:t>
      </w:r>
      <w:r>
        <w:rPr>
          <w:rFonts w:hint="eastAsia" w:cs="Times New Roman" w:asciiTheme="minorEastAsia" w:hAnsiTheme="minorEastAsia"/>
          <w:bCs/>
          <w:snapToGrid w:val="0"/>
          <w:color w:val="000000"/>
          <w:kern w:val="0"/>
          <w:szCs w:val="21"/>
        </w:rPr>
        <w:t>或条形地基、基础、基槽宜20m～50m检测1组，每组应不少于1个测点；采用换填垫层法施工的，每分层不少于1个测点；对于不加填料振冲加密处理的砂土地基和水泥土搅拌桩的桩身质量，应不少于3个测点；碎石桩桩体检测采用重型动力触探法的，每根碎石桩应不少于1个测点。</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6 </w:t>
      </w:r>
      <w:r>
        <w:rPr>
          <w:rFonts w:hint="eastAsia" w:cs="宋体" w:asciiTheme="minorEastAsia" w:hAnsiTheme="minorEastAsia"/>
          <w:snapToGrid w:val="0"/>
          <w:color w:val="000000"/>
          <w:kern w:val="0"/>
          <w:szCs w:val="21"/>
        </w:rPr>
        <w:t xml:space="preserve"> </w:t>
      </w:r>
      <w:r>
        <w:rPr>
          <w:rFonts w:hint="eastAsia" w:cs="Times New Roman" w:asciiTheme="minorEastAsia" w:hAnsiTheme="minorEastAsia"/>
          <w:bCs/>
          <w:snapToGrid w:val="0"/>
          <w:color w:val="000000"/>
          <w:kern w:val="0"/>
          <w:szCs w:val="21"/>
        </w:rPr>
        <w:t>桩身抗压强度：每根桩不少于1组。</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7</w:t>
      </w:r>
      <w:r>
        <w:rPr>
          <w:rFonts w:hint="eastAsia" w:cs="宋体" w:asciiTheme="minorEastAsia" w:hAnsiTheme="minorEastAsia"/>
          <w:snapToGrid w:val="0"/>
          <w:color w:val="000000"/>
          <w:kern w:val="0"/>
          <w:szCs w:val="21"/>
        </w:rPr>
        <w:t xml:space="preserve">  </w:t>
      </w:r>
      <w:r>
        <w:rPr>
          <w:rFonts w:hint="eastAsia" w:cs="Times New Roman" w:asciiTheme="minorEastAsia" w:hAnsiTheme="minorEastAsia"/>
          <w:bCs/>
          <w:snapToGrid w:val="0"/>
          <w:color w:val="000000"/>
          <w:kern w:val="0"/>
          <w:szCs w:val="21"/>
        </w:rPr>
        <w:t>桩身搭接质量：根据检测方法布置测点。</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8</w:t>
      </w:r>
      <w:r>
        <w:rPr>
          <w:rFonts w:hint="eastAsia" w:cs="黑体" w:asciiTheme="minorEastAsia" w:hAnsiTheme="minorEastAsia"/>
          <w:snapToGrid w:val="0"/>
          <w:color w:val="000000"/>
          <w:kern w:val="0"/>
          <w:szCs w:val="21"/>
        </w:rPr>
        <w:t xml:space="preserve">  </w:t>
      </w:r>
      <w:r>
        <w:rPr>
          <w:rFonts w:hint="eastAsia" w:cs="Times New Roman" w:asciiTheme="minorEastAsia" w:hAnsiTheme="minorEastAsia"/>
          <w:bCs/>
          <w:snapToGrid w:val="0"/>
          <w:color w:val="000000"/>
          <w:kern w:val="0"/>
          <w:szCs w:val="21"/>
        </w:rPr>
        <w:t>竖向增强体复合地基：应不少于1个测点。</w:t>
      </w:r>
    </w:p>
    <w:p>
      <w:pPr>
        <w:snapToGrid w:val="0"/>
        <w:spacing w:line="360" w:lineRule="auto"/>
        <w:rPr>
          <w:rFonts w:hint="eastAsia" w:asciiTheme="minorEastAsia" w:hAnsiTheme="minorEastAsia"/>
          <w:color w:val="000000" w:themeColor="text1"/>
          <w:sz w:val="24"/>
          <w:szCs w:val="24"/>
          <w14:textFill>
            <w14:solidFill>
              <w14:schemeClr w14:val="tx1"/>
            </w14:solidFill>
          </w14:textFill>
        </w:rPr>
      </w:pPr>
      <w:r>
        <w:rPr>
          <w:rFonts w:hint="eastAsia" w:ascii="黑体" w:hAnsi="黑体" w:eastAsia="黑体"/>
          <w:bCs/>
          <w:color w:val="000000" w:themeColor="text1"/>
          <w:szCs w:val="21"/>
          <w14:textFill>
            <w14:solidFill>
              <w14:schemeClr w14:val="tx1"/>
            </w14:solidFill>
          </w14:textFill>
        </w:rPr>
        <w:t>4.2.5</w:t>
      </w:r>
      <w:r>
        <w:rPr>
          <w:rFonts w:hint="eastAsia" w:ascii="黑体" w:hAnsi="黑体" w:eastAsia="黑体"/>
          <w:b/>
          <w:color w:val="000000" w:themeColor="text1"/>
          <w:szCs w:val="21"/>
          <w14:textFill>
            <w14:solidFill>
              <w14:schemeClr w14:val="tx1"/>
            </w14:solidFill>
          </w14:textFill>
        </w:rPr>
        <w:t xml:space="preserve"> </w:t>
      </w:r>
      <w:r>
        <w:rPr>
          <w:rFonts w:asciiTheme="minorEastAsia" w:hAnsiTheme="minorEastAsia"/>
          <w:color w:val="000000" w:themeColor="text1"/>
          <w:sz w:val="24"/>
          <w:szCs w:val="24"/>
          <w14:textFill>
            <w14:solidFill>
              <w14:schemeClr w14:val="tx1"/>
            </w14:solidFill>
          </w14:textFill>
        </w:rPr>
        <w:t xml:space="preserve"> </w:t>
      </w:r>
      <w:r>
        <w:rPr>
          <w:rFonts w:hint="eastAsia" w:cs="黑体" w:asciiTheme="minorEastAsia" w:hAnsiTheme="minorEastAsia"/>
          <w:snapToGrid w:val="0"/>
          <w:color w:val="000000" w:themeColor="text1"/>
          <w:kern w:val="0"/>
          <w:szCs w:val="21"/>
          <w14:textFill>
            <w14:solidFill>
              <w14:schemeClr w14:val="tx1"/>
            </w14:solidFill>
          </w14:textFill>
        </w:rPr>
        <w:t>检测结果达到以下要求的，</w:t>
      </w:r>
      <w:r>
        <w:rPr>
          <w:rFonts w:hint="eastAsia" w:asciiTheme="minorEastAsia" w:hAnsiTheme="minorEastAsia"/>
          <w:color w:val="000000" w:themeColor="text1"/>
          <w:szCs w:val="21"/>
          <w14:textFill>
            <w14:solidFill>
              <w14:schemeClr w14:val="tx1"/>
            </w14:solidFill>
          </w14:textFill>
        </w:rPr>
        <w:t>质量检测结果</w:t>
      </w:r>
      <w:r>
        <w:rPr>
          <w:rFonts w:hint="eastAsia" w:cs="黑体" w:asciiTheme="minorEastAsia" w:hAnsiTheme="minorEastAsia"/>
          <w:snapToGrid w:val="0"/>
          <w:color w:val="000000" w:themeColor="text1"/>
          <w:kern w:val="0"/>
          <w:szCs w:val="21"/>
          <w14:textFill>
            <w14:solidFill>
              <w14:schemeClr w14:val="tx1"/>
            </w14:solidFill>
          </w14:textFill>
        </w:rPr>
        <w:t>评价为合格：</w:t>
      </w:r>
      <w:r>
        <w:rPr>
          <w:rFonts w:hint="eastAsia" w:asciiTheme="minorEastAsia" w:hAnsiTheme="minorEastAsia"/>
          <w:color w:val="000000" w:themeColor="text1"/>
          <w:sz w:val="24"/>
          <w:szCs w:val="24"/>
          <w14:textFill>
            <w14:solidFill>
              <w14:schemeClr w14:val="tx1"/>
            </w14:solidFill>
          </w14:textFill>
        </w:rPr>
        <w:t xml:space="preserve"> </w:t>
      </w:r>
    </w:p>
    <w:p>
      <w:pPr>
        <w:snapToGrid w:val="0"/>
        <w:spacing w:line="360" w:lineRule="auto"/>
        <w:ind w:firstLine="420" w:firstLineChars="200"/>
        <w:rPr>
          <w:rFonts w:hint="eastAsia" w:asciiTheme="minorEastAsia" w:hAnsiTheme="minorEastAsia"/>
          <w:color w:val="000000" w:themeColor="text1"/>
          <w:sz w:val="24"/>
          <w:szCs w:val="24"/>
          <w14:textFill>
            <w14:solidFill>
              <w14:schemeClr w14:val="tx1"/>
            </w14:solidFill>
          </w14:textFill>
        </w:rPr>
      </w:pPr>
      <w:r>
        <w:rPr>
          <w:rFonts w:hint="eastAsia" w:ascii="黑体" w:hAnsi="黑体" w:eastAsia="黑体" w:cs="黑体"/>
          <w:bCs/>
          <w:color w:val="000000" w:themeColor="text1"/>
          <w:szCs w:val="21"/>
          <w14:textFill>
            <w14:solidFill>
              <w14:schemeClr w14:val="tx1"/>
            </w14:solidFill>
          </w14:textFill>
        </w:rPr>
        <w:t>1</w:t>
      </w:r>
      <w:r>
        <w:rPr>
          <w:rFonts w:hint="eastAsia" w:cs="黑体" w:asciiTheme="minorEastAsia" w:hAnsiTheme="minorEastAsia"/>
          <w:color w:val="000000" w:themeColor="text1"/>
          <w:sz w:val="24"/>
          <w:szCs w:val="24"/>
          <w14:textFill>
            <w14:solidFill>
              <w14:schemeClr w14:val="tx1"/>
            </w14:solidFill>
          </w14:textFill>
        </w:rPr>
        <w:t xml:space="preserve">  </w:t>
      </w:r>
      <w:r>
        <w:rPr>
          <w:rFonts w:hint="eastAsia" w:asciiTheme="minorEastAsia" w:hAnsiTheme="minorEastAsia"/>
          <w:color w:val="000000" w:themeColor="text1"/>
          <w:szCs w:val="21"/>
          <w14:textFill>
            <w14:solidFill>
              <w14:schemeClr w14:val="tx1"/>
            </w14:solidFill>
          </w14:textFill>
        </w:rPr>
        <w:t>桩身搭接质量：检测结果未发现质量缺陷。</w:t>
      </w:r>
    </w:p>
    <w:p>
      <w:pPr>
        <w:ind w:firstLine="420" w:firstLineChars="200"/>
        <w:rPr>
          <w:rFonts w:hint="eastAsia" w:asciiTheme="minorEastAsia" w:hAnsiTheme="minorEastAsia"/>
          <w:color w:val="000000" w:themeColor="text1"/>
          <w:sz w:val="24"/>
          <w:szCs w:val="24"/>
          <w14:textFill>
            <w14:solidFill>
              <w14:schemeClr w14:val="tx1"/>
            </w14:solidFill>
          </w14:textFill>
        </w:rPr>
      </w:pPr>
      <w:r>
        <w:rPr>
          <w:rFonts w:hint="eastAsia" w:ascii="黑体" w:hAnsi="黑体" w:eastAsia="黑体" w:cs="黑体"/>
          <w:bCs/>
          <w:color w:val="000000" w:themeColor="text1"/>
          <w:szCs w:val="21"/>
          <w14:textFill>
            <w14:solidFill>
              <w14:schemeClr w14:val="tx1"/>
            </w14:solidFill>
          </w14:textFill>
        </w:rPr>
        <w:t>2</w:t>
      </w:r>
      <w:r>
        <w:rPr>
          <w:rFonts w:hint="eastAsia" w:cs="黑体" w:asciiTheme="minorEastAsia" w:hAnsiTheme="minorEastAsia"/>
          <w:b/>
          <w:color w:val="000000" w:themeColor="text1"/>
          <w:sz w:val="24"/>
          <w:szCs w:val="24"/>
          <w14:textFill>
            <w14:solidFill>
              <w14:schemeClr w14:val="tx1"/>
            </w14:solidFill>
          </w14:textFill>
        </w:rPr>
        <w:t xml:space="preserve">  </w:t>
      </w:r>
      <w:r>
        <w:rPr>
          <w:rFonts w:hint="eastAsia" w:asciiTheme="minorEastAsia" w:hAnsiTheme="minorEastAsia"/>
          <w:color w:val="000000" w:themeColor="text1"/>
          <w:szCs w:val="21"/>
          <w14:textFill>
            <w14:solidFill>
              <w14:schemeClr w14:val="tx1"/>
            </w14:solidFill>
          </w14:textFill>
        </w:rPr>
        <w:t>其他检测项目：检测结果达到设计和技术标准要求。</w:t>
      </w:r>
    </w:p>
    <w:p>
      <w:pPr>
        <w:pStyle w:val="3"/>
        <w:snapToGrid w:val="0"/>
        <w:spacing w:beforeLines="50" w:afterLines="50" w:line="360" w:lineRule="auto"/>
        <w:jc w:val="center"/>
        <w:rPr>
          <w:rFonts w:ascii="黑体" w:hAnsi="黑体" w:cs="黑体"/>
          <w:sz w:val="24"/>
          <w:szCs w:val="24"/>
        </w:rPr>
      </w:pPr>
      <w:bookmarkStart w:id="28" w:name="_Toc22201"/>
      <w:r>
        <w:rPr>
          <w:rFonts w:ascii="黑体" w:hAnsi="黑体" w:cs="黑体"/>
          <w:sz w:val="24"/>
          <w:szCs w:val="24"/>
        </w:rPr>
        <w:t>4.3  灌浆工程</w:t>
      </w:r>
      <w:bookmarkEnd w:id="28"/>
    </w:p>
    <w:p>
      <w:pPr>
        <w:widowControl/>
        <w:kinsoku w:val="0"/>
        <w:autoSpaceDE w:val="0"/>
        <w:autoSpaceDN w:val="0"/>
        <w:adjustRightInd w:val="0"/>
        <w:snapToGrid w:val="0"/>
        <w:spacing w:line="360" w:lineRule="auto"/>
        <w:jc w:val="left"/>
        <w:textAlignment w:val="baseline"/>
        <w:rPr>
          <w:rFonts w:hint="eastAsia" w:cs="Arial" w:asciiTheme="minorEastAsia" w:hAnsiTheme="minorEastAsia"/>
          <w:snapToGrid w:val="0"/>
          <w:color w:val="000000"/>
          <w:kern w:val="0"/>
          <w:szCs w:val="21"/>
        </w:rPr>
      </w:pPr>
      <w:r>
        <w:rPr>
          <w:rFonts w:hint="eastAsia" w:ascii="黑体" w:hAnsi="黑体" w:eastAsia="黑体" w:cs="黑体"/>
          <w:szCs w:val="21"/>
        </w:rPr>
        <w:t xml:space="preserve">4.3.1 </w:t>
      </w:r>
      <w:r>
        <w:rPr>
          <w:rFonts w:cs="Arial" w:asciiTheme="minorEastAsia" w:hAnsiTheme="minorEastAsia"/>
          <w:snapToGrid w:val="0"/>
          <w:color w:val="000000"/>
          <w:kern w:val="0"/>
          <w:szCs w:val="21"/>
        </w:rPr>
        <w:t xml:space="preserve"> 检测项目</w:t>
      </w:r>
      <w:r>
        <w:rPr>
          <w:rFonts w:hint="eastAsia" w:cs="Arial" w:asciiTheme="minorEastAsia" w:hAnsiTheme="minorEastAsia"/>
          <w:snapToGrid w:val="0"/>
          <w:color w:val="000000"/>
          <w:kern w:val="0"/>
          <w:szCs w:val="21"/>
        </w:rPr>
        <w:t>宜</w:t>
      </w:r>
      <w:r>
        <w:rPr>
          <w:rFonts w:cs="Arial" w:asciiTheme="minorEastAsia" w:hAnsiTheme="minorEastAsia"/>
          <w:snapToGrid w:val="0"/>
          <w:color w:val="000000"/>
          <w:kern w:val="0"/>
          <w:szCs w:val="21"/>
        </w:rPr>
        <w:t>包括以下内容：</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1 </w:t>
      </w:r>
      <w:r>
        <w:rPr>
          <w:rFonts w:hint="eastAsia" w:cs="黑体" w:asciiTheme="minorEastAsia" w:hAnsiTheme="minorEastAsia"/>
          <w:snapToGrid w:val="0"/>
          <w:color w:val="000000"/>
          <w:kern w:val="0"/>
          <w:szCs w:val="21"/>
        </w:rPr>
        <w:t xml:space="preserve"> </w:t>
      </w:r>
      <w:r>
        <w:rPr>
          <w:rFonts w:hint="eastAsia" w:cs="Times New Roman" w:asciiTheme="minorEastAsia" w:hAnsiTheme="minorEastAsia"/>
          <w:bCs/>
          <w:snapToGrid w:val="0"/>
          <w:color w:val="000000"/>
          <w:kern w:val="0"/>
          <w:szCs w:val="21"/>
        </w:rPr>
        <w:t>帷幕灌浆、固结灌浆、防渗灌浆等宜包括检测孔位偏差、水泥结石充填密实度、水泥结石与岩体胶结质量、深度、渗透系数或透水率、岩体波速、弹性模量、变形模量等。帷幕灌浆、防渗灌浆增加封孔孔口封填外观质量、封孔水泥结石的密实度及芯样获得率。</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2  </w:t>
      </w:r>
      <w:r>
        <w:rPr>
          <w:rFonts w:hint="eastAsia" w:cs="Times New Roman" w:asciiTheme="minorEastAsia" w:hAnsiTheme="minorEastAsia"/>
          <w:bCs/>
          <w:snapToGrid w:val="0"/>
          <w:color w:val="000000"/>
          <w:kern w:val="0"/>
          <w:szCs w:val="21"/>
        </w:rPr>
        <w:t>回填灌浆宜包括检测浆液结石与围岩之间的脱空尺寸、浆液结石充填密实度、注浆量（或出浆流量）。</w:t>
      </w:r>
      <w:bookmarkStart w:id="29" w:name="OLE_LINK20"/>
      <w:r>
        <w:rPr>
          <w:rFonts w:hint="eastAsia" w:cs="Times New Roman" w:asciiTheme="minorEastAsia" w:hAnsiTheme="minorEastAsia"/>
          <w:bCs/>
          <w:snapToGrid w:val="0"/>
          <w:color w:val="000000"/>
          <w:kern w:val="0"/>
          <w:szCs w:val="21"/>
        </w:rPr>
        <w:t>设计</w:t>
      </w:r>
      <w:bookmarkStart w:id="30" w:name="OLE_LINK21"/>
      <w:r>
        <w:rPr>
          <w:rFonts w:hint="eastAsia" w:cs="Times New Roman" w:asciiTheme="minorEastAsia" w:hAnsiTheme="minorEastAsia"/>
          <w:bCs/>
          <w:snapToGrid w:val="0"/>
          <w:color w:val="000000"/>
          <w:kern w:val="0"/>
          <w:szCs w:val="21"/>
        </w:rPr>
        <w:t>不要求</w:t>
      </w:r>
      <w:bookmarkEnd w:id="30"/>
      <w:r>
        <w:rPr>
          <w:rFonts w:hint="eastAsia" w:cs="Times New Roman" w:asciiTheme="minorEastAsia" w:hAnsiTheme="minorEastAsia"/>
          <w:bCs/>
          <w:snapToGrid w:val="0"/>
          <w:color w:val="000000"/>
          <w:kern w:val="0"/>
          <w:szCs w:val="21"/>
        </w:rPr>
        <w:t>将空腔填满时增加浆液充填</w:t>
      </w:r>
      <w:bookmarkEnd w:id="29"/>
      <w:r>
        <w:rPr>
          <w:rFonts w:hint="eastAsia" w:cs="Times New Roman" w:asciiTheme="minorEastAsia" w:hAnsiTheme="minorEastAsia"/>
          <w:bCs/>
          <w:snapToGrid w:val="0"/>
          <w:color w:val="000000"/>
          <w:kern w:val="0"/>
          <w:szCs w:val="21"/>
        </w:rPr>
        <w:t>厚度。</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3 </w:t>
      </w:r>
      <w:r>
        <w:rPr>
          <w:rFonts w:hint="eastAsia" w:cs="黑体" w:asciiTheme="minorEastAsia" w:hAnsiTheme="minorEastAsia"/>
          <w:snapToGrid w:val="0"/>
          <w:color w:val="000000"/>
          <w:kern w:val="0"/>
          <w:szCs w:val="21"/>
        </w:rPr>
        <w:t xml:space="preserve"> </w:t>
      </w:r>
      <w:r>
        <w:rPr>
          <w:rFonts w:hint="eastAsia" w:cs="Times New Roman" w:asciiTheme="minorEastAsia" w:hAnsiTheme="minorEastAsia"/>
          <w:bCs/>
          <w:snapToGrid w:val="0"/>
          <w:color w:val="000000"/>
          <w:kern w:val="0"/>
          <w:szCs w:val="21"/>
        </w:rPr>
        <w:t>接触灌浆宜包括检测钢管或钢衬与混凝土接触状况、脱空范围和程度。</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4</w:t>
      </w:r>
      <w:r>
        <w:rPr>
          <w:rFonts w:hint="eastAsia" w:cs="Times New Roman" w:asciiTheme="minorEastAsia" w:hAnsiTheme="minorEastAsia"/>
          <w:bCs/>
          <w:snapToGrid w:val="0"/>
          <w:color w:val="000000"/>
          <w:kern w:val="0"/>
          <w:szCs w:val="21"/>
        </w:rPr>
        <w:t xml:space="preserve">  化学灌浆宜包括检测水泥结石与岩体胶结质量、渗透系数或透水率等。</w:t>
      </w:r>
    </w:p>
    <w:p>
      <w:pPr>
        <w:widowControl/>
        <w:kinsoku w:val="0"/>
        <w:autoSpaceDE w:val="0"/>
        <w:autoSpaceDN w:val="0"/>
        <w:adjustRightInd w:val="0"/>
        <w:snapToGrid w:val="0"/>
        <w:spacing w:line="360" w:lineRule="auto"/>
        <w:jc w:val="left"/>
        <w:textAlignment w:val="baseline"/>
        <w:rPr>
          <w:rFonts w:hint="eastAsia" w:asciiTheme="minorEastAsia" w:hAnsiTheme="minorEastAsia" w:cstheme="minorEastAsia"/>
        </w:rPr>
      </w:pPr>
      <w:r>
        <w:rPr>
          <w:rFonts w:hint="eastAsia" w:ascii="黑体" w:hAnsi="黑体" w:eastAsia="黑体" w:cstheme="minorEastAsia"/>
        </w:rPr>
        <w:t xml:space="preserve">4.3.2  </w:t>
      </w:r>
      <w:r>
        <w:rPr>
          <w:rFonts w:hint="eastAsia" w:asciiTheme="minorEastAsia" w:hAnsiTheme="minorEastAsia" w:cstheme="minorEastAsia"/>
        </w:rPr>
        <w:t>检测单元应根据工程特点和施工情况，按下列要求划分：</w:t>
      </w:r>
    </w:p>
    <w:p>
      <w:pPr>
        <w:widowControl/>
        <w:kinsoku w:val="0"/>
        <w:autoSpaceDE w:val="0"/>
        <w:autoSpaceDN w:val="0"/>
        <w:adjustRightInd w:val="0"/>
        <w:snapToGrid w:val="0"/>
        <w:spacing w:line="360" w:lineRule="auto"/>
        <w:ind w:firstLine="420" w:firstLineChars="200"/>
        <w:jc w:val="left"/>
        <w:textAlignment w:val="baseline"/>
        <w:rPr>
          <w:rFonts w:hint="eastAsia" w:asciiTheme="minorEastAsia" w:hAnsiTheme="minorEastAsia" w:cstheme="minorEastAsia"/>
        </w:rPr>
      </w:pPr>
      <w:r>
        <w:rPr>
          <w:rFonts w:hint="eastAsia" w:ascii="黑体" w:hAnsi="黑体" w:eastAsia="黑体" w:cstheme="minorEastAsia"/>
        </w:rPr>
        <w:t xml:space="preserve">1  </w:t>
      </w:r>
      <w:r>
        <w:rPr>
          <w:rFonts w:hint="eastAsia" w:asciiTheme="minorEastAsia" w:hAnsiTheme="minorEastAsia" w:cstheme="minorEastAsia"/>
        </w:rPr>
        <w:t>帷幕灌浆：沿帷幕线，每12m长度划分为1个检测单元。</w:t>
      </w:r>
    </w:p>
    <w:p>
      <w:pPr>
        <w:widowControl/>
        <w:kinsoku w:val="0"/>
        <w:autoSpaceDE w:val="0"/>
        <w:autoSpaceDN w:val="0"/>
        <w:adjustRightInd w:val="0"/>
        <w:snapToGrid w:val="0"/>
        <w:spacing w:line="360" w:lineRule="auto"/>
        <w:ind w:firstLine="420" w:firstLineChars="200"/>
        <w:textAlignment w:val="baseline"/>
        <w:rPr>
          <w:rFonts w:hint="eastAsia" w:cs="黑体" w:asciiTheme="minorEastAsia" w:hAnsiTheme="minorEastAsia"/>
          <w:color w:val="FF0000"/>
          <w:szCs w:val="21"/>
        </w:rPr>
      </w:pPr>
      <w:r>
        <w:rPr>
          <w:rFonts w:hint="eastAsia" w:ascii="黑体" w:hAnsi="黑体" w:eastAsia="黑体" w:cstheme="minorEastAsia"/>
        </w:rPr>
        <w:t xml:space="preserve">2  </w:t>
      </w:r>
      <w:r>
        <w:rPr>
          <w:rFonts w:hint="eastAsia" w:asciiTheme="minorEastAsia" w:hAnsiTheme="minorEastAsia" w:cstheme="minorEastAsia"/>
        </w:rPr>
        <w:t>固结灌浆、回填灌浆（包括基岩、地下洞室）：结合混凝土浇筑（衬砌）块、段或施工分区，按每50m</w:t>
      </w:r>
      <w:r>
        <w:rPr>
          <w:rFonts w:hint="eastAsia" w:asciiTheme="minorEastAsia" w:hAnsiTheme="minorEastAsia" w:cstheme="minorEastAsia"/>
          <w:vertAlign w:val="superscript"/>
        </w:rPr>
        <w:t>2</w:t>
      </w:r>
      <w:r>
        <w:rPr>
          <w:rFonts w:hint="eastAsia" w:asciiTheme="minorEastAsia" w:hAnsiTheme="minorEastAsia" w:cstheme="minorEastAsia"/>
        </w:rPr>
        <w:t>区域划分为1个检测单元；隧洞沿洞线长度，每8m划分为1个检测单元。</w:t>
      </w:r>
    </w:p>
    <w:p>
      <w:pPr>
        <w:widowControl/>
        <w:kinsoku w:val="0"/>
        <w:autoSpaceDE w:val="0"/>
        <w:autoSpaceDN w:val="0"/>
        <w:adjustRightInd w:val="0"/>
        <w:snapToGrid w:val="0"/>
        <w:spacing w:line="360" w:lineRule="auto"/>
        <w:jc w:val="left"/>
        <w:textAlignment w:val="baseline"/>
        <w:rPr>
          <w:rFonts w:hint="eastAsia" w:cs="Arial" w:asciiTheme="minorEastAsia" w:hAnsiTheme="minorEastAsia"/>
          <w:snapToGrid w:val="0"/>
          <w:color w:val="000000"/>
          <w:kern w:val="0"/>
          <w:szCs w:val="21"/>
        </w:rPr>
      </w:pPr>
      <w:r>
        <w:rPr>
          <w:rFonts w:hint="eastAsia" w:ascii="黑体" w:hAnsi="黑体" w:eastAsia="黑体" w:cs="黑体"/>
          <w:szCs w:val="21"/>
        </w:rPr>
        <w:t>4.3.3</w:t>
      </w:r>
      <w:r>
        <w:rPr>
          <w:rFonts w:cs="Arial" w:asciiTheme="minorEastAsia" w:hAnsiTheme="minorEastAsia"/>
          <w:snapToGrid w:val="0"/>
          <w:color w:val="000000"/>
          <w:kern w:val="0"/>
          <w:szCs w:val="21"/>
        </w:rPr>
        <w:t xml:space="preserve">  检测方法应符合下列要求：</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1 </w:t>
      </w:r>
      <w:r>
        <w:rPr>
          <w:rFonts w:hint="eastAsia" w:cs="黑体" w:asciiTheme="minorEastAsia" w:hAnsiTheme="minorEastAsia"/>
          <w:snapToGrid w:val="0"/>
          <w:color w:val="000000"/>
          <w:kern w:val="0"/>
          <w:szCs w:val="21"/>
        </w:rPr>
        <w:t xml:space="preserve"> </w:t>
      </w:r>
      <w:r>
        <w:rPr>
          <w:rFonts w:hint="eastAsia" w:cs="Times New Roman" w:asciiTheme="minorEastAsia" w:hAnsiTheme="minorEastAsia"/>
          <w:bCs/>
          <w:snapToGrid w:val="0"/>
          <w:color w:val="000000"/>
          <w:kern w:val="0"/>
          <w:szCs w:val="21"/>
        </w:rPr>
        <w:t>帷幕灌浆、固结灌浆、防渗灌浆：</w:t>
      </w:r>
    </w:p>
    <w:p>
      <w:pPr>
        <w:widowControl/>
        <w:numPr>
          <w:ilvl w:val="0"/>
          <w:numId w:val="3"/>
        </w:numPr>
        <w:kinsoku w:val="0"/>
        <w:autoSpaceDE w:val="0"/>
        <w:autoSpaceDN w:val="0"/>
        <w:adjustRightInd w:val="0"/>
        <w:snapToGrid w:val="0"/>
        <w:spacing w:line="360" w:lineRule="auto"/>
        <w:ind w:firstLine="630" w:firstLineChars="300"/>
        <w:textAlignment w:val="baseline"/>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孔位偏差：采用RTK、全站仪或钢卷尺等检测。</w:t>
      </w:r>
    </w:p>
    <w:p>
      <w:pPr>
        <w:widowControl/>
        <w:numPr>
          <w:ilvl w:val="0"/>
          <w:numId w:val="3"/>
        </w:numPr>
        <w:kinsoku w:val="0"/>
        <w:autoSpaceDE w:val="0"/>
        <w:autoSpaceDN w:val="0"/>
        <w:adjustRightInd w:val="0"/>
        <w:snapToGrid w:val="0"/>
        <w:spacing w:line="360" w:lineRule="auto"/>
        <w:ind w:left="1058" w:leftChars="300" w:hanging="428" w:hangingChars="204"/>
        <w:textAlignment w:val="baseline"/>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水泥结石充填密实度、</w:t>
      </w:r>
      <w:bookmarkStart w:id="31" w:name="OLE_LINK22"/>
      <w:r>
        <w:rPr>
          <w:rFonts w:hint="eastAsia" w:cs="Times New Roman" w:asciiTheme="minorEastAsia" w:hAnsiTheme="minorEastAsia"/>
          <w:bCs/>
          <w:snapToGrid w:val="0"/>
          <w:color w:val="000000"/>
          <w:kern w:val="0"/>
          <w:szCs w:val="21"/>
        </w:rPr>
        <w:t>水泥结石与岩体胶结质量、深度</w:t>
      </w:r>
      <w:bookmarkEnd w:id="31"/>
      <w:r>
        <w:rPr>
          <w:rFonts w:hint="eastAsia" w:cs="Times New Roman" w:asciiTheme="minorEastAsia" w:hAnsiTheme="minorEastAsia"/>
          <w:bCs/>
          <w:snapToGrid w:val="0"/>
          <w:color w:val="000000"/>
          <w:kern w:val="0"/>
          <w:szCs w:val="21"/>
        </w:rPr>
        <w:t>：采用钻芯法检测，应执行SL/T 62的规定；采用单孔声波法、钻孔电视、层析成像（声波CT、电磁波CT、弹性波CT）检测应执行L/T 291.1的规定。</w:t>
      </w:r>
    </w:p>
    <w:p>
      <w:pPr>
        <w:widowControl/>
        <w:numPr>
          <w:ilvl w:val="0"/>
          <w:numId w:val="3"/>
        </w:numPr>
        <w:kinsoku w:val="0"/>
        <w:autoSpaceDE w:val="0"/>
        <w:autoSpaceDN w:val="0"/>
        <w:adjustRightInd w:val="0"/>
        <w:snapToGrid w:val="0"/>
        <w:spacing w:line="360" w:lineRule="auto"/>
        <w:ind w:left="1058" w:leftChars="300" w:hanging="428" w:hangingChars="204"/>
        <w:textAlignment w:val="baseline"/>
        <w:rPr>
          <w:rFonts w:hint="eastAsia" w:cs="Times New Roman" w:asciiTheme="minorEastAsia" w:hAnsiTheme="minorEastAsia"/>
          <w:bCs/>
          <w:snapToGrid w:val="0"/>
          <w:color w:val="000000"/>
          <w:kern w:val="0"/>
          <w:szCs w:val="21"/>
        </w:rPr>
      </w:pPr>
      <w:r>
        <w:rPr>
          <w:rFonts w:hint="eastAsia" w:cs="黑体" w:asciiTheme="minorEastAsia" w:hAnsiTheme="minorEastAsia"/>
          <w:szCs w:val="21"/>
        </w:rPr>
        <w:t>渗透系数或透水率：采用压水试验方法检测，应执行SL/T 62的规定</w:t>
      </w:r>
      <w:r>
        <w:rPr>
          <w:rFonts w:hint="eastAsia" w:cs="Times New Roman" w:asciiTheme="minorEastAsia" w:hAnsiTheme="minorEastAsia"/>
          <w:bCs/>
          <w:snapToGrid w:val="0"/>
          <w:color w:val="000000"/>
          <w:kern w:val="0"/>
          <w:szCs w:val="21"/>
        </w:rPr>
        <w:t>。</w:t>
      </w:r>
    </w:p>
    <w:p>
      <w:pPr>
        <w:widowControl/>
        <w:numPr>
          <w:ilvl w:val="0"/>
          <w:numId w:val="3"/>
        </w:numPr>
        <w:kinsoku w:val="0"/>
        <w:autoSpaceDE w:val="0"/>
        <w:autoSpaceDN w:val="0"/>
        <w:adjustRightInd w:val="0"/>
        <w:snapToGrid w:val="0"/>
        <w:spacing w:line="360" w:lineRule="auto"/>
        <w:ind w:left="1058" w:leftChars="300" w:hanging="428" w:hangingChars="204"/>
        <w:textAlignment w:val="baseline"/>
        <w:rPr>
          <w:rFonts w:hint="eastAsia" w:cs="Times New Roman" w:asciiTheme="minorEastAsia" w:hAnsiTheme="minorEastAsia"/>
          <w:bCs/>
          <w:snapToGrid w:val="0"/>
          <w:color w:val="000000"/>
          <w:kern w:val="0"/>
          <w:szCs w:val="21"/>
        </w:rPr>
      </w:pPr>
      <w:r>
        <w:rPr>
          <w:rFonts w:hint="eastAsia" w:cs="黑体" w:asciiTheme="minorEastAsia" w:hAnsiTheme="minorEastAsia"/>
          <w:szCs w:val="21"/>
        </w:rPr>
        <w:t>波速：采用单孔声波法、跨孔声波法检测，应执行L/T 291.1的规定</w:t>
      </w:r>
      <w:r>
        <w:rPr>
          <w:rFonts w:hint="eastAsia" w:cs="Times New Roman" w:asciiTheme="minorEastAsia" w:hAnsiTheme="minorEastAsia"/>
          <w:bCs/>
          <w:snapToGrid w:val="0"/>
          <w:color w:val="000000"/>
          <w:kern w:val="0"/>
          <w:szCs w:val="21"/>
        </w:rPr>
        <w:t>。</w:t>
      </w:r>
    </w:p>
    <w:p>
      <w:pPr>
        <w:widowControl/>
        <w:numPr>
          <w:ilvl w:val="0"/>
          <w:numId w:val="3"/>
        </w:numPr>
        <w:kinsoku w:val="0"/>
        <w:autoSpaceDE w:val="0"/>
        <w:autoSpaceDN w:val="0"/>
        <w:adjustRightInd w:val="0"/>
        <w:snapToGrid w:val="0"/>
        <w:spacing w:line="360" w:lineRule="auto"/>
        <w:ind w:left="1058" w:leftChars="300" w:hanging="428" w:hangingChars="204"/>
        <w:textAlignment w:val="baseline"/>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弹性模量、变形模量：钻孔弹模、变模法检测，应执行L/T 291.1的规定。</w:t>
      </w:r>
    </w:p>
    <w:p>
      <w:pPr>
        <w:widowControl/>
        <w:numPr>
          <w:ilvl w:val="0"/>
          <w:numId w:val="3"/>
        </w:numPr>
        <w:kinsoku w:val="0"/>
        <w:autoSpaceDE w:val="0"/>
        <w:autoSpaceDN w:val="0"/>
        <w:adjustRightInd w:val="0"/>
        <w:snapToGrid w:val="0"/>
        <w:spacing w:line="360" w:lineRule="auto"/>
        <w:ind w:left="1058" w:leftChars="300" w:hanging="428" w:hangingChars="204"/>
        <w:textAlignment w:val="baseline"/>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封孔孔口封填外观质量：采用目测法检测。</w:t>
      </w:r>
    </w:p>
    <w:p>
      <w:pPr>
        <w:widowControl/>
        <w:kinsoku w:val="0"/>
        <w:autoSpaceDE w:val="0"/>
        <w:autoSpaceDN w:val="0"/>
        <w:adjustRightInd w:val="0"/>
        <w:snapToGrid w:val="0"/>
        <w:spacing w:line="360" w:lineRule="auto"/>
        <w:ind w:left="630" w:leftChars="3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7） </w:t>
      </w:r>
      <w:r>
        <w:rPr>
          <w:rFonts w:hint="eastAsia" w:cs="Times New Roman" w:asciiTheme="minorEastAsia" w:hAnsiTheme="minorEastAsia"/>
          <w:bCs/>
          <w:snapToGrid w:val="0"/>
          <w:color w:val="000000"/>
          <w:kern w:val="0"/>
          <w:szCs w:val="21"/>
        </w:rPr>
        <w:t>封孔水泥结石的密实度及芯样获得率：采用钻芯法检测，应执行SL/T 62的规定。</w:t>
      </w:r>
    </w:p>
    <w:p>
      <w:pPr>
        <w:widowControl/>
        <w:kinsoku w:val="0"/>
        <w:autoSpaceDE w:val="0"/>
        <w:autoSpaceDN w:val="0"/>
        <w:adjustRightInd w:val="0"/>
        <w:snapToGrid w:val="0"/>
        <w:spacing w:line="360" w:lineRule="auto"/>
        <w:ind w:left="1056" w:leftChars="303" w:hanging="420" w:hanging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8） </w:t>
      </w:r>
      <w:r>
        <w:rPr>
          <w:rFonts w:hint="eastAsia" w:cs="Times New Roman" w:asciiTheme="minorEastAsia" w:hAnsiTheme="minorEastAsia"/>
          <w:bCs/>
          <w:snapToGrid w:val="0"/>
          <w:color w:val="000000"/>
          <w:kern w:val="0"/>
          <w:szCs w:val="21"/>
        </w:rPr>
        <w:t>检查孔出现岩芯破碎、透水率(或渗透系数)严重超标等不正常的情况下，可采用钻孔电视技术或其他检测方法，检查孔壁浆液充填情况，辅助评价灌浆质量。</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2  </w:t>
      </w:r>
      <w:r>
        <w:rPr>
          <w:rFonts w:hint="eastAsia" w:cs="Times New Roman" w:asciiTheme="minorEastAsia" w:hAnsiTheme="minorEastAsia"/>
          <w:bCs/>
          <w:snapToGrid w:val="0"/>
          <w:color w:val="000000"/>
          <w:kern w:val="0"/>
          <w:szCs w:val="21"/>
        </w:rPr>
        <w:t>回填灌浆：</w:t>
      </w:r>
    </w:p>
    <w:p>
      <w:pPr>
        <w:widowControl/>
        <w:numPr>
          <w:ilvl w:val="0"/>
          <w:numId w:val="4"/>
        </w:numPr>
        <w:kinsoku w:val="0"/>
        <w:autoSpaceDE w:val="0"/>
        <w:autoSpaceDN w:val="0"/>
        <w:adjustRightInd w:val="0"/>
        <w:snapToGrid w:val="0"/>
        <w:spacing w:line="360" w:lineRule="auto"/>
        <w:ind w:left="1050" w:leftChars="300" w:hanging="420" w:hangingChars="200"/>
        <w:textAlignment w:val="baseline"/>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浆液结石与围岩之间的脱空尺寸、浆液结石充填密实度、浆液结石充填厚度：采用钻芯法检测，应执行SL/T 62的规定，采用地质雷达法、冲击回波法、声波反射法、超声横波反射成像法检测，应执行SL/T 291.1的规定。</w:t>
      </w:r>
    </w:p>
    <w:p>
      <w:pPr>
        <w:widowControl/>
        <w:kinsoku w:val="0"/>
        <w:autoSpaceDE w:val="0"/>
        <w:autoSpaceDN w:val="0"/>
        <w:adjustRightInd w:val="0"/>
        <w:snapToGrid w:val="0"/>
        <w:spacing w:line="360" w:lineRule="auto"/>
        <w:ind w:left="1050" w:leftChars="300" w:hanging="420" w:hanging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2） </w:t>
      </w:r>
      <w:r>
        <w:rPr>
          <w:rFonts w:hint="eastAsia" w:cs="Times New Roman" w:asciiTheme="minorEastAsia" w:hAnsiTheme="minorEastAsia"/>
          <w:bCs/>
          <w:snapToGrid w:val="0"/>
          <w:color w:val="000000"/>
          <w:kern w:val="0"/>
          <w:szCs w:val="21"/>
        </w:rPr>
        <w:t>注浆量或出浆流量：可根据工程条件采用单孔注浆试验或双孔连通试验的一种或两种检测方法，均应执行SL/T 62的规定。</w:t>
      </w:r>
    </w:p>
    <w:p>
      <w:pPr>
        <w:widowControl/>
        <w:kinsoku w:val="0"/>
        <w:autoSpaceDE w:val="0"/>
        <w:autoSpaceDN w:val="0"/>
        <w:adjustRightInd w:val="0"/>
        <w:snapToGrid w:val="0"/>
        <w:spacing w:line="360" w:lineRule="auto"/>
        <w:ind w:left="420" w:leftChars="200" w:firstLine="218" w:firstLineChars="104"/>
        <w:textAlignment w:val="baseline"/>
        <w:rPr>
          <w:rFonts w:hint="eastAsia" w:cs="Arial" w:asciiTheme="minorEastAsia" w:hAnsiTheme="minorEastAsia"/>
          <w:snapToGrid w:val="0"/>
          <w:color w:val="000000"/>
          <w:kern w:val="0"/>
          <w:szCs w:val="21"/>
        </w:rPr>
      </w:pPr>
      <w:r>
        <w:rPr>
          <w:rFonts w:hint="eastAsia" w:ascii="黑体" w:hAnsi="黑体" w:eastAsia="黑体" w:cs="黑体"/>
          <w:szCs w:val="21"/>
        </w:rPr>
        <w:t xml:space="preserve">3） </w:t>
      </w:r>
      <w:r>
        <w:rPr>
          <w:rFonts w:hint="eastAsia" w:cs="Times New Roman" w:asciiTheme="minorEastAsia" w:hAnsiTheme="minorEastAsia"/>
          <w:bCs/>
          <w:snapToGrid w:val="0"/>
          <w:color w:val="000000"/>
          <w:kern w:val="0"/>
          <w:szCs w:val="21"/>
        </w:rPr>
        <w:t>必要时可采用钻芯法对无损检测成果进行标定、验证，辅助检测资料解译。</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3  </w:t>
      </w:r>
      <w:r>
        <w:rPr>
          <w:rFonts w:hint="eastAsia" w:cs="Times New Roman" w:asciiTheme="minorEastAsia" w:hAnsiTheme="minorEastAsia"/>
          <w:bCs/>
          <w:snapToGrid w:val="0"/>
          <w:color w:val="000000"/>
          <w:kern w:val="0"/>
          <w:szCs w:val="21"/>
        </w:rPr>
        <w:t>接触灌浆：</w:t>
      </w:r>
    </w:p>
    <w:p>
      <w:pPr>
        <w:widowControl/>
        <w:kinsoku w:val="0"/>
        <w:autoSpaceDE w:val="0"/>
        <w:autoSpaceDN w:val="0"/>
        <w:adjustRightInd w:val="0"/>
        <w:snapToGrid w:val="0"/>
        <w:spacing w:line="360" w:lineRule="auto"/>
        <w:ind w:firstLine="420" w:firstLineChars="200"/>
        <w:textAlignment w:val="baseline"/>
        <w:rPr>
          <w:rFonts w:hint="eastAsia" w:cs="黑体" w:asciiTheme="minorEastAsia" w:hAnsiTheme="minorEastAsia"/>
          <w:snapToGrid w:val="0"/>
          <w:color w:val="000000"/>
          <w:kern w:val="0"/>
          <w:szCs w:val="21"/>
        </w:rPr>
      </w:pPr>
      <w:r>
        <w:rPr>
          <w:rFonts w:hint="eastAsia" w:cs="黑体" w:asciiTheme="minorEastAsia" w:hAnsiTheme="minorEastAsia"/>
          <w:snapToGrid w:val="0"/>
          <w:color w:val="000000"/>
          <w:kern w:val="0"/>
          <w:szCs w:val="21"/>
        </w:rPr>
        <w:t>钢管或钢衬与混凝土接触状况、脱空范围和程度采用冲击回波法、声波反射法、超声横波反射成像法检测，应执行SL/T 291.1的规定。</w:t>
      </w:r>
    </w:p>
    <w:p>
      <w:pPr>
        <w:widowControl/>
        <w:kinsoku w:val="0"/>
        <w:autoSpaceDE w:val="0"/>
        <w:autoSpaceDN w:val="0"/>
        <w:adjustRightInd w:val="0"/>
        <w:snapToGrid w:val="0"/>
        <w:spacing w:line="360" w:lineRule="auto"/>
        <w:ind w:left="420" w:left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4 </w:t>
      </w:r>
      <w:r>
        <w:rPr>
          <w:rFonts w:hint="eastAsia" w:cs="黑体" w:asciiTheme="minorEastAsia" w:hAnsiTheme="minorEastAsia"/>
          <w:snapToGrid w:val="0"/>
          <w:color w:val="000000"/>
          <w:kern w:val="0"/>
          <w:szCs w:val="21"/>
        </w:rPr>
        <w:t xml:space="preserve"> </w:t>
      </w:r>
      <w:r>
        <w:rPr>
          <w:rFonts w:hint="eastAsia" w:cs="Times New Roman" w:asciiTheme="minorEastAsia" w:hAnsiTheme="minorEastAsia"/>
          <w:bCs/>
          <w:snapToGrid w:val="0"/>
          <w:color w:val="000000"/>
          <w:kern w:val="0"/>
          <w:szCs w:val="21"/>
        </w:rPr>
        <w:t>化学灌浆：</w:t>
      </w:r>
    </w:p>
    <w:p>
      <w:pPr>
        <w:widowControl/>
        <w:kinsoku w:val="0"/>
        <w:autoSpaceDE w:val="0"/>
        <w:autoSpaceDN w:val="0"/>
        <w:adjustRightInd w:val="0"/>
        <w:snapToGrid w:val="0"/>
        <w:spacing w:line="360" w:lineRule="auto"/>
        <w:ind w:left="420" w:leftChars="200" w:firstLine="210" w:firstLineChars="1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1）</w:t>
      </w:r>
      <w:r>
        <w:rPr>
          <w:rFonts w:hint="eastAsia" w:cs="Times New Roman" w:asciiTheme="minorEastAsia" w:hAnsiTheme="minorEastAsia"/>
          <w:bCs/>
          <w:snapToGrid w:val="0"/>
          <w:color w:val="000000"/>
          <w:kern w:val="0"/>
          <w:szCs w:val="21"/>
        </w:rPr>
        <w:t>水泥结石与岩体胶结质量：采用钻芯法检测，应执行SL/T 62的规定。</w:t>
      </w:r>
    </w:p>
    <w:p>
      <w:pPr>
        <w:widowControl/>
        <w:kinsoku w:val="0"/>
        <w:autoSpaceDE w:val="0"/>
        <w:autoSpaceDN w:val="0"/>
        <w:adjustRightInd w:val="0"/>
        <w:snapToGrid w:val="0"/>
        <w:spacing w:line="360" w:lineRule="auto"/>
        <w:ind w:left="420" w:leftChars="200" w:firstLine="210" w:firstLineChars="1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2）</w:t>
      </w:r>
      <w:r>
        <w:rPr>
          <w:rFonts w:hint="eastAsia" w:cs="Times New Roman" w:asciiTheme="minorEastAsia" w:hAnsiTheme="minorEastAsia"/>
          <w:bCs/>
          <w:snapToGrid w:val="0"/>
          <w:color w:val="000000"/>
          <w:kern w:val="0"/>
          <w:szCs w:val="21"/>
        </w:rPr>
        <w:t>渗透系数或透水率：采用压水试验方法检测，应执行DL/T 5406的规定。</w:t>
      </w:r>
    </w:p>
    <w:p>
      <w:pPr>
        <w:widowControl/>
        <w:kinsoku w:val="0"/>
        <w:autoSpaceDE w:val="0"/>
        <w:autoSpaceDN w:val="0"/>
        <w:adjustRightInd w:val="0"/>
        <w:snapToGrid w:val="0"/>
        <w:spacing w:line="360" w:lineRule="auto"/>
        <w:jc w:val="left"/>
        <w:textAlignment w:val="baseline"/>
        <w:rPr>
          <w:rFonts w:hint="eastAsia" w:cs="Arial" w:asciiTheme="minorEastAsia" w:hAnsiTheme="minorEastAsia"/>
          <w:snapToGrid w:val="0"/>
          <w:color w:val="000000"/>
          <w:kern w:val="0"/>
          <w:szCs w:val="21"/>
        </w:rPr>
      </w:pPr>
      <w:r>
        <w:rPr>
          <w:rFonts w:hint="eastAsia" w:ascii="黑体" w:hAnsi="黑体" w:eastAsia="黑体" w:cs="黑体"/>
          <w:szCs w:val="21"/>
        </w:rPr>
        <w:t xml:space="preserve">4.3.4 </w:t>
      </w:r>
      <w:r>
        <w:rPr>
          <w:rFonts w:cs="黑体" w:asciiTheme="minorEastAsia" w:hAnsiTheme="minorEastAsia"/>
          <w:snapToGrid w:val="0"/>
          <w:color w:val="000000"/>
          <w:kern w:val="0"/>
          <w:szCs w:val="21"/>
        </w:rPr>
        <w:t xml:space="preserve"> </w:t>
      </w:r>
      <w:r>
        <w:rPr>
          <w:rFonts w:cs="Arial" w:asciiTheme="minorEastAsia" w:hAnsiTheme="minorEastAsia"/>
          <w:snapToGrid w:val="0"/>
          <w:color w:val="000000"/>
          <w:kern w:val="0"/>
          <w:szCs w:val="21"/>
        </w:rPr>
        <w:t>检测工作布置应符合下列要求</w:t>
      </w:r>
      <w:r>
        <w:rPr>
          <w:rFonts w:hint="eastAsia" w:cs="Arial" w:asciiTheme="minorEastAsia" w:hAnsiTheme="minorEastAsia"/>
          <w:snapToGrid w:val="0"/>
          <w:color w:val="000000"/>
          <w:kern w:val="0"/>
          <w:szCs w:val="21"/>
        </w:rPr>
        <w:t>：</w:t>
      </w:r>
      <w:r>
        <w:rPr>
          <w:rFonts w:cs="Arial" w:asciiTheme="minorEastAsia" w:hAnsiTheme="minorEastAsia"/>
          <w:snapToGrid w:val="0"/>
          <w:color w:val="000000"/>
          <w:kern w:val="0"/>
          <w:szCs w:val="21"/>
        </w:rPr>
        <w:t xml:space="preserve"> </w:t>
      </w:r>
    </w:p>
    <w:p>
      <w:pPr>
        <w:widowControl/>
        <w:kinsoku w:val="0"/>
        <w:autoSpaceDE w:val="0"/>
        <w:autoSpaceDN w:val="0"/>
        <w:adjustRightInd w:val="0"/>
        <w:snapToGrid w:val="0"/>
        <w:spacing w:line="360" w:lineRule="auto"/>
        <w:ind w:left="48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1  </w:t>
      </w:r>
      <w:r>
        <w:rPr>
          <w:rFonts w:hint="eastAsia" w:cs="Times New Roman" w:asciiTheme="minorEastAsia" w:hAnsiTheme="minorEastAsia"/>
          <w:bCs/>
          <w:snapToGrid w:val="0"/>
          <w:color w:val="000000"/>
          <w:kern w:val="0"/>
          <w:szCs w:val="21"/>
        </w:rPr>
        <w:t>帷幕灌浆、固结灌浆、防渗灌浆：</w:t>
      </w:r>
    </w:p>
    <w:p>
      <w:pPr>
        <w:widowControl/>
        <w:numPr>
          <w:ilvl w:val="0"/>
          <w:numId w:val="5"/>
        </w:numPr>
        <w:kinsoku w:val="0"/>
        <w:autoSpaceDE w:val="0"/>
        <w:autoSpaceDN w:val="0"/>
        <w:adjustRightInd w:val="0"/>
        <w:snapToGrid w:val="0"/>
        <w:spacing w:line="360" w:lineRule="auto"/>
        <w:ind w:left="630" w:leftChars="300"/>
        <w:textAlignment w:val="baseline"/>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孔位偏差宜对全部灌浆孔进行检测。</w:t>
      </w:r>
    </w:p>
    <w:p>
      <w:pPr>
        <w:widowControl/>
        <w:numPr>
          <w:ilvl w:val="0"/>
          <w:numId w:val="5"/>
        </w:numPr>
        <w:kinsoku w:val="0"/>
        <w:autoSpaceDE w:val="0"/>
        <w:autoSpaceDN w:val="0"/>
        <w:adjustRightInd w:val="0"/>
        <w:snapToGrid w:val="0"/>
        <w:spacing w:line="360" w:lineRule="auto"/>
        <w:ind w:left="1050" w:leftChars="300" w:hanging="420" w:hangingChars="200"/>
        <w:textAlignment w:val="baseline"/>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帷幕灌浆检测孔深度应深入设计防渗下限5m，孔斜不应大于孔深的1%,且宜在分析施工资料的基础上布置在以下部位：帷幕中心线，基岩破碎、断层与裂隙发育、强岩溶等地质条件复杂的部位，末序孔注入量大的孔段附近，钻孔偏斜过大、灌浆过程不正常等经分析资料认为可能对帷幕质量有影响的部位，防渗要求高的重点部位。</w:t>
      </w:r>
    </w:p>
    <w:p>
      <w:pPr>
        <w:widowControl/>
        <w:numPr>
          <w:ilvl w:val="0"/>
          <w:numId w:val="5"/>
        </w:numPr>
        <w:kinsoku w:val="0"/>
        <w:autoSpaceDE w:val="0"/>
        <w:autoSpaceDN w:val="0"/>
        <w:adjustRightInd w:val="0"/>
        <w:snapToGrid w:val="0"/>
        <w:spacing w:line="360" w:lineRule="auto"/>
        <w:ind w:left="1050" w:leftChars="300" w:hanging="420" w:hangingChars="200"/>
        <w:textAlignment w:val="baseline"/>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帷幕灌浆检测孔数量可按灌浆孔数的一定比例确定，单排孔帷幕时检测孔数量可为灌浆孔总数的10%左右，多排孔帷幕时检测孔数量可为主排孔数的10%左右。检测方法以压水试验为主，钻孔电视、单孔声波法、层析成像等灌前检测孔数不宜低于灌浆孔总数的2%，灌后孔数不宜低于灌浆孔总数的5%。</w:t>
      </w:r>
    </w:p>
    <w:p>
      <w:pPr>
        <w:widowControl/>
        <w:numPr>
          <w:ilvl w:val="0"/>
          <w:numId w:val="5"/>
        </w:numPr>
        <w:kinsoku w:val="0"/>
        <w:autoSpaceDE w:val="0"/>
        <w:autoSpaceDN w:val="0"/>
        <w:adjustRightInd w:val="0"/>
        <w:snapToGrid w:val="0"/>
        <w:spacing w:line="360" w:lineRule="auto"/>
        <w:ind w:left="1050" w:leftChars="300" w:hanging="420" w:hangingChars="200"/>
        <w:textAlignment w:val="baseline"/>
        <w:rPr>
          <w:rFonts w:hint="eastAsia" w:cs="Times New Roman" w:asciiTheme="minorEastAsia" w:hAnsiTheme="minorEastAsia"/>
          <w:bCs/>
          <w:snapToGrid w:val="0"/>
          <w:color w:val="000000"/>
          <w:kern w:val="0"/>
          <w:szCs w:val="21"/>
        </w:rPr>
      </w:pPr>
      <w:r>
        <w:rPr>
          <w:rFonts w:hint="eastAsia" w:cs="黑体" w:asciiTheme="minorEastAsia" w:hAnsiTheme="minorEastAsia"/>
          <w:snapToGrid w:val="0"/>
          <w:color w:val="000000"/>
          <w:kern w:val="0"/>
          <w:szCs w:val="21"/>
        </w:rPr>
        <w:t>固结灌浆、防渗灌浆检测孔应均匀布置，构造破碎带、裂隙发育、岩溶等条件复杂部位和钻孔偏斜过大、灌浆过程不正常、末序孔注入量大、经资料分析认为可能对灌浆质量有影响的部位应布置检测孔，检测孔深度应大于灌浆孔的深度</w:t>
      </w:r>
      <w:r>
        <w:rPr>
          <w:rFonts w:hint="eastAsia" w:cs="Times New Roman" w:asciiTheme="minorEastAsia" w:hAnsiTheme="minorEastAsia"/>
          <w:bCs/>
          <w:snapToGrid w:val="0"/>
          <w:color w:val="000000"/>
          <w:kern w:val="0"/>
          <w:szCs w:val="21"/>
        </w:rPr>
        <w:t>。</w:t>
      </w:r>
    </w:p>
    <w:p>
      <w:pPr>
        <w:widowControl/>
        <w:numPr>
          <w:ilvl w:val="0"/>
          <w:numId w:val="5"/>
        </w:numPr>
        <w:kinsoku w:val="0"/>
        <w:autoSpaceDE w:val="0"/>
        <w:autoSpaceDN w:val="0"/>
        <w:adjustRightInd w:val="0"/>
        <w:snapToGrid w:val="0"/>
        <w:spacing w:line="360" w:lineRule="auto"/>
        <w:ind w:left="1050" w:leftChars="300" w:hanging="420" w:hangingChars="200"/>
        <w:textAlignment w:val="baseline"/>
        <w:rPr>
          <w:rFonts w:hint="eastAsia" w:cs="Times New Roman" w:asciiTheme="minorEastAsia" w:hAnsiTheme="minorEastAsia"/>
          <w:bCs/>
          <w:snapToGrid w:val="0"/>
          <w:color w:val="000000"/>
          <w:kern w:val="0"/>
          <w:szCs w:val="21"/>
        </w:rPr>
      </w:pPr>
      <w:r>
        <w:rPr>
          <w:rFonts w:hint="eastAsia" w:cs="黑体" w:asciiTheme="minorEastAsia" w:hAnsiTheme="minorEastAsia"/>
          <w:snapToGrid w:val="0"/>
          <w:color w:val="000000"/>
          <w:kern w:val="0"/>
          <w:szCs w:val="21"/>
        </w:rPr>
        <w:t>固结灌浆、防渗灌浆宜以检测岩体弹性波波速的方法为主，每单元灌前灌后应分别布置不少于3个检测孔，灌前和灌后检测孔数量均不应少于总灌浆施工孔数的5％。所有检测孔均应进行单孔声波检测，其中跨孔声波法、钻孔变模、钻孔电视检测孔占总检测孔的比例不应少于60％、20％、60％</w:t>
      </w:r>
      <w:r>
        <w:rPr>
          <w:rFonts w:hint="eastAsia" w:cs="Times New Roman" w:asciiTheme="minorEastAsia" w:hAnsiTheme="minorEastAsia"/>
          <w:bCs/>
          <w:snapToGrid w:val="0"/>
          <w:color w:val="000000"/>
          <w:kern w:val="0"/>
          <w:szCs w:val="21"/>
        </w:rPr>
        <w:t>。</w:t>
      </w:r>
    </w:p>
    <w:p>
      <w:pPr>
        <w:widowControl/>
        <w:numPr>
          <w:ilvl w:val="0"/>
          <w:numId w:val="5"/>
        </w:numPr>
        <w:kinsoku w:val="0"/>
        <w:autoSpaceDE w:val="0"/>
        <w:autoSpaceDN w:val="0"/>
        <w:adjustRightInd w:val="0"/>
        <w:snapToGrid w:val="0"/>
        <w:spacing w:line="360" w:lineRule="auto"/>
        <w:ind w:left="1050" w:leftChars="300" w:hanging="420" w:hangingChars="200"/>
        <w:textAlignment w:val="baseline"/>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孔口封填外观质量：对全部孔口进行检测。</w:t>
      </w:r>
    </w:p>
    <w:p>
      <w:pPr>
        <w:widowControl/>
        <w:numPr>
          <w:ilvl w:val="0"/>
          <w:numId w:val="5"/>
        </w:numPr>
        <w:kinsoku w:val="0"/>
        <w:autoSpaceDE w:val="0"/>
        <w:autoSpaceDN w:val="0"/>
        <w:adjustRightInd w:val="0"/>
        <w:snapToGrid w:val="0"/>
        <w:spacing w:line="360" w:lineRule="auto"/>
        <w:ind w:left="1050" w:leftChars="300" w:hanging="420" w:hangingChars="200"/>
        <w:textAlignment w:val="baseline"/>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封孔水泥结石的密实度和芯样获得率：宜布置1个检测孔，孔位宜根据孔口封填外观质量并尽量结合其他方法检测孔布置。</w:t>
      </w:r>
    </w:p>
    <w:p>
      <w:pPr>
        <w:widowControl/>
        <w:numPr>
          <w:ilvl w:val="0"/>
          <w:numId w:val="5"/>
        </w:numPr>
        <w:kinsoku w:val="0"/>
        <w:autoSpaceDE w:val="0"/>
        <w:autoSpaceDN w:val="0"/>
        <w:adjustRightInd w:val="0"/>
        <w:snapToGrid w:val="0"/>
        <w:spacing w:line="360" w:lineRule="auto"/>
        <w:ind w:left="1050" w:leftChars="300" w:hanging="420" w:hangingChars="200"/>
        <w:textAlignment w:val="baseline"/>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弹性波测试应在灌浆结束14d后进行，压水试验应在灌浆结束3d后进行。</w:t>
      </w:r>
    </w:p>
    <w:p>
      <w:pPr>
        <w:widowControl/>
        <w:numPr>
          <w:ilvl w:val="0"/>
          <w:numId w:val="5"/>
        </w:numPr>
        <w:kinsoku w:val="0"/>
        <w:autoSpaceDE w:val="0"/>
        <w:autoSpaceDN w:val="0"/>
        <w:adjustRightInd w:val="0"/>
        <w:snapToGrid w:val="0"/>
        <w:spacing w:line="360" w:lineRule="auto"/>
        <w:ind w:left="1050" w:leftChars="300" w:hanging="420" w:hangingChars="200"/>
        <w:textAlignment w:val="baseline"/>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灌后检测孔不应利用灌浆孔扫孔。</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2  </w:t>
      </w:r>
      <w:r>
        <w:rPr>
          <w:rFonts w:hint="eastAsia" w:cs="Times New Roman" w:asciiTheme="minorEastAsia" w:hAnsiTheme="minorEastAsia"/>
          <w:bCs/>
          <w:snapToGrid w:val="0"/>
          <w:color w:val="000000"/>
          <w:kern w:val="0"/>
          <w:szCs w:val="21"/>
        </w:rPr>
        <w:t>回填灌浆：</w:t>
      </w:r>
    </w:p>
    <w:p>
      <w:pPr>
        <w:widowControl/>
        <w:numPr>
          <w:ilvl w:val="0"/>
          <w:numId w:val="6"/>
        </w:numPr>
        <w:kinsoku w:val="0"/>
        <w:autoSpaceDE w:val="0"/>
        <w:autoSpaceDN w:val="0"/>
        <w:adjustRightInd w:val="0"/>
        <w:snapToGrid w:val="0"/>
        <w:spacing w:line="360" w:lineRule="auto"/>
        <w:ind w:left="1050" w:leftChars="300" w:hanging="420" w:hangingChars="200"/>
        <w:textAlignment w:val="baseline"/>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浆液结石与围岩之间的脱空尺寸、浆液结石充填密实度、浆液结石充填厚度：采用物探无损检测方法时应沿隧洞轴线方向在拱顶、两侧拱肩、边墙各布置至少1条测线，当发现异常时可适当增加垂直洞轴方向的横测线。</w:t>
      </w:r>
    </w:p>
    <w:p>
      <w:pPr>
        <w:widowControl/>
        <w:numPr>
          <w:ilvl w:val="0"/>
          <w:numId w:val="6"/>
        </w:numPr>
        <w:kinsoku w:val="0"/>
        <w:autoSpaceDE w:val="0"/>
        <w:autoSpaceDN w:val="0"/>
        <w:adjustRightInd w:val="0"/>
        <w:snapToGrid w:val="0"/>
        <w:spacing w:line="360" w:lineRule="auto"/>
        <w:ind w:left="1050" w:leftChars="300" w:hanging="420" w:hangingChars="200"/>
        <w:textAlignment w:val="baseline"/>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浆液结石充填密实度、浆液结石充填厚度：采用注浆试验和钻芯法检测时，检测孔应布置在拱顶中心线、脱空较大或灌浆情况异常的部位，孔深应穿透混凝土厚度深入围岩10cm，承受内水压力的隧洞每10m～15m宜布置1个或1对检测孔，其他隧洞的检测孔可适当减少。</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3  </w:t>
      </w:r>
      <w:r>
        <w:rPr>
          <w:rFonts w:hint="eastAsia" w:cs="Times New Roman" w:asciiTheme="minorEastAsia" w:hAnsiTheme="minorEastAsia"/>
          <w:bCs/>
          <w:snapToGrid w:val="0"/>
          <w:color w:val="000000"/>
          <w:kern w:val="0"/>
          <w:szCs w:val="21"/>
        </w:rPr>
        <w:t>接触灌浆：钢管或钢衬与混凝土接触状况、脱空范围和程度采用物探无损检测方法应沿隧洞轴线在隧洞底板中心线及两侧腰线以下各布置1条测线，异常位置应增加垂直洞轴线方向的横测线。</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4  </w:t>
      </w:r>
      <w:r>
        <w:rPr>
          <w:rFonts w:hint="eastAsia" w:cs="Times New Roman" w:asciiTheme="minorEastAsia" w:hAnsiTheme="minorEastAsia"/>
          <w:bCs/>
          <w:snapToGrid w:val="0"/>
          <w:color w:val="000000"/>
          <w:kern w:val="0"/>
          <w:szCs w:val="21"/>
        </w:rPr>
        <w:t>化学灌浆：检测孔宜在分析施工资料的基础上布置在相邻钻孔的中心部位；断层、岩体破碎带、裂隙发育带等地质条件复杂的部位；钻孔偏斜过大、灌浆过程异常等资料分析认为可能影响灌浆质量的部位。帷幕化学灌浆检测孔数量不宜少于灌浆孔总数的10%，固结化学灌浆检测孔数量不宜少于灌浆孔总数的5%。</w:t>
      </w:r>
    </w:p>
    <w:p>
      <w:pPr>
        <w:widowControl/>
        <w:kinsoku w:val="0"/>
        <w:autoSpaceDE w:val="0"/>
        <w:autoSpaceDN w:val="0"/>
        <w:adjustRightInd w:val="0"/>
        <w:snapToGrid w:val="0"/>
        <w:spacing w:line="360" w:lineRule="auto"/>
        <w:textAlignment w:val="baseline"/>
        <w:rPr>
          <w:rFonts w:hint="eastAsia" w:cs="黑体" w:asciiTheme="minorEastAsia" w:hAnsiTheme="minorEastAsia"/>
          <w:snapToGrid w:val="0"/>
          <w:color w:val="000000"/>
          <w:kern w:val="0"/>
          <w:szCs w:val="21"/>
        </w:rPr>
      </w:pPr>
      <w:r>
        <w:rPr>
          <w:rFonts w:hint="eastAsia" w:ascii="黑体" w:hAnsi="黑体" w:eastAsia="黑体" w:cs="黑体"/>
          <w:szCs w:val="21"/>
        </w:rPr>
        <w:t xml:space="preserve">4.3.5  </w:t>
      </w:r>
      <w:r>
        <w:rPr>
          <w:rFonts w:hint="eastAsia" w:cs="黑体" w:asciiTheme="minorEastAsia" w:hAnsiTheme="minorEastAsia"/>
          <w:snapToGrid w:val="0"/>
          <w:color w:val="000000"/>
          <w:kern w:val="0"/>
          <w:szCs w:val="21"/>
        </w:rPr>
        <w:t>检测结果达到以下要求的，</w:t>
      </w:r>
      <w:r>
        <w:rPr>
          <w:rFonts w:hint="eastAsia" w:asciiTheme="minorEastAsia" w:hAnsiTheme="minorEastAsia"/>
          <w:color w:val="000000" w:themeColor="text1"/>
          <w:szCs w:val="21"/>
          <w14:textFill>
            <w14:solidFill>
              <w14:schemeClr w14:val="tx1"/>
            </w14:solidFill>
          </w14:textFill>
        </w:rPr>
        <w:t>质量检测结果</w:t>
      </w:r>
      <w:r>
        <w:rPr>
          <w:rFonts w:hint="eastAsia" w:cs="黑体" w:asciiTheme="minorEastAsia" w:hAnsiTheme="minorEastAsia"/>
          <w:snapToGrid w:val="0"/>
          <w:color w:val="000000"/>
          <w:kern w:val="0"/>
          <w:szCs w:val="21"/>
        </w:rPr>
        <w:t>评价为合格：</w:t>
      </w:r>
    </w:p>
    <w:p>
      <w:pPr>
        <w:widowControl/>
        <w:kinsoku w:val="0"/>
        <w:autoSpaceDE w:val="0"/>
        <w:autoSpaceDN w:val="0"/>
        <w:adjustRightInd w:val="0"/>
        <w:snapToGrid w:val="0"/>
        <w:spacing w:line="360" w:lineRule="auto"/>
        <w:ind w:firstLine="420" w:firstLineChars="200"/>
        <w:textAlignment w:val="baseline"/>
        <w:rPr>
          <w:rFonts w:hint="eastAsia" w:cs="黑体" w:asciiTheme="minorEastAsia" w:hAnsiTheme="minorEastAsia"/>
          <w:snapToGrid w:val="0"/>
          <w:color w:val="000000"/>
          <w:kern w:val="0"/>
          <w:szCs w:val="21"/>
        </w:rPr>
      </w:pPr>
      <w:r>
        <w:rPr>
          <w:rFonts w:hint="eastAsia" w:ascii="黑体" w:hAnsi="黑体" w:eastAsia="黑体" w:cs="黑体"/>
          <w:bCs/>
          <w:snapToGrid w:val="0"/>
          <w:color w:val="000000"/>
          <w:kern w:val="0"/>
          <w:szCs w:val="21"/>
        </w:rPr>
        <w:t xml:space="preserve">1 </w:t>
      </w:r>
      <w:r>
        <w:rPr>
          <w:rFonts w:hint="eastAsia" w:cs="黑体" w:asciiTheme="minorEastAsia" w:hAnsiTheme="minorEastAsia"/>
          <w:snapToGrid w:val="0"/>
          <w:color w:val="000000"/>
          <w:kern w:val="0"/>
          <w:szCs w:val="21"/>
        </w:rPr>
        <w:t xml:space="preserve"> 帷幕灌浆、固结灌浆、防渗灌浆：</w:t>
      </w:r>
    </w:p>
    <w:p>
      <w:pPr>
        <w:widowControl/>
        <w:numPr>
          <w:ilvl w:val="0"/>
          <w:numId w:val="7"/>
        </w:numPr>
        <w:kinsoku w:val="0"/>
        <w:autoSpaceDE w:val="0"/>
        <w:autoSpaceDN w:val="0"/>
        <w:adjustRightInd w:val="0"/>
        <w:snapToGrid w:val="0"/>
        <w:spacing w:line="360" w:lineRule="auto"/>
        <w:ind w:left="1050" w:leftChars="300" w:hanging="420" w:hangingChars="200"/>
        <w:textAlignment w:val="baseline"/>
        <w:rPr>
          <w:rFonts w:hint="eastAsia" w:cs="黑体" w:asciiTheme="minorEastAsia" w:hAnsiTheme="minorEastAsia"/>
          <w:snapToGrid w:val="0"/>
          <w:color w:val="000000"/>
          <w:kern w:val="0"/>
          <w:szCs w:val="21"/>
        </w:rPr>
      </w:pPr>
      <w:r>
        <w:rPr>
          <w:rFonts w:hint="eastAsia" w:cs="黑体" w:asciiTheme="minorEastAsia" w:hAnsiTheme="minorEastAsia"/>
          <w:snapToGrid w:val="0"/>
          <w:color w:val="000000"/>
          <w:kern w:val="0"/>
          <w:szCs w:val="21"/>
        </w:rPr>
        <w:t>孔位偏差、深度：灌浆孔位与设计孔位的偏差应不大于10cm，孔深应不小于设计深度。</w:t>
      </w:r>
    </w:p>
    <w:p>
      <w:pPr>
        <w:widowControl/>
        <w:numPr>
          <w:ilvl w:val="0"/>
          <w:numId w:val="7"/>
        </w:numPr>
        <w:kinsoku w:val="0"/>
        <w:autoSpaceDE w:val="0"/>
        <w:autoSpaceDN w:val="0"/>
        <w:adjustRightInd w:val="0"/>
        <w:snapToGrid w:val="0"/>
        <w:spacing w:line="360" w:lineRule="auto"/>
        <w:ind w:left="1050" w:leftChars="300" w:hanging="420" w:hangingChars="200"/>
        <w:textAlignment w:val="baseline"/>
        <w:rPr>
          <w:rFonts w:hint="eastAsia" w:cs="黑体" w:asciiTheme="minorEastAsia" w:hAnsiTheme="minorEastAsia"/>
          <w:snapToGrid w:val="0"/>
          <w:color w:val="000000"/>
          <w:kern w:val="0"/>
          <w:szCs w:val="21"/>
        </w:rPr>
      </w:pPr>
      <w:r>
        <w:rPr>
          <w:rFonts w:hint="eastAsia" w:cs="黑体" w:asciiTheme="minorEastAsia" w:hAnsiTheme="minorEastAsia"/>
          <w:snapToGrid w:val="0"/>
          <w:color w:val="000000"/>
          <w:kern w:val="0"/>
          <w:szCs w:val="21"/>
        </w:rPr>
        <w:t>水泥结石充填密实度、水泥结石与岩体胶结质量：检测孔钻孔取芯芯样的裂隙、空隙及破碎带部位均应被水泥结石充填饱满密实，水泥结石与岩石固结紧密。</w:t>
      </w:r>
    </w:p>
    <w:p>
      <w:pPr>
        <w:widowControl/>
        <w:numPr>
          <w:ilvl w:val="0"/>
          <w:numId w:val="7"/>
        </w:numPr>
        <w:kinsoku w:val="0"/>
        <w:autoSpaceDE w:val="0"/>
        <w:autoSpaceDN w:val="0"/>
        <w:adjustRightInd w:val="0"/>
        <w:snapToGrid w:val="0"/>
        <w:spacing w:line="360" w:lineRule="auto"/>
        <w:ind w:left="1050" w:leftChars="300" w:hanging="420" w:hangingChars="200"/>
        <w:textAlignment w:val="baseline"/>
        <w:rPr>
          <w:rFonts w:hint="eastAsia" w:cs="黑体" w:asciiTheme="minorEastAsia" w:hAnsiTheme="minorEastAsia"/>
          <w:snapToGrid w:val="0"/>
          <w:color w:val="000000"/>
          <w:kern w:val="0"/>
          <w:sz w:val="24"/>
          <w:szCs w:val="24"/>
        </w:rPr>
      </w:pPr>
      <w:r>
        <w:rPr>
          <w:rFonts w:hint="eastAsia" w:cs="黑体" w:asciiTheme="minorEastAsia" w:hAnsiTheme="minorEastAsia"/>
          <w:snapToGrid w:val="0"/>
          <w:color w:val="000000"/>
          <w:kern w:val="0"/>
          <w:szCs w:val="21"/>
        </w:rPr>
        <w:t>渗透系数或透水率：帷幕灌浆坝体混凝土与基岩接触段的透水率的合格率为100％，其余各段的合格率不小于90％，不合格试段的透水率不超过设计规定值的150％，且分布不集中；其他施工或测试资料基本合理。固结灌浆各段的合格率应达到85%以上，不合格孔段的透水率不超过设计规定值的150%，且分布不集中。</w:t>
      </w:r>
    </w:p>
    <w:p>
      <w:pPr>
        <w:widowControl/>
        <w:numPr>
          <w:ilvl w:val="0"/>
          <w:numId w:val="7"/>
        </w:numPr>
        <w:kinsoku w:val="0"/>
        <w:autoSpaceDE w:val="0"/>
        <w:autoSpaceDN w:val="0"/>
        <w:adjustRightInd w:val="0"/>
        <w:snapToGrid w:val="0"/>
        <w:spacing w:line="360" w:lineRule="auto"/>
        <w:ind w:left="1050" w:leftChars="300" w:hanging="420" w:hangingChars="200"/>
        <w:textAlignment w:val="baseline"/>
        <w:rPr>
          <w:rFonts w:hint="eastAsia" w:cs="黑体" w:asciiTheme="minorEastAsia" w:hAnsiTheme="minorEastAsia"/>
          <w:snapToGrid w:val="0"/>
          <w:color w:val="000000"/>
          <w:kern w:val="0"/>
          <w:szCs w:val="21"/>
        </w:rPr>
      </w:pPr>
      <w:r>
        <w:rPr>
          <w:rFonts w:hint="eastAsia" w:cs="黑体" w:asciiTheme="minorEastAsia" w:hAnsiTheme="minorEastAsia"/>
          <w:snapToGrid w:val="0"/>
          <w:color w:val="000000"/>
          <w:kern w:val="0"/>
          <w:szCs w:val="21"/>
        </w:rPr>
        <w:t>岩体波速、弹性模量、变形模量：设计有要求时应达到设计要求，设计没有要求时对于重要工程或灌浆工程应在有代表性的部位进行岩体波速、弹性模量、变形模量试验，岩体波速提高不低3%的波速值，弹性模量、变形模量提高不低于5%的弹性模量、变形模量值作为灌浆质量评价指标。</w:t>
      </w:r>
    </w:p>
    <w:p>
      <w:pPr>
        <w:widowControl/>
        <w:numPr>
          <w:ilvl w:val="0"/>
          <w:numId w:val="7"/>
        </w:numPr>
        <w:kinsoku w:val="0"/>
        <w:autoSpaceDE w:val="0"/>
        <w:autoSpaceDN w:val="0"/>
        <w:adjustRightInd w:val="0"/>
        <w:snapToGrid w:val="0"/>
        <w:spacing w:line="360" w:lineRule="auto"/>
        <w:ind w:left="1050" w:leftChars="300" w:hanging="420" w:hangingChars="200"/>
        <w:textAlignment w:val="baseline"/>
        <w:rPr>
          <w:rFonts w:hint="eastAsia" w:cs="黑体" w:asciiTheme="minorEastAsia" w:hAnsiTheme="minorEastAsia"/>
          <w:snapToGrid w:val="0"/>
          <w:color w:val="000000"/>
          <w:kern w:val="0"/>
          <w:szCs w:val="21"/>
        </w:rPr>
      </w:pPr>
      <w:r>
        <w:rPr>
          <w:rFonts w:hint="eastAsia" w:cs="黑体" w:asciiTheme="minorEastAsia" w:hAnsiTheme="minorEastAsia"/>
          <w:snapToGrid w:val="0"/>
          <w:color w:val="000000"/>
          <w:kern w:val="0"/>
          <w:szCs w:val="21"/>
        </w:rPr>
        <w:t>帷幕灌浆、防渗灌浆孔孔口封填外观质量密实度、水泥结石密实度、芯样获得率：全部孔口封填应密实不渗水，封孔取芯检查水泥结石应连续、较密实，芯样获得率应达到设计要求或不小于90%。</w:t>
      </w:r>
    </w:p>
    <w:p>
      <w:pPr>
        <w:widowControl/>
        <w:kinsoku w:val="0"/>
        <w:autoSpaceDE w:val="0"/>
        <w:autoSpaceDN w:val="0"/>
        <w:adjustRightInd w:val="0"/>
        <w:snapToGrid w:val="0"/>
        <w:spacing w:line="360" w:lineRule="auto"/>
        <w:ind w:firstLine="420" w:firstLineChars="200"/>
        <w:textAlignment w:val="baseline"/>
        <w:rPr>
          <w:rFonts w:hint="eastAsia" w:cs="黑体" w:asciiTheme="minorEastAsia" w:hAnsiTheme="minorEastAsia"/>
          <w:snapToGrid w:val="0"/>
          <w:color w:val="000000"/>
          <w:kern w:val="0"/>
          <w:sz w:val="24"/>
          <w:szCs w:val="24"/>
        </w:rPr>
      </w:pPr>
      <w:r>
        <w:rPr>
          <w:rFonts w:hint="eastAsia" w:ascii="黑体" w:hAnsi="黑体" w:eastAsia="黑体" w:cs="黑体"/>
          <w:bCs/>
          <w:snapToGrid w:val="0"/>
          <w:color w:val="000000"/>
          <w:kern w:val="0"/>
          <w:szCs w:val="21"/>
        </w:rPr>
        <w:t>2</w:t>
      </w:r>
      <w:r>
        <w:rPr>
          <w:rFonts w:cs="黑体" w:asciiTheme="minorEastAsia" w:hAnsiTheme="minorEastAsia"/>
          <w:snapToGrid w:val="0"/>
          <w:color w:val="000000"/>
          <w:kern w:val="0"/>
          <w:sz w:val="24"/>
          <w:szCs w:val="24"/>
        </w:rPr>
        <w:t xml:space="preserve"> </w:t>
      </w:r>
      <w:r>
        <w:rPr>
          <w:rFonts w:hint="eastAsia" w:cs="黑体" w:asciiTheme="minorEastAsia" w:hAnsiTheme="minorEastAsia"/>
          <w:snapToGrid w:val="0"/>
          <w:color w:val="000000"/>
          <w:kern w:val="0"/>
          <w:sz w:val="24"/>
          <w:szCs w:val="24"/>
        </w:rPr>
        <w:t xml:space="preserve"> </w:t>
      </w:r>
      <w:r>
        <w:rPr>
          <w:rFonts w:hint="eastAsia" w:cs="黑体" w:asciiTheme="minorEastAsia" w:hAnsiTheme="minorEastAsia"/>
          <w:snapToGrid w:val="0"/>
          <w:color w:val="000000"/>
          <w:kern w:val="0"/>
          <w:szCs w:val="21"/>
        </w:rPr>
        <w:t>回填灌浆：</w:t>
      </w:r>
    </w:p>
    <w:p>
      <w:pPr>
        <w:widowControl/>
        <w:numPr>
          <w:ilvl w:val="0"/>
          <w:numId w:val="8"/>
        </w:numPr>
        <w:kinsoku w:val="0"/>
        <w:autoSpaceDE w:val="0"/>
        <w:autoSpaceDN w:val="0"/>
        <w:adjustRightInd w:val="0"/>
        <w:snapToGrid w:val="0"/>
        <w:spacing w:line="360" w:lineRule="auto"/>
        <w:ind w:left="1050" w:leftChars="300" w:hanging="420" w:hangingChars="200"/>
        <w:textAlignment w:val="baseline"/>
        <w:rPr>
          <w:rFonts w:hint="eastAsia" w:cs="黑体" w:asciiTheme="minorEastAsia" w:hAnsiTheme="minorEastAsia"/>
          <w:snapToGrid w:val="0"/>
          <w:color w:val="000000"/>
          <w:kern w:val="0"/>
          <w:szCs w:val="21"/>
        </w:rPr>
      </w:pPr>
      <w:r>
        <w:rPr>
          <w:rFonts w:hint="eastAsia" w:cs="黑体" w:asciiTheme="minorEastAsia" w:hAnsiTheme="minorEastAsia"/>
          <w:snapToGrid w:val="0"/>
          <w:color w:val="000000"/>
          <w:kern w:val="0"/>
          <w:szCs w:val="21"/>
        </w:rPr>
        <w:t>浆液结石与围岩之间的脱空尺寸、浆液结石充填密实度：混凝土与围岩间的空隙  或空洞中浆液充填饱满密实，水泥结石与结构物胶结紧密无脱空。</w:t>
      </w:r>
    </w:p>
    <w:p>
      <w:pPr>
        <w:widowControl/>
        <w:numPr>
          <w:ilvl w:val="0"/>
          <w:numId w:val="8"/>
        </w:numPr>
        <w:kinsoku w:val="0"/>
        <w:autoSpaceDE w:val="0"/>
        <w:autoSpaceDN w:val="0"/>
        <w:adjustRightInd w:val="0"/>
        <w:snapToGrid w:val="0"/>
        <w:spacing w:line="360" w:lineRule="auto"/>
        <w:ind w:left="1050" w:leftChars="300" w:hanging="420" w:hangingChars="200"/>
        <w:textAlignment w:val="baseline"/>
        <w:rPr>
          <w:rFonts w:hint="eastAsia" w:cs="黑体" w:asciiTheme="minorEastAsia" w:hAnsiTheme="minorEastAsia"/>
          <w:snapToGrid w:val="0"/>
          <w:color w:val="000000"/>
          <w:kern w:val="0"/>
          <w:szCs w:val="21"/>
        </w:rPr>
      </w:pPr>
      <w:r>
        <w:rPr>
          <w:rFonts w:hint="eastAsia" w:cs="黑体" w:asciiTheme="minorEastAsia" w:hAnsiTheme="minorEastAsia"/>
          <w:snapToGrid w:val="0"/>
          <w:color w:val="000000"/>
          <w:kern w:val="0"/>
          <w:szCs w:val="21"/>
        </w:rPr>
        <w:t>注浆量：设计有要求时应达到设计要求，设计没有要求时采用单孔注浆试验，初始10min内注入量不大于10L；采用双孔连通试验出浆流量小于1L/min。</w:t>
      </w:r>
    </w:p>
    <w:p>
      <w:pPr>
        <w:widowControl/>
        <w:numPr>
          <w:ilvl w:val="0"/>
          <w:numId w:val="8"/>
        </w:numPr>
        <w:kinsoku w:val="0"/>
        <w:autoSpaceDE w:val="0"/>
        <w:autoSpaceDN w:val="0"/>
        <w:adjustRightInd w:val="0"/>
        <w:snapToGrid w:val="0"/>
        <w:spacing w:line="360" w:lineRule="auto"/>
        <w:ind w:left="1050" w:leftChars="300" w:hanging="420" w:hangingChars="200"/>
        <w:textAlignment w:val="baseline"/>
        <w:rPr>
          <w:rFonts w:hint="eastAsia" w:cs="黑体" w:asciiTheme="minorEastAsia" w:hAnsiTheme="minorEastAsia"/>
          <w:snapToGrid w:val="0"/>
          <w:color w:val="000000"/>
          <w:kern w:val="0"/>
          <w:szCs w:val="21"/>
        </w:rPr>
      </w:pPr>
      <w:r>
        <w:rPr>
          <w:rFonts w:hint="eastAsia" w:cs="黑体" w:asciiTheme="minorEastAsia" w:hAnsiTheme="minorEastAsia"/>
          <w:snapToGrid w:val="0"/>
          <w:color w:val="000000"/>
          <w:kern w:val="0"/>
          <w:szCs w:val="21"/>
        </w:rPr>
        <w:t>浆液充填厚度：对于不要求空腔充满的部位，浆液结石充填厚度应满足设计要求。</w:t>
      </w:r>
    </w:p>
    <w:p>
      <w:pPr>
        <w:widowControl/>
        <w:kinsoku w:val="0"/>
        <w:autoSpaceDE w:val="0"/>
        <w:autoSpaceDN w:val="0"/>
        <w:adjustRightInd w:val="0"/>
        <w:snapToGrid w:val="0"/>
        <w:spacing w:line="360" w:lineRule="auto"/>
        <w:ind w:firstLine="420" w:firstLineChars="200"/>
        <w:textAlignment w:val="baseline"/>
        <w:rPr>
          <w:rFonts w:hint="eastAsia" w:cs="黑体" w:asciiTheme="minorEastAsia" w:hAnsiTheme="minorEastAsia"/>
          <w:snapToGrid w:val="0"/>
          <w:color w:val="000000"/>
          <w:kern w:val="0"/>
          <w:szCs w:val="21"/>
        </w:rPr>
      </w:pPr>
      <w:r>
        <w:rPr>
          <w:rFonts w:hint="eastAsia" w:ascii="黑体" w:hAnsi="黑体" w:eastAsia="黑体" w:cs="黑体"/>
          <w:bCs/>
          <w:snapToGrid w:val="0"/>
          <w:color w:val="000000"/>
          <w:kern w:val="0"/>
          <w:szCs w:val="21"/>
        </w:rPr>
        <w:t xml:space="preserve">3  </w:t>
      </w:r>
      <w:r>
        <w:rPr>
          <w:rFonts w:hint="eastAsia" w:cs="黑体" w:asciiTheme="minorEastAsia" w:hAnsiTheme="minorEastAsia"/>
          <w:snapToGrid w:val="0"/>
          <w:color w:val="000000"/>
          <w:kern w:val="0"/>
          <w:szCs w:val="21"/>
        </w:rPr>
        <w:t>接触灌浆：钢管或钢衬与混凝土接触状况、脱空范围和程度应满足设计要求。</w:t>
      </w:r>
    </w:p>
    <w:p>
      <w:pPr>
        <w:widowControl/>
        <w:kinsoku w:val="0"/>
        <w:autoSpaceDE w:val="0"/>
        <w:autoSpaceDN w:val="0"/>
        <w:adjustRightInd w:val="0"/>
        <w:snapToGrid w:val="0"/>
        <w:spacing w:line="360" w:lineRule="auto"/>
        <w:ind w:firstLine="420" w:firstLineChars="200"/>
        <w:textAlignment w:val="baseline"/>
        <w:rPr>
          <w:rFonts w:hint="eastAsia" w:cs="黑体" w:asciiTheme="minorEastAsia" w:hAnsiTheme="minorEastAsia"/>
          <w:snapToGrid w:val="0"/>
          <w:color w:val="000000"/>
          <w:kern w:val="0"/>
          <w:szCs w:val="21"/>
        </w:rPr>
      </w:pPr>
      <w:r>
        <w:rPr>
          <w:rFonts w:hint="eastAsia" w:ascii="黑体" w:hAnsi="黑体" w:eastAsia="黑体" w:cs="黑体"/>
          <w:bCs/>
          <w:snapToGrid w:val="0"/>
          <w:color w:val="000000"/>
          <w:kern w:val="0"/>
          <w:szCs w:val="21"/>
        </w:rPr>
        <w:t>4</w:t>
      </w:r>
      <w:r>
        <w:rPr>
          <w:rFonts w:hint="eastAsia" w:ascii="黑体" w:hAnsi="黑体" w:eastAsia="黑体" w:cs="黑体"/>
          <w:b/>
          <w:snapToGrid w:val="0"/>
          <w:color w:val="000000"/>
          <w:kern w:val="0"/>
          <w:szCs w:val="21"/>
        </w:rPr>
        <w:t xml:space="preserve">  </w:t>
      </w:r>
      <w:r>
        <w:rPr>
          <w:rFonts w:hint="eastAsia" w:cs="黑体" w:asciiTheme="minorEastAsia" w:hAnsiTheme="minorEastAsia"/>
          <w:snapToGrid w:val="0"/>
          <w:color w:val="000000"/>
          <w:kern w:val="0"/>
          <w:szCs w:val="21"/>
        </w:rPr>
        <w:t>化学灌浆：水泥结石与岩体胶结质量、渗透系数或透水率应满足设计要求。</w:t>
      </w:r>
    </w:p>
    <w:p>
      <w:pPr>
        <w:pStyle w:val="3"/>
        <w:snapToGrid w:val="0"/>
        <w:spacing w:beforeLines="50" w:afterLines="50" w:line="360" w:lineRule="auto"/>
        <w:jc w:val="center"/>
        <w:rPr>
          <w:rFonts w:ascii="黑体" w:hAnsi="黑体" w:cs="黑体"/>
          <w:sz w:val="24"/>
          <w:szCs w:val="24"/>
        </w:rPr>
      </w:pPr>
    </w:p>
    <w:p>
      <w:pPr>
        <w:pStyle w:val="3"/>
        <w:snapToGrid w:val="0"/>
        <w:spacing w:beforeLines="50" w:afterLines="50" w:line="360" w:lineRule="auto"/>
        <w:jc w:val="center"/>
        <w:rPr>
          <w:rFonts w:ascii="黑体" w:hAnsi="黑体" w:cs="黑体"/>
          <w:sz w:val="24"/>
          <w:szCs w:val="24"/>
        </w:rPr>
      </w:pPr>
      <w:bookmarkStart w:id="32" w:name="_Toc22400"/>
      <w:r>
        <w:rPr>
          <w:rFonts w:ascii="黑体" w:hAnsi="黑体" w:cs="黑体"/>
          <w:sz w:val="24"/>
          <w:szCs w:val="24"/>
        </w:rPr>
        <w:t>4.4  防 渗 墙</w:t>
      </w:r>
      <w:bookmarkEnd w:id="32"/>
    </w:p>
    <w:p>
      <w:pPr>
        <w:snapToGrid w:val="0"/>
        <w:spacing w:line="360" w:lineRule="auto"/>
        <w:rPr>
          <w:rFonts w:hint="eastAsia" w:asciiTheme="minorEastAsia" w:hAnsiTheme="minorEastAsia"/>
          <w:szCs w:val="21"/>
        </w:rPr>
      </w:pPr>
      <w:r>
        <w:rPr>
          <w:rFonts w:hint="eastAsia" w:ascii="黑体" w:hAnsi="黑体" w:eastAsia="黑体" w:cs="黑体"/>
          <w:szCs w:val="21"/>
        </w:rPr>
        <w:t xml:space="preserve">4.4.1  </w:t>
      </w:r>
      <w:r>
        <w:rPr>
          <w:rFonts w:hint="eastAsia" w:asciiTheme="minorEastAsia" w:hAnsiTheme="minorEastAsia"/>
          <w:szCs w:val="21"/>
        </w:rPr>
        <w:t>检测项目宜包括以下内容：</w:t>
      </w:r>
    </w:p>
    <w:p>
      <w:pPr>
        <w:snapToGrid w:val="0"/>
        <w:spacing w:line="360" w:lineRule="auto"/>
        <w:ind w:firstLine="420" w:firstLineChars="200"/>
        <w:rPr>
          <w:rFonts w:hint="eastAsia" w:asciiTheme="minorEastAsia" w:hAnsiTheme="minorEastAsia"/>
          <w:kern w:val="0"/>
          <w:szCs w:val="21"/>
        </w:rPr>
      </w:pPr>
      <w:r>
        <w:rPr>
          <w:rFonts w:hint="eastAsia" w:ascii="黑体" w:hAnsi="黑体" w:eastAsia="黑体" w:cs="黑体"/>
          <w:szCs w:val="21"/>
        </w:rPr>
        <w:t xml:space="preserve">1  </w:t>
      </w:r>
      <w:r>
        <w:rPr>
          <w:rFonts w:hint="eastAsia" w:asciiTheme="minorEastAsia" w:hAnsiTheme="minorEastAsia"/>
          <w:kern w:val="0"/>
          <w:szCs w:val="21"/>
        </w:rPr>
        <w:t>混凝土防渗墙宜包括检测混凝土抗压强度、渗透系数、弹性模量，墙体抗压强度，墙体完整性（连续性）、墙体深度、厚度。</w:t>
      </w:r>
    </w:p>
    <w:p>
      <w:pPr>
        <w:snapToGrid w:val="0"/>
        <w:spacing w:line="360" w:lineRule="auto"/>
        <w:ind w:firstLine="420" w:firstLineChars="200"/>
        <w:rPr>
          <w:rFonts w:hint="eastAsia" w:asciiTheme="minorEastAsia" w:hAnsiTheme="minorEastAsia"/>
          <w:kern w:val="0"/>
          <w:szCs w:val="21"/>
        </w:rPr>
      </w:pPr>
      <w:r>
        <w:rPr>
          <w:rFonts w:hint="eastAsia" w:ascii="黑体" w:hAnsi="黑体" w:eastAsia="黑体" w:cs="黑体"/>
          <w:szCs w:val="21"/>
        </w:rPr>
        <w:t xml:space="preserve">2  </w:t>
      </w:r>
      <w:r>
        <w:rPr>
          <w:rFonts w:hint="eastAsia" w:asciiTheme="minorEastAsia" w:hAnsiTheme="minorEastAsia"/>
          <w:kern w:val="0"/>
          <w:szCs w:val="21"/>
        </w:rPr>
        <w:t>深层搅拌防渗墙宜包括检测墙体强度，墙体完整性（连续性）、墙体深度，桩长、桩搭接。</w:t>
      </w:r>
    </w:p>
    <w:p>
      <w:pPr>
        <w:snapToGrid w:val="0"/>
        <w:spacing w:line="360" w:lineRule="auto"/>
        <w:ind w:firstLine="420" w:firstLineChars="200"/>
        <w:rPr>
          <w:rFonts w:hint="eastAsia" w:asciiTheme="minorEastAsia" w:hAnsiTheme="minorEastAsia"/>
          <w:kern w:val="0"/>
          <w:szCs w:val="21"/>
        </w:rPr>
      </w:pPr>
      <w:r>
        <w:rPr>
          <w:rFonts w:hint="eastAsia" w:ascii="黑体" w:hAnsi="黑体" w:eastAsia="黑体" w:cs="黑体"/>
          <w:szCs w:val="21"/>
        </w:rPr>
        <w:t xml:space="preserve">3  </w:t>
      </w:r>
      <w:r>
        <w:rPr>
          <w:rFonts w:hint="eastAsia" w:asciiTheme="minorEastAsia" w:hAnsiTheme="minorEastAsia"/>
          <w:kern w:val="0"/>
          <w:szCs w:val="21"/>
        </w:rPr>
        <w:t>高压喷射灌浆防渗墙宜包括检测墙体防渗性能、墙体抗压强度。</w:t>
      </w:r>
    </w:p>
    <w:p>
      <w:pPr>
        <w:snapToGrid w:val="0"/>
        <w:spacing w:line="360" w:lineRule="auto"/>
        <w:rPr>
          <w:rFonts w:hint="eastAsia" w:ascii="黑体" w:hAnsi="黑体" w:eastAsia="黑体" w:cs="黑体"/>
          <w:i/>
          <w:iCs/>
          <w:color w:val="0000FF"/>
          <w:szCs w:val="21"/>
        </w:rPr>
      </w:pPr>
      <w:r>
        <w:rPr>
          <w:rFonts w:hint="eastAsia" w:ascii="黑体" w:hAnsi="黑体" w:eastAsia="黑体"/>
          <w:kern w:val="0"/>
          <w:szCs w:val="21"/>
        </w:rPr>
        <w:t xml:space="preserve">4.4.2  </w:t>
      </w:r>
      <w:r>
        <w:rPr>
          <w:rFonts w:hint="eastAsia" w:asciiTheme="minorEastAsia" w:hAnsiTheme="minorEastAsia"/>
          <w:kern w:val="0"/>
          <w:szCs w:val="21"/>
        </w:rPr>
        <w:t>检测单元应根据工程特点和施工情况划分，每检测单元的墙体长度不宜超过40m；以槽段为基础划分检测单元时，每个单元宜包括2个～3个槽段。</w:t>
      </w:r>
    </w:p>
    <w:p>
      <w:pPr>
        <w:snapToGrid w:val="0"/>
        <w:spacing w:line="360" w:lineRule="auto"/>
        <w:rPr>
          <w:rFonts w:hint="eastAsia" w:asciiTheme="minorEastAsia" w:hAnsiTheme="minorEastAsia"/>
          <w:szCs w:val="21"/>
        </w:rPr>
      </w:pPr>
      <w:r>
        <w:rPr>
          <w:rFonts w:hint="eastAsia" w:ascii="黑体" w:hAnsi="黑体" w:eastAsia="黑体" w:cs="黑体"/>
          <w:szCs w:val="21"/>
        </w:rPr>
        <w:t xml:space="preserve">4.4.3 </w:t>
      </w:r>
      <w:r>
        <w:rPr>
          <w:rFonts w:hint="eastAsia" w:asciiTheme="minorEastAsia" w:hAnsiTheme="minorEastAsia"/>
          <w:szCs w:val="21"/>
        </w:rPr>
        <w:t xml:space="preserve"> 检测方法应符合下列要求：</w:t>
      </w:r>
      <w:r>
        <w:rPr>
          <w:rFonts w:hint="eastAsia" w:asciiTheme="minorEastAsia" w:hAnsiTheme="minorEastAsia"/>
          <w:color w:val="FF0000"/>
          <w:kern w:val="0"/>
          <w:szCs w:val="21"/>
        </w:rPr>
        <w:t xml:space="preserve"> </w:t>
      </w:r>
    </w:p>
    <w:p>
      <w:pPr>
        <w:snapToGrid w:val="0"/>
        <w:spacing w:line="360" w:lineRule="auto"/>
        <w:ind w:firstLine="420" w:firstLineChars="200"/>
        <w:rPr>
          <w:rFonts w:hint="eastAsia" w:asciiTheme="minorEastAsia" w:hAnsiTheme="minorEastAsia"/>
          <w:kern w:val="0"/>
          <w:szCs w:val="21"/>
        </w:rPr>
      </w:pPr>
      <w:r>
        <w:rPr>
          <w:rFonts w:hint="eastAsia" w:ascii="黑体" w:hAnsi="黑体" w:eastAsia="黑体" w:cs="黑体"/>
          <w:szCs w:val="21"/>
        </w:rPr>
        <w:t>1</w:t>
      </w:r>
      <w:r>
        <w:rPr>
          <w:rFonts w:hint="eastAsia" w:asciiTheme="minorEastAsia" w:hAnsiTheme="minorEastAsia"/>
          <w:kern w:val="0"/>
          <w:szCs w:val="21"/>
        </w:rPr>
        <w:t xml:space="preserve">  混凝土渗透系数(抗渗等级)、抗压强度和弹性模量宜采用原位测试，墙体内布设检测孔,在检测孔中进行注水(压水)试验检测；室内试验应钻取或挖取芯样，制备试样按室内试验检测方法进行检测。抗压强度还可采用回弹法、钻芯法、</w:t>
      </w:r>
      <w:bookmarkStart w:id="33" w:name="OLE_LINK53"/>
      <w:r>
        <w:rPr>
          <w:rFonts w:hint="eastAsia" w:asciiTheme="minorEastAsia" w:hAnsiTheme="minorEastAsia"/>
          <w:kern w:val="0"/>
          <w:szCs w:val="21"/>
        </w:rPr>
        <w:t>超声-回弹法</w:t>
      </w:r>
      <w:bookmarkEnd w:id="33"/>
      <w:r>
        <w:rPr>
          <w:rFonts w:hint="eastAsia" w:asciiTheme="minorEastAsia" w:hAnsiTheme="minorEastAsia"/>
          <w:kern w:val="0"/>
          <w:szCs w:val="21"/>
        </w:rPr>
        <w:t>、原位压力试验。弹性模量还可采用动静载试验、回弹法、超声波透射法。</w:t>
      </w:r>
    </w:p>
    <w:p>
      <w:pPr>
        <w:snapToGrid w:val="0"/>
        <w:spacing w:line="360" w:lineRule="auto"/>
        <w:ind w:firstLine="420" w:firstLineChars="200"/>
        <w:rPr>
          <w:rFonts w:hint="eastAsia" w:asciiTheme="minorEastAsia" w:hAnsiTheme="minorEastAsia"/>
          <w:kern w:val="0"/>
          <w:szCs w:val="21"/>
        </w:rPr>
      </w:pPr>
      <w:r>
        <w:rPr>
          <w:rFonts w:hint="eastAsia" w:ascii="黑体" w:hAnsi="黑体" w:eastAsia="黑体" w:cs="黑体"/>
          <w:szCs w:val="21"/>
        </w:rPr>
        <w:t xml:space="preserve">2  </w:t>
      </w:r>
      <w:r>
        <w:rPr>
          <w:rFonts w:hint="eastAsia" w:asciiTheme="minorEastAsia" w:hAnsiTheme="minorEastAsia"/>
          <w:kern w:val="0"/>
          <w:szCs w:val="21"/>
        </w:rPr>
        <w:t>墙体完整性（连续性）应采用普查和详查相结合，普查方法宜采用垂直反射法、探地雷达法、直流电法，详查方法宜采用跨孔声波、弹性波CT、全孔壁光学成像。</w:t>
      </w:r>
    </w:p>
    <w:p>
      <w:pPr>
        <w:snapToGrid w:val="0"/>
        <w:spacing w:line="360" w:lineRule="auto"/>
        <w:ind w:firstLine="420" w:firstLineChars="200"/>
        <w:rPr>
          <w:rFonts w:hint="eastAsia" w:asciiTheme="minorEastAsia" w:hAnsiTheme="minorEastAsia"/>
          <w:kern w:val="0"/>
          <w:szCs w:val="21"/>
        </w:rPr>
      </w:pPr>
      <w:r>
        <w:rPr>
          <w:rFonts w:hint="eastAsia" w:ascii="黑体" w:hAnsi="黑体" w:eastAsia="黑体" w:cs="黑体"/>
          <w:szCs w:val="21"/>
        </w:rPr>
        <w:t>3</w:t>
      </w:r>
      <w:r>
        <w:rPr>
          <w:rFonts w:hint="eastAsia" w:asciiTheme="minorEastAsia" w:hAnsiTheme="minorEastAsia"/>
          <w:kern w:val="0"/>
          <w:szCs w:val="21"/>
        </w:rPr>
        <w:t xml:space="preserve">  墙体厚度宜采用开挖直接量测法、钻孔法。</w:t>
      </w:r>
    </w:p>
    <w:p>
      <w:pPr>
        <w:snapToGrid w:val="0"/>
        <w:spacing w:line="360" w:lineRule="auto"/>
        <w:ind w:firstLine="420" w:firstLineChars="200"/>
        <w:rPr>
          <w:rFonts w:hint="eastAsia" w:asciiTheme="minorEastAsia" w:hAnsiTheme="minorEastAsia"/>
          <w:kern w:val="0"/>
          <w:szCs w:val="21"/>
        </w:rPr>
      </w:pPr>
      <w:r>
        <w:rPr>
          <w:rFonts w:hint="eastAsia" w:ascii="黑体" w:hAnsi="黑体" w:eastAsia="黑体" w:cs="黑体"/>
          <w:szCs w:val="21"/>
        </w:rPr>
        <w:t xml:space="preserve">4  </w:t>
      </w:r>
      <w:r>
        <w:rPr>
          <w:rFonts w:hint="eastAsia" w:asciiTheme="minorEastAsia" w:hAnsiTheme="minorEastAsia"/>
          <w:kern w:val="0"/>
          <w:szCs w:val="21"/>
        </w:rPr>
        <w:t>墙体深度宜采用</w:t>
      </w:r>
      <w:bookmarkStart w:id="34" w:name="OLE_LINK5"/>
      <w:bookmarkStart w:id="35" w:name="OLE_LINK4"/>
      <w:r>
        <w:rPr>
          <w:rFonts w:hint="eastAsia" w:asciiTheme="minorEastAsia" w:hAnsiTheme="minorEastAsia"/>
          <w:kern w:val="0"/>
          <w:szCs w:val="21"/>
        </w:rPr>
        <w:t>探地雷达法、弹性波CT、地震反射法</w:t>
      </w:r>
      <w:bookmarkEnd w:id="34"/>
      <w:bookmarkEnd w:id="35"/>
      <w:r>
        <w:rPr>
          <w:rFonts w:hint="eastAsia" w:asciiTheme="minorEastAsia" w:hAnsiTheme="minorEastAsia"/>
          <w:kern w:val="0"/>
          <w:szCs w:val="21"/>
        </w:rPr>
        <w:t>、钻孔取芯法。</w:t>
      </w:r>
    </w:p>
    <w:p>
      <w:pPr>
        <w:snapToGrid w:val="0"/>
        <w:spacing w:line="360" w:lineRule="auto"/>
        <w:ind w:firstLine="420" w:firstLineChars="200"/>
        <w:rPr>
          <w:rFonts w:hint="eastAsia" w:asciiTheme="minorEastAsia" w:hAnsiTheme="minorEastAsia"/>
          <w:kern w:val="0"/>
          <w:szCs w:val="21"/>
        </w:rPr>
      </w:pPr>
      <w:r>
        <w:rPr>
          <w:rFonts w:hint="eastAsia" w:ascii="黑体" w:hAnsi="黑体" w:eastAsia="黑体" w:cs="黑体"/>
          <w:szCs w:val="21"/>
        </w:rPr>
        <w:t xml:space="preserve">5  </w:t>
      </w:r>
      <w:r>
        <w:rPr>
          <w:rFonts w:hint="eastAsia" w:asciiTheme="minorEastAsia" w:hAnsiTheme="minorEastAsia"/>
          <w:kern w:val="0"/>
          <w:szCs w:val="21"/>
        </w:rPr>
        <w:t>桩长宜采用低应变法、声波反射法、声波透射法。</w:t>
      </w:r>
    </w:p>
    <w:p>
      <w:pPr>
        <w:snapToGrid w:val="0"/>
        <w:spacing w:line="360" w:lineRule="auto"/>
        <w:ind w:firstLine="420" w:firstLineChars="200"/>
        <w:rPr>
          <w:rFonts w:hint="eastAsia" w:asciiTheme="minorEastAsia" w:hAnsiTheme="minorEastAsia"/>
          <w:kern w:val="0"/>
          <w:szCs w:val="21"/>
        </w:rPr>
      </w:pPr>
      <w:r>
        <w:rPr>
          <w:rFonts w:hint="eastAsia" w:ascii="黑体" w:hAnsi="黑体" w:eastAsia="黑体" w:cs="黑体"/>
          <w:szCs w:val="21"/>
        </w:rPr>
        <w:t xml:space="preserve">6  </w:t>
      </w:r>
      <w:r>
        <w:rPr>
          <w:rFonts w:hint="eastAsia" w:asciiTheme="minorEastAsia" w:hAnsiTheme="minorEastAsia"/>
          <w:kern w:val="0"/>
          <w:szCs w:val="21"/>
        </w:rPr>
        <w:t>桩搭接宜采用跨孔声波、弹性波CT、探地雷达、直流电法等。</w:t>
      </w:r>
    </w:p>
    <w:p>
      <w:pPr>
        <w:snapToGrid w:val="0"/>
        <w:spacing w:line="360" w:lineRule="auto"/>
        <w:ind w:firstLine="420" w:firstLineChars="200"/>
        <w:rPr>
          <w:rFonts w:hint="eastAsia" w:asciiTheme="minorEastAsia" w:hAnsiTheme="minorEastAsia"/>
          <w:kern w:val="0"/>
          <w:szCs w:val="21"/>
        </w:rPr>
      </w:pPr>
      <w:r>
        <w:rPr>
          <w:rFonts w:hint="eastAsia" w:ascii="黑体" w:hAnsi="黑体" w:eastAsia="黑体" w:cs="黑体"/>
          <w:szCs w:val="21"/>
        </w:rPr>
        <w:t>7</w:t>
      </w:r>
      <w:r>
        <w:rPr>
          <w:rFonts w:hint="eastAsia" w:asciiTheme="minorEastAsia" w:hAnsiTheme="minorEastAsia"/>
          <w:kern w:val="0"/>
          <w:szCs w:val="21"/>
        </w:rPr>
        <w:t xml:space="preserve">  防渗效果宜采用磁电阻率法、伪随机流场法、探地雷达法、直流电法，有钻孔情况下可采用全孔壁光学成像。</w:t>
      </w:r>
    </w:p>
    <w:p>
      <w:pPr>
        <w:snapToGrid w:val="0"/>
        <w:spacing w:line="360" w:lineRule="auto"/>
        <w:rPr>
          <w:rFonts w:hint="eastAsia" w:asciiTheme="minorEastAsia" w:hAnsiTheme="minorEastAsia"/>
          <w:szCs w:val="21"/>
        </w:rPr>
      </w:pPr>
      <w:r>
        <w:rPr>
          <w:rFonts w:hint="eastAsia" w:ascii="黑体" w:hAnsi="黑体" w:eastAsia="黑体" w:cs="黑体"/>
          <w:szCs w:val="21"/>
        </w:rPr>
        <w:t xml:space="preserve">4.4.4  </w:t>
      </w:r>
      <w:r>
        <w:rPr>
          <w:rFonts w:hint="eastAsia" w:asciiTheme="minorEastAsia" w:hAnsiTheme="minorEastAsia"/>
          <w:szCs w:val="21"/>
        </w:rPr>
        <w:t>检测工作布置应符合下列要求：</w:t>
      </w:r>
    </w:p>
    <w:p>
      <w:pPr>
        <w:adjustRightInd w:val="0"/>
        <w:snapToGrid w:val="0"/>
        <w:spacing w:line="360" w:lineRule="auto"/>
        <w:ind w:firstLine="420"/>
        <w:rPr>
          <w:rFonts w:hint="eastAsia" w:asciiTheme="minorEastAsia" w:hAnsiTheme="minorEastAsia"/>
          <w:snapToGrid w:val="0"/>
          <w:kern w:val="0"/>
          <w:szCs w:val="21"/>
        </w:rPr>
      </w:pPr>
      <w:r>
        <w:rPr>
          <w:rFonts w:hint="eastAsia" w:ascii="黑体" w:hAnsi="黑体" w:eastAsia="黑体" w:cs="黑体"/>
          <w:snapToGrid w:val="0"/>
          <w:kern w:val="0"/>
          <w:szCs w:val="21"/>
        </w:rPr>
        <w:t>1</w:t>
      </w:r>
      <w:r>
        <w:rPr>
          <w:rFonts w:asciiTheme="minorEastAsia" w:hAnsiTheme="minorEastAsia"/>
          <w:snapToGrid w:val="0"/>
          <w:kern w:val="0"/>
          <w:szCs w:val="21"/>
        </w:rPr>
        <w:t xml:space="preserve">  </w:t>
      </w:r>
      <w:r>
        <w:rPr>
          <w:rFonts w:hint="eastAsia" w:asciiTheme="minorEastAsia" w:hAnsiTheme="minorEastAsia"/>
          <w:snapToGrid w:val="0"/>
          <w:kern w:val="0"/>
          <w:szCs w:val="21"/>
        </w:rPr>
        <w:t>地面检测测线应沿墙中轴线布置，测点密度应根据防渗墙类型、墙体宽度和设计要求综合考虑</w:t>
      </w:r>
      <w:r>
        <w:rPr>
          <w:rFonts w:asciiTheme="minorEastAsia" w:hAnsiTheme="minorEastAsia"/>
          <w:snapToGrid w:val="0"/>
          <w:kern w:val="0"/>
          <w:szCs w:val="21"/>
        </w:rPr>
        <w:t>。</w:t>
      </w:r>
    </w:p>
    <w:p>
      <w:pPr>
        <w:snapToGrid w:val="0"/>
        <w:spacing w:line="360" w:lineRule="auto"/>
        <w:ind w:firstLine="420" w:firstLineChars="200"/>
        <w:rPr>
          <w:rFonts w:hint="eastAsia" w:asciiTheme="minorEastAsia" w:hAnsiTheme="minorEastAsia"/>
          <w:szCs w:val="21"/>
        </w:rPr>
      </w:pPr>
      <w:r>
        <w:rPr>
          <w:rFonts w:hint="eastAsia" w:ascii="黑体" w:hAnsi="黑体" w:eastAsia="黑体" w:cs="黑体"/>
          <w:szCs w:val="21"/>
        </w:rPr>
        <w:t>2</w:t>
      </w:r>
      <w:r>
        <w:rPr>
          <w:rFonts w:asciiTheme="minorEastAsia" w:hAnsiTheme="minorEastAsia"/>
          <w:szCs w:val="21"/>
        </w:rPr>
        <w:t xml:space="preserve"> </w:t>
      </w:r>
      <w:r>
        <w:rPr>
          <w:rFonts w:hint="eastAsia" w:asciiTheme="minorEastAsia" w:hAnsiTheme="minorEastAsia"/>
          <w:szCs w:val="21"/>
        </w:rPr>
        <w:t xml:space="preserve"> 孔中检测的</w:t>
      </w:r>
      <w:r>
        <w:rPr>
          <w:rFonts w:asciiTheme="minorEastAsia" w:hAnsiTheme="minorEastAsia"/>
          <w:szCs w:val="21"/>
        </w:rPr>
        <w:t>检测孔应布置在防渗墙中心线上或紧贴防渗墙，检测孔应充分利用墙体预埋管钻孔，</w:t>
      </w:r>
      <w:r>
        <w:rPr>
          <w:rFonts w:hint="eastAsia" w:asciiTheme="minorEastAsia" w:hAnsiTheme="minorEastAsia"/>
          <w:szCs w:val="21"/>
        </w:rPr>
        <w:t>深度应深入设计防渗下限5m，钻孔孔斜允许偏差应为孔深的±1%</w:t>
      </w:r>
      <w:r>
        <w:rPr>
          <w:rFonts w:asciiTheme="minorEastAsia" w:hAnsiTheme="minorEastAsia"/>
          <w:szCs w:val="21"/>
        </w:rPr>
        <w:t>。</w:t>
      </w:r>
    </w:p>
    <w:p>
      <w:pPr>
        <w:snapToGrid w:val="0"/>
        <w:spacing w:line="360" w:lineRule="auto"/>
        <w:ind w:firstLine="420" w:firstLineChars="200"/>
        <w:rPr>
          <w:rFonts w:hint="eastAsia" w:asciiTheme="minorEastAsia" w:hAnsiTheme="minorEastAsia"/>
          <w:kern w:val="0"/>
          <w:szCs w:val="21"/>
        </w:rPr>
      </w:pPr>
      <w:r>
        <w:rPr>
          <w:rFonts w:hint="eastAsia" w:ascii="黑体" w:hAnsi="黑体" w:eastAsia="黑体" w:cs="黑体"/>
          <w:szCs w:val="21"/>
        </w:rPr>
        <w:t>3</w:t>
      </w:r>
      <w:r>
        <w:rPr>
          <w:rFonts w:asciiTheme="minorEastAsia" w:hAnsiTheme="minorEastAsia"/>
          <w:szCs w:val="21"/>
        </w:rPr>
        <w:t xml:space="preserve"> </w:t>
      </w:r>
      <w:r>
        <w:rPr>
          <w:rFonts w:hint="eastAsia" w:asciiTheme="minorEastAsia" w:hAnsiTheme="minorEastAsia"/>
          <w:szCs w:val="21"/>
        </w:rPr>
        <w:t xml:space="preserve"> </w:t>
      </w:r>
      <w:r>
        <w:rPr>
          <w:rFonts w:hint="eastAsia" w:asciiTheme="minorEastAsia" w:hAnsiTheme="minorEastAsia"/>
          <w:kern w:val="0"/>
          <w:szCs w:val="21"/>
        </w:rPr>
        <w:t>渗透系数(抗渗等级)、抗压强度和弹性模量测试应布置不少于2个检测孔，检测孔位置应在检测区内随机选取,在施工记录中存在异常情况的部位应增设1个检测孔。</w:t>
      </w:r>
    </w:p>
    <w:p>
      <w:pPr>
        <w:snapToGrid w:val="0"/>
        <w:spacing w:line="360" w:lineRule="auto"/>
        <w:ind w:firstLine="420" w:firstLineChars="200"/>
        <w:rPr>
          <w:rFonts w:hint="eastAsia" w:asciiTheme="minorEastAsia" w:hAnsiTheme="minorEastAsia"/>
          <w:kern w:val="0"/>
          <w:szCs w:val="21"/>
        </w:rPr>
      </w:pPr>
      <w:r>
        <w:rPr>
          <w:rFonts w:hint="eastAsia" w:ascii="黑体" w:hAnsi="黑体" w:eastAsia="黑体" w:cs="黑体"/>
          <w:szCs w:val="21"/>
        </w:rPr>
        <w:t xml:space="preserve">4 </w:t>
      </w:r>
      <w:r>
        <w:rPr>
          <w:rFonts w:hint="eastAsia" w:asciiTheme="minorEastAsia" w:hAnsiTheme="minorEastAsia"/>
          <w:kern w:val="0"/>
          <w:szCs w:val="21"/>
        </w:rPr>
        <w:t xml:space="preserve"> 墙体完整性(连续性)采用跨孔声波、弹性波CT等方法检测时,宜布置覆盖全部检测部位的CT剖面，孔距宜为2m～20m，点距宜为0.2m～1.0m；采用垂直反射波法、高密度电法、探地雷达法等方法检测时,测线应在墙头沿墙体轴线布置；采用高密度电法检测时，测线在墙头无法布置时，也可在墙头附近紧贴墙体布置。</w:t>
      </w:r>
    </w:p>
    <w:p>
      <w:pPr>
        <w:snapToGrid w:val="0"/>
        <w:spacing w:line="360" w:lineRule="auto"/>
        <w:ind w:firstLine="420" w:firstLineChars="200"/>
        <w:rPr>
          <w:rFonts w:hint="eastAsia" w:asciiTheme="minorEastAsia" w:hAnsiTheme="minorEastAsia"/>
          <w:kern w:val="0"/>
          <w:szCs w:val="21"/>
        </w:rPr>
      </w:pPr>
      <w:r>
        <w:rPr>
          <w:rFonts w:hint="eastAsia" w:ascii="黑体" w:hAnsi="黑体" w:eastAsia="黑体" w:cs="黑体"/>
          <w:szCs w:val="21"/>
        </w:rPr>
        <w:t xml:space="preserve">5 </w:t>
      </w:r>
      <w:r>
        <w:rPr>
          <w:rFonts w:hint="eastAsia" w:asciiTheme="minorEastAsia" w:hAnsiTheme="minorEastAsia"/>
          <w:kern w:val="0"/>
          <w:szCs w:val="21"/>
        </w:rPr>
        <w:t xml:space="preserve"> 墙体深度采用钻芯法应不少于1个检测孔；采用弹性波CT检测时，用于检测的钻孔应均匀布设，孔间距不宜大于20m，孔深应大于墙底深度。</w:t>
      </w:r>
    </w:p>
    <w:p>
      <w:pPr>
        <w:snapToGrid w:val="0"/>
        <w:spacing w:line="360" w:lineRule="auto"/>
        <w:ind w:firstLine="420" w:firstLineChars="200"/>
        <w:rPr>
          <w:rFonts w:hint="eastAsia" w:asciiTheme="minorEastAsia" w:hAnsiTheme="minorEastAsia"/>
          <w:kern w:val="0"/>
          <w:szCs w:val="21"/>
        </w:rPr>
      </w:pPr>
      <w:r>
        <w:rPr>
          <w:rFonts w:hint="eastAsia" w:ascii="黑体" w:hAnsi="黑体" w:eastAsia="黑体" w:cs="黑体"/>
          <w:szCs w:val="21"/>
        </w:rPr>
        <w:t>6</w:t>
      </w:r>
      <w:r>
        <w:rPr>
          <w:rFonts w:hint="eastAsia" w:asciiTheme="minorEastAsia" w:hAnsiTheme="minorEastAsia"/>
          <w:kern w:val="0"/>
          <w:szCs w:val="21"/>
        </w:rPr>
        <w:t xml:space="preserve">  墙体厚度应随机布置不少于2个测点。</w:t>
      </w:r>
    </w:p>
    <w:p>
      <w:pPr>
        <w:pStyle w:val="26"/>
        <w:snapToGrid w:val="0"/>
        <w:spacing w:line="360" w:lineRule="auto"/>
        <w:ind w:left="840" w:hanging="420" w:firstLineChars="0"/>
        <w:rPr>
          <w:rFonts w:hint="eastAsia" w:asciiTheme="minorEastAsia" w:hAnsiTheme="minorEastAsia"/>
          <w:kern w:val="0"/>
          <w:szCs w:val="21"/>
        </w:rPr>
      </w:pPr>
      <w:r>
        <w:rPr>
          <w:rFonts w:hint="eastAsia" w:ascii="黑体" w:hAnsi="黑体" w:eastAsia="黑体" w:cs="黑体"/>
          <w:szCs w:val="21"/>
        </w:rPr>
        <w:t>7</w:t>
      </w:r>
      <w:r>
        <w:rPr>
          <w:rFonts w:hint="eastAsia" w:asciiTheme="minorEastAsia" w:hAnsiTheme="minorEastAsia"/>
          <w:kern w:val="0"/>
          <w:szCs w:val="21"/>
        </w:rPr>
        <w:t xml:space="preserve">  防渗效果：</w:t>
      </w:r>
    </w:p>
    <w:p>
      <w:pPr>
        <w:widowControl/>
        <w:numPr>
          <w:ilvl w:val="0"/>
          <w:numId w:val="9"/>
        </w:numPr>
        <w:kinsoku w:val="0"/>
        <w:autoSpaceDE w:val="0"/>
        <w:autoSpaceDN w:val="0"/>
        <w:adjustRightInd w:val="0"/>
        <w:snapToGrid w:val="0"/>
        <w:spacing w:line="360" w:lineRule="auto"/>
        <w:ind w:left="630" w:leftChars="300"/>
        <w:textAlignment w:val="baseline"/>
        <w:rPr>
          <w:rFonts w:hint="eastAsia" w:asciiTheme="minorEastAsia" w:hAnsiTheme="minorEastAsia"/>
          <w:kern w:val="0"/>
          <w:szCs w:val="21"/>
        </w:rPr>
      </w:pPr>
      <w:r>
        <w:rPr>
          <w:rFonts w:hint="eastAsia" w:asciiTheme="minorEastAsia" w:hAnsiTheme="minorEastAsia"/>
          <w:kern w:val="0"/>
          <w:szCs w:val="21"/>
        </w:rPr>
        <w:t>采用全孔壁光学成像，布置1个检测孔</w:t>
      </w:r>
    </w:p>
    <w:p>
      <w:pPr>
        <w:widowControl/>
        <w:numPr>
          <w:ilvl w:val="0"/>
          <w:numId w:val="9"/>
        </w:numPr>
        <w:kinsoku w:val="0"/>
        <w:autoSpaceDE w:val="0"/>
        <w:autoSpaceDN w:val="0"/>
        <w:adjustRightInd w:val="0"/>
        <w:snapToGrid w:val="0"/>
        <w:spacing w:line="360" w:lineRule="auto"/>
        <w:ind w:left="1050" w:leftChars="300" w:hanging="420" w:hangingChars="200"/>
        <w:textAlignment w:val="baseline"/>
        <w:rPr>
          <w:rFonts w:hint="eastAsia" w:asciiTheme="minorEastAsia" w:hAnsiTheme="minorEastAsia"/>
          <w:kern w:val="0"/>
          <w:szCs w:val="21"/>
        </w:rPr>
      </w:pPr>
      <w:r>
        <w:rPr>
          <w:rFonts w:hint="eastAsia" w:asciiTheme="minorEastAsia" w:hAnsiTheme="minorEastAsia"/>
          <w:kern w:val="0"/>
          <w:szCs w:val="21"/>
        </w:rPr>
        <w:t>采用探地雷达法,直流电法检测墙体两侧水位差判断防渗效果时,应在墙体两侧平行墙体各布置不少于1条测线</w:t>
      </w:r>
      <w:r>
        <w:rPr>
          <w:rFonts w:asciiTheme="minorEastAsia" w:hAnsiTheme="minorEastAsia"/>
          <w:kern w:val="0"/>
          <w:szCs w:val="21"/>
        </w:rPr>
        <w:t xml:space="preserve"> </w:t>
      </w:r>
      <w:r>
        <w:rPr>
          <w:rFonts w:hint="eastAsia" w:asciiTheme="minorEastAsia" w:hAnsiTheme="minorEastAsia"/>
          <w:kern w:val="0"/>
          <w:szCs w:val="21"/>
        </w:rPr>
        <w:t>。</w:t>
      </w:r>
    </w:p>
    <w:p>
      <w:pPr>
        <w:widowControl/>
        <w:numPr>
          <w:ilvl w:val="0"/>
          <w:numId w:val="9"/>
        </w:numPr>
        <w:kinsoku w:val="0"/>
        <w:autoSpaceDE w:val="0"/>
        <w:autoSpaceDN w:val="0"/>
        <w:adjustRightInd w:val="0"/>
        <w:snapToGrid w:val="0"/>
        <w:spacing w:line="360" w:lineRule="auto"/>
        <w:ind w:left="1050" w:leftChars="300" w:hanging="420" w:hangingChars="200"/>
        <w:textAlignment w:val="baseline"/>
        <w:rPr>
          <w:rFonts w:hint="eastAsia" w:asciiTheme="minorEastAsia" w:hAnsiTheme="minorEastAsia"/>
          <w:snapToGrid w:val="0"/>
          <w:kern w:val="0"/>
          <w:szCs w:val="21"/>
        </w:rPr>
      </w:pPr>
      <w:r>
        <w:rPr>
          <w:rFonts w:hint="eastAsia" w:asciiTheme="minorEastAsia" w:hAnsiTheme="minorEastAsia"/>
          <w:kern w:val="0"/>
          <w:szCs w:val="21"/>
        </w:rPr>
        <w:t>磁电阻率法、伪随机流场法宜先确定渗漏点和缺陷分布情况，或在坝前水域布置测线网检查坝前渗漏入口。伪随机电流场测试时，接收探头与水底距离不宜大于10cm。磁电阻率法测线宜平行于坝体等结构的轴向，应根据任务水平定位精度要求确定测线、测点间距，线距宜为5m～20m，点距宜为5m～10m，所有测点应进行测量放样并标识，水平位置和高程允许偏差应为点距的±5%</w:t>
      </w:r>
      <w:r>
        <w:rPr>
          <w:rFonts w:asciiTheme="minorEastAsia" w:hAnsiTheme="minorEastAsia"/>
          <w:snapToGrid w:val="0"/>
          <w:kern w:val="0"/>
          <w:szCs w:val="21"/>
        </w:rPr>
        <w:t>。</w:t>
      </w:r>
    </w:p>
    <w:p>
      <w:pPr>
        <w:snapToGrid w:val="0"/>
        <w:spacing w:line="360" w:lineRule="auto"/>
        <w:ind w:firstLine="420" w:firstLineChars="200"/>
        <w:rPr>
          <w:rFonts w:hint="eastAsia" w:cs="宋体" w:asciiTheme="minorEastAsia" w:hAnsiTheme="minorEastAsia"/>
          <w:szCs w:val="21"/>
        </w:rPr>
      </w:pPr>
      <w:r>
        <w:rPr>
          <w:rFonts w:hint="eastAsia" w:ascii="黑体" w:hAnsi="黑体" w:eastAsia="黑体" w:cs="黑体"/>
          <w:szCs w:val="21"/>
        </w:rPr>
        <w:t xml:space="preserve">8 </w:t>
      </w:r>
      <w:r>
        <w:rPr>
          <w:rFonts w:hint="eastAsia" w:asciiTheme="minorEastAsia" w:hAnsiTheme="minorEastAsia"/>
          <w:szCs w:val="21"/>
        </w:rPr>
        <w:t xml:space="preserve"> 桩长、桩搭接检测采用低应变法时应不少于1个测点；采用钻孔法时布置1个检测孔；采用声波透射法时,测管不少于3根，测点覆盖全测管,测点距不大于20cm</w:t>
      </w:r>
      <w:r>
        <w:rPr>
          <w:rFonts w:hint="eastAsia" w:cs="宋体" w:asciiTheme="minorEastAsia" w:hAnsiTheme="minorEastAsia"/>
          <w:szCs w:val="21"/>
        </w:rPr>
        <w:t>。</w:t>
      </w:r>
    </w:p>
    <w:p>
      <w:pPr>
        <w:adjustRightInd w:val="0"/>
        <w:snapToGrid w:val="0"/>
        <w:spacing w:line="360" w:lineRule="auto"/>
        <w:ind w:firstLine="420" w:firstLineChars="200"/>
        <w:rPr>
          <w:rFonts w:hint="eastAsia" w:asciiTheme="minorEastAsia" w:hAnsiTheme="minorEastAsia"/>
          <w:szCs w:val="21"/>
        </w:rPr>
      </w:pPr>
      <w:r>
        <w:rPr>
          <w:rFonts w:hint="eastAsia" w:ascii="黑体" w:hAnsi="黑体" w:eastAsia="黑体" w:cs="黑体"/>
          <w:szCs w:val="21"/>
        </w:rPr>
        <w:t xml:space="preserve">9 </w:t>
      </w:r>
      <w:r>
        <w:rPr>
          <w:rFonts w:hint="eastAsia" w:asciiTheme="minorEastAsia" w:hAnsiTheme="minorEastAsia"/>
          <w:szCs w:val="21"/>
        </w:rPr>
        <w:t xml:space="preserve"> 应利用CT孔进行压水试验，并布置一定量的孔壁数字成像孔、单孔声波测试孔，钻孔心墙段压水试验压力不应过大，以免破坏心墙。</w:t>
      </w:r>
    </w:p>
    <w:p>
      <w:pPr>
        <w:snapToGrid w:val="0"/>
        <w:spacing w:line="360" w:lineRule="auto"/>
        <w:rPr>
          <w:rFonts w:hint="eastAsia" w:asciiTheme="minorEastAsia" w:hAnsiTheme="minorEastAsia"/>
          <w:color w:val="000000" w:themeColor="text1"/>
          <w:szCs w:val="21"/>
          <w14:textFill>
            <w14:solidFill>
              <w14:schemeClr w14:val="tx1"/>
            </w14:solidFill>
          </w14:textFill>
        </w:rPr>
      </w:pPr>
      <w:r>
        <w:rPr>
          <w:rFonts w:ascii="黑体" w:hAnsi="黑体" w:eastAsia="黑体" w:cs="黑体"/>
          <w:szCs w:val="21"/>
        </w:rPr>
        <w:t>4.4.</w:t>
      </w:r>
      <w:r>
        <w:rPr>
          <w:rFonts w:hint="eastAsia" w:ascii="黑体" w:hAnsi="黑体" w:eastAsia="黑体" w:cs="黑体"/>
          <w:szCs w:val="21"/>
        </w:rPr>
        <w:t xml:space="preserve">5 </w:t>
      </w:r>
      <w:r>
        <w:rPr>
          <w:rFonts w:asciiTheme="minorEastAsia" w:hAnsiTheme="minorEastAsia"/>
          <w:color w:val="000000" w:themeColor="text1"/>
          <w:sz w:val="24"/>
          <w:szCs w:val="24"/>
          <w14:textFill>
            <w14:solidFill>
              <w14:schemeClr w14:val="tx1"/>
            </w14:solidFill>
          </w14:textFill>
        </w:rPr>
        <w:t xml:space="preserve"> </w:t>
      </w:r>
      <w:r>
        <w:rPr>
          <w:rFonts w:hint="eastAsia" w:cs="黑体" w:asciiTheme="minorEastAsia" w:hAnsiTheme="minorEastAsia"/>
          <w:snapToGrid w:val="0"/>
          <w:color w:val="000000" w:themeColor="text1"/>
          <w:kern w:val="0"/>
          <w:szCs w:val="21"/>
          <w14:textFill>
            <w14:solidFill>
              <w14:schemeClr w14:val="tx1"/>
            </w14:solidFill>
          </w14:textFill>
        </w:rPr>
        <w:t>检测结果达到以下要求的，</w:t>
      </w:r>
      <w:r>
        <w:rPr>
          <w:rFonts w:hint="eastAsia" w:asciiTheme="minorEastAsia" w:hAnsiTheme="minorEastAsia"/>
          <w:color w:val="000000" w:themeColor="text1"/>
          <w:szCs w:val="21"/>
          <w14:textFill>
            <w14:solidFill>
              <w14:schemeClr w14:val="tx1"/>
            </w14:solidFill>
          </w14:textFill>
        </w:rPr>
        <w:t>质量检测结果</w:t>
      </w:r>
      <w:r>
        <w:rPr>
          <w:rFonts w:hint="eastAsia" w:cs="黑体" w:asciiTheme="minorEastAsia" w:hAnsiTheme="minorEastAsia"/>
          <w:snapToGrid w:val="0"/>
          <w:color w:val="000000" w:themeColor="text1"/>
          <w:kern w:val="0"/>
          <w:szCs w:val="21"/>
          <w14:textFill>
            <w14:solidFill>
              <w14:schemeClr w14:val="tx1"/>
            </w14:solidFill>
          </w14:textFill>
        </w:rPr>
        <w:t>评价为合格：</w:t>
      </w:r>
    </w:p>
    <w:p>
      <w:pPr>
        <w:snapToGrid w:val="0"/>
        <w:spacing w:line="360" w:lineRule="auto"/>
        <w:ind w:firstLine="420" w:firstLineChars="200"/>
        <w:rPr>
          <w:rFonts w:hint="eastAsia" w:asciiTheme="minorEastAsia" w:hAnsiTheme="minorEastAsia"/>
          <w:color w:val="000000" w:themeColor="text1"/>
          <w:kern w:val="0"/>
          <w:szCs w:val="21"/>
          <w14:textFill>
            <w14:solidFill>
              <w14:schemeClr w14:val="tx1"/>
            </w14:solidFill>
          </w14:textFill>
        </w:rPr>
      </w:pPr>
      <w:r>
        <w:rPr>
          <w:rFonts w:hint="eastAsia" w:ascii="黑体" w:hAnsi="黑体" w:eastAsia="黑体" w:cs="黑体"/>
          <w:szCs w:val="21"/>
        </w:rPr>
        <w:t xml:space="preserve">1  </w:t>
      </w:r>
      <w:r>
        <w:rPr>
          <w:rFonts w:hint="eastAsia" w:asciiTheme="minorEastAsia" w:hAnsiTheme="minorEastAsia"/>
          <w:color w:val="000000" w:themeColor="text1"/>
          <w:kern w:val="0"/>
          <w:szCs w:val="21"/>
          <w14:textFill>
            <w14:solidFill>
              <w14:schemeClr w14:val="tx1"/>
            </w14:solidFill>
          </w14:textFill>
        </w:rPr>
        <w:t>完整性(连续性)：检测结果未发现不完整缺陷。</w:t>
      </w:r>
    </w:p>
    <w:p>
      <w:pPr>
        <w:snapToGrid w:val="0"/>
        <w:spacing w:line="360" w:lineRule="auto"/>
        <w:ind w:firstLine="420" w:firstLineChars="200"/>
        <w:rPr>
          <w:rFonts w:hint="eastAsia" w:asciiTheme="minorEastAsia" w:hAnsiTheme="minorEastAsia"/>
          <w:color w:val="000000" w:themeColor="text1"/>
          <w:kern w:val="0"/>
          <w:szCs w:val="21"/>
          <w14:textFill>
            <w14:solidFill>
              <w14:schemeClr w14:val="tx1"/>
            </w14:solidFill>
          </w14:textFill>
        </w:rPr>
      </w:pPr>
      <w:r>
        <w:rPr>
          <w:rFonts w:hint="eastAsia" w:ascii="黑体" w:hAnsi="黑体" w:eastAsia="黑体" w:cs="黑体"/>
          <w:szCs w:val="21"/>
        </w:rPr>
        <w:t xml:space="preserve">2  </w:t>
      </w:r>
      <w:r>
        <w:rPr>
          <w:rFonts w:hint="eastAsia" w:asciiTheme="minorEastAsia" w:hAnsiTheme="minorEastAsia"/>
          <w:color w:val="000000" w:themeColor="text1"/>
          <w:kern w:val="0"/>
          <w:szCs w:val="21"/>
          <w14:textFill>
            <w14:solidFill>
              <w14:schemeClr w14:val="tx1"/>
            </w14:solidFill>
          </w14:textFill>
        </w:rPr>
        <w:t>防渗效果:检测结果未发现渗漏缺陷。</w:t>
      </w:r>
    </w:p>
    <w:p>
      <w:pPr>
        <w:snapToGrid w:val="0"/>
        <w:spacing w:line="360" w:lineRule="auto"/>
        <w:ind w:firstLine="420" w:firstLineChars="200"/>
        <w:rPr>
          <w:rFonts w:hint="eastAsia" w:asciiTheme="minorEastAsia" w:hAnsiTheme="minorEastAsia"/>
          <w:color w:val="000000" w:themeColor="text1"/>
          <w:kern w:val="0"/>
          <w:szCs w:val="21"/>
          <w14:textFill>
            <w14:solidFill>
              <w14:schemeClr w14:val="tx1"/>
            </w14:solidFill>
          </w14:textFill>
        </w:rPr>
      </w:pPr>
      <w:r>
        <w:rPr>
          <w:rFonts w:hint="eastAsia" w:ascii="黑体" w:hAnsi="黑体" w:eastAsia="黑体" w:cs="黑体"/>
          <w:szCs w:val="21"/>
        </w:rPr>
        <w:t xml:space="preserve">3  </w:t>
      </w:r>
      <w:r>
        <w:rPr>
          <w:rFonts w:hint="eastAsia" w:asciiTheme="minorEastAsia" w:hAnsiTheme="minorEastAsia"/>
          <w:color w:val="000000" w:themeColor="text1"/>
          <w:kern w:val="0"/>
          <w:szCs w:val="21"/>
          <w14:textFill>
            <w14:solidFill>
              <w14:schemeClr w14:val="tx1"/>
            </w14:solidFill>
          </w14:textFill>
        </w:rPr>
        <w:t>其他检测项目：检测结果达到设计和技术标准要求。</w:t>
      </w:r>
    </w:p>
    <w:p>
      <w:pPr>
        <w:pStyle w:val="3"/>
        <w:snapToGrid w:val="0"/>
        <w:spacing w:beforeLines="50" w:afterLines="50" w:line="360" w:lineRule="auto"/>
        <w:jc w:val="center"/>
        <w:rPr>
          <w:rFonts w:ascii="黑体" w:hAnsi="黑体" w:cs="黑体"/>
          <w:sz w:val="24"/>
          <w:szCs w:val="24"/>
        </w:rPr>
      </w:pPr>
      <w:bookmarkStart w:id="36" w:name="_Toc3544"/>
      <w:r>
        <w:rPr>
          <w:rFonts w:ascii="黑体" w:hAnsi="黑体" w:cs="黑体"/>
          <w:sz w:val="24"/>
          <w:szCs w:val="24"/>
        </w:rPr>
        <w:t>4.5  基  桩</w:t>
      </w:r>
      <w:bookmarkEnd w:id="36"/>
    </w:p>
    <w:p>
      <w:pPr>
        <w:spacing w:line="360" w:lineRule="auto"/>
      </w:pPr>
      <w:bookmarkStart w:id="37" w:name="_Toc3901"/>
      <w:bookmarkStart w:id="38" w:name="_Toc23533"/>
      <w:bookmarkStart w:id="39" w:name="_Toc31582"/>
      <w:bookmarkStart w:id="40" w:name="_Toc28316"/>
      <w:bookmarkStart w:id="41" w:name="_Toc5278"/>
      <w:bookmarkStart w:id="42" w:name="_Toc29194"/>
      <w:r>
        <w:rPr>
          <w:rFonts w:hint="eastAsia" w:ascii="黑体" w:hAnsi="黑体" w:eastAsia="黑体" w:cs="黑体"/>
          <w:szCs w:val="21"/>
        </w:rPr>
        <w:t xml:space="preserve">4.5.1  </w:t>
      </w:r>
      <w:r>
        <w:rPr>
          <w:rFonts w:hint="eastAsia"/>
        </w:rPr>
        <w:t>检测项目宜包括以下内容：</w:t>
      </w:r>
      <w:bookmarkEnd w:id="37"/>
      <w:bookmarkEnd w:id="38"/>
      <w:bookmarkEnd w:id="39"/>
      <w:bookmarkEnd w:id="40"/>
      <w:bookmarkEnd w:id="41"/>
      <w:bookmarkEnd w:id="42"/>
    </w:p>
    <w:p>
      <w:pPr>
        <w:spacing w:line="360" w:lineRule="auto"/>
        <w:ind w:firstLine="420" w:firstLineChars="200"/>
        <w:rPr>
          <w:rFonts w:hint="eastAsia" w:ascii="黑体" w:hAnsi="黑体" w:eastAsia="黑体" w:cs="黑体"/>
          <w:szCs w:val="21"/>
        </w:rPr>
      </w:pPr>
      <w:r>
        <w:rPr>
          <w:rFonts w:hint="eastAsia" w:ascii="黑体" w:hAnsi="黑体" w:eastAsia="黑体" w:cs="黑体"/>
          <w:szCs w:val="21"/>
        </w:rPr>
        <w:t xml:space="preserve">1  </w:t>
      </w:r>
      <w:r>
        <w:rPr>
          <w:rFonts w:hint="eastAsia" w:cs="黑体" w:asciiTheme="minorEastAsia" w:hAnsiTheme="minorEastAsia"/>
          <w:szCs w:val="21"/>
        </w:rPr>
        <w:t>混凝土灌注桩宜包括检测基桩的承载力、桩身完整性、桩长、成孔质量（孔深、孔径、垂直度、沉渣厚度等）及混凝土的强度。</w:t>
      </w:r>
    </w:p>
    <w:p>
      <w:pPr>
        <w:spacing w:line="360" w:lineRule="auto"/>
        <w:ind w:firstLine="420" w:firstLineChars="200"/>
        <w:rPr>
          <w:rFonts w:hint="eastAsia" w:cs="黑体" w:asciiTheme="minorEastAsia" w:hAnsiTheme="minorEastAsia"/>
          <w:szCs w:val="21"/>
        </w:rPr>
      </w:pPr>
      <w:r>
        <w:rPr>
          <w:rFonts w:hint="eastAsia" w:ascii="黑体" w:hAnsi="黑体" w:eastAsia="黑体" w:cs="黑体"/>
          <w:szCs w:val="21"/>
        </w:rPr>
        <w:t xml:space="preserve">2 </w:t>
      </w:r>
      <w:r>
        <w:rPr>
          <w:rFonts w:hint="eastAsia" w:cs="黑体" w:asciiTheme="minorEastAsia" w:hAnsiTheme="minorEastAsia"/>
          <w:szCs w:val="21"/>
        </w:rPr>
        <w:t>混凝土预制桩（包括预应力管桩）宜包括检测基桩的承载力及桩身完整性。</w:t>
      </w:r>
    </w:p>
    <w:p>
      <w:pPr>
        <w:spacing w:line="360" w:lineRule="auto"/>
        <w:ind w:firstLine="420" w:firstLineChars="200"/>
        <w:rPr>
          <w:rFonts w:hint="eastAsia" w:asciiTheme="minorEastAsia" w:hAnsiTheme="minorEastAsia"/>
          <w:kern w:val="0"/>
          <w:szCs w:val="21"/>
        </w:rPr>
      </w:pPr>
      <w:r>
        <w:rPr>
          <w:rFonts w:hint="eastAsia" w:ascii="黑体" w:hAnsi="黑体" w:eastAsia="黑体" w:cs="黑体"/>
          <w:szCs w:val="21"/>
        </w:rPr>
        <w:t xml:space="preserve">3 </w:t>
      </w:r>
      <w:r>
        <w:rPr>
          <w:rFonts w:hint="eastAsia" w:cs="黑体" w:asciiTheme="minorEastAsia" w:hAnsiTheme="minorEastAsia"/>
          <w:szCs w:val="21"/>
        </w:rPr>
        <w:t>钢桩宜包括检测基桩的承载力</w:t>
      </w:r>
      <w:r>
        <w:rPr>
          <w:rFonts w:hint="eastAsia" w:asciiTheme="minorEastAsia" w:hAnsiTheme="minorEastAsia"/>
          <w:kern w:val="0"/>
          <w:szCs w:val="21"/>
        </w:rPr>
        <w:t>。</w:t>
      </w:r>
    </w:p>
    <w:p>
      <w:pPr>
        <w:spacing w:line="360" w:lineRule="auto"/>
        <w:rPr>
          <w:rFonts w:hint="eastAsia" w:asciiTheme="minorEastAsia" w:hAnsiTheme="minorEastAsia"/>
          <w:color w:val="FF0000"/>
          <w:kern w:val="0"/>
          <w:szCs w:val="21"/>
        </w:rPr>
      </w:pPr>
      <w:r>
        <w:rPr>
          <w:rFonts w:hint="eastAsia" w:ascii="黑体" w:hAnsi="黑体" w:eastAsia="黑体" w:cs="黑体"/>
          <w:szCs w:val="21"/>
        </w:rPr>
        <w:t xml:space="preserve">4.5.2  </w:t>
      </w:r>
      <w:r>
        <w:rPr>
          <w:rFonts w:hint="eastAsia" w:asciiTheme="minorEastAsia" w:hAnsiTheme="minorEastAsia"/>
          <w:kern w:val="0"/>
          <w:szCs w:val="21"/>
        </w:rPr>
        <w:t>检测单元划分：每根基桩为1个检测单元。</w:t>
      </w:r>
    </w:p>
    <w:p>
      <w:pPr>
        <w:spacing w:line="360" w:lineRule="auto"/>
        <w:rPr>
          <w:rFonts w:hint="eastAsia" w:asciiTheme="minorEastAsia" w:hAnsiTheme="minorEastAsia"/>
          <w:szCs w:val="21"/>
        </w:rPr>
      </w:pPr>
      <w:r>
        <w:rPr>
          <w:rFonts w:hint="eastAsia" w:ascii="黑体" w:hAnsi="黑体" w:eastAsia="黑体" w:cs="黑体"/>
          <w:szCs w:val="21"/>
        </w:rPr>
        <w:t>4.5.3</w:t>
      </w:r>
      <w:r>
        <w:rPr>
          <w:rFonts w:hint="eastAsia" w:ascii="宋体" w:hAnsi="宋体" w:eastAsia="宋体" w:cs="黑体"/>
          <w:szCs w:val="21"/>
        </w:rPr>
        <w:t xml:space="preserve">  </w:t>
      </w:r>
      <w:r>
        <w:rPr>
          <w:rFonts w:hint="eastAsia" w:asciiTheme="minorEastAsia" w:hAnsiTheme="minorEastAsia"/>
          <w:szCs w:val="21"/>
        </w:rPr>
        <w:t>检测方法应符合下列要求：</w:t>
      </w:r>
    </w:p>
    <w:p>
      <w:pPr>
        <w:snapToGrid w:val="0"/>
        <w:spacing w:line="360" w:lineRule="auto"/>
        <w:ind w:firstLine="420" w:firstLineChars="200"/>
        <w:rPr>
          <w:rFonts w:hint="eastAsia" w:asciiTheme="minorEastAsia" w:hAnsiTheme="minorEastAsia"/>
          <w:bCs/>
          <w:kern w:val="0"/>
          <w:szCs w:val="21"/>
        </w:rPr>
      </w:pPr>
      <w:r>
        <w:rPr>
          <w:rFonts w:hint="eastAsia" w:ascii="黑体" w:hAnsi="黑体" w:eastAsia="黑体" w:cs="黑体"/>
          <w:szCs w:val="21"/>
        </w:rPr>
        <w:t>1</w:t>
      </w:r>
      <w:r>
        <w:rPr>
          <w:rFonts w:hint="eastAsia" w:cs="黑体" w:asciiTheme="minorEastAsia" w:hAnsiTheme="minorEastAsia"/>
          <w:szCs w:val="21"/>
        </w:rPr>
        <w:t xml:space="preserve"> </w:t>
      </w:r>
      <w:r>
        <w:rPr>
          <w:rFonts w:hint="eastAsia" w:asciiTheme="minorEastAsia" w:hAnsiTheme="minorEastAsia"/>
          <w:bCs/>
          <w:kern w:val="0"/>
          <w:szCs w:val="21"/>
        </w:rPr>
        <w:t xml:space="preserve"> 混凝土灌注桩：</w:t>
      </w:r>
    </w:p>
    <w:p>
      <w:pPr>
        <w:widowControl/>
        <w:numPr>
          <w:ilvl w:val="0"/>
          <w:numId w:val="10"/>
        </w:numPr>
        <w:kinsoku w:val="0"/>
        <w:autoSpaceDE w:val="0"/>
        <w:autoSpaceDN w:val="0"/>
        <w:adjustRightInd w:val="0"/>
        <w:snapToGrid w:val="0"/>
        <w:spacing w:line="360" w:lineRule="auto"/>
        <w:ind w:left="1050" w:leftChars="300" w:hanging="420" w:hangingChars="200"/>
        <w:textAlignment w:val="baseline"/>
        <w:rPr>
          <w:rFonts w:hint="eastAsia" w:asciiTheme="minorEastAsia" w:hAnsiTheme="minorEastAsia"/>
          <w:bCs/>
          <w:kern w:val="0"/>
          <w:szCs w:val="21"/>
        </w:rPr>
      </w:pPr>
      <w:r>
        <w:rPr>
          <w:rFonts w:hint="eastAsia" w:asciiTheme="minorEastAsia" w:hAnsiTheme="minorEastAsia"/>
          <w:bCs/>
          <w:kern w:val="0"/>
          <w:szCs w:val="21"/>
        </w:rPr>
        <w:t>单桩承载力宜根据桩类型、工程特点等，选择采用单桩竖向抗压静载试验、单桩竖向抗拔静载试验、单桩水平静载试验、高应变法或自平衡法。</w:t>
      </w:r>
    </w:p>
    <w:p>
      <w:pPr>
        <w:widowControl/>
        <w:numPr>
          <w:ilvl w:val="0"/>
          <w:numId w:val="10"/>
        </w:numPr>
        <w:kinsoku w:val="0"/>
        <w:autoSpaceDE w:val="0"/>
        <w:autoSpaceDN w:val="0"/>
        <w:adjustRightInd w:val="0"/>
        <w:snapToGrid w:val="0"/>
        <w:spacing w:line="360" w:lineRule="auto"/>
        <w:ind w:left="1050" w:leftChars="300" w:hanging="420" w:hangingChars="200"/>
        <w:textAlignment w:val="baseline"/>
        <w:rPr>
          <w:rFonts w:hint="eastAsia" w:asciiTheme="minorEastAsia" w:hAnsiTheme="minorEastAsia"/>
          <w:bCs/>
          <w:kern w:val="0"/>
          <w:szCs w:val="21"/>
        </w:rPr>
      </w:pPr>
      <w:r>
        <w:rPr>
          <w:rFonts w:hint="eastAsia" w:asciiTheme="minorEastAsia" w:hAnsiTheme="minorEastAsia"/>
          <w:bCs/>
          <w:kern w:val="0"/>
          <w:szCs w:val="21"/>
        </w:rPr>
        <w:t>桩身完整性宜根据桩材质、桩周条件等，选择采用低应变法、声波透射法、高应变法或钻芯法检测。</w:t>
      </w:r>
    </w:p>
    <w:p>
      <w:pPr>
        <w:widowControl/>
        <w:numPr>
          <w:ilvl w:val="0"/>
          <w:numId w:val="10"/>
        </w:numPr>
        <w:kinsoku w:val="0"/>
        <w:autoSpaceDE w:val="0"/>
        <w:autoSpaceDN w:val="0"/>
        <w:adjustRightInd w:val="0"/>
        <w:snapToGrid w:val="0"/>
        <w:spacing w:line="360" w:lineRule="auto"/>
        <w:ind w:left="1050" w:leftChars="300" w:hanging="420" w:hangingChars="200"/>
        <w:textAlignment w:val="baseline"/>
        <w:rPr>
          <w:rFonts w:hint="eastAsia" w:asciiTheme="minorEastAsia" w:hAnsiTheme="minorEastAsia"/>
          <w:bCs/>
          <w:kern w:val="0"/>
          <w:szCs w:val="21"/>
        </w:rPr>
      </w:pPr>
      <w:r>
        <w:rPr>
          <w:rFonts w:hint="eastAsia" w:asciiTheme="minorEastAsia" w:hAnsiTheme="minorEastAsia"/>
          <w:bCs/>
          <w:kern w:val="0"/>
          <w:szCs w:val="21"/>
        </w:rPr>
        <w:t>桩长宜根据桩材质、桩周条件选择采用钻芯法、磁测井法或充电法检测。</w:t>
      </w:r>
    </w:p>
    <w:p>
      <w:pPr>
        <w:widowControl/>
        <w:numPr>
          <w:ilvl w:val="0"/>
          <w:numId w:val="10"/>
        </w:numPr>
        <w:kinsoku w:val="0"/>
        <w:autoSpaceDE w:val="0"/>
        <w:autoSpaceDN w:val="0"/>
        <w:adjustRightInd w:val="0"/>
        <w:snapToGrid w:val="0"/>
        <w:spacing w:line="360" w:lineRule="auto"/>
        <w:ind w:left="1050" w:leftChars="300" w:hanging="420" w:hangingChars="200"/>
        <w:textAlignment w:val="baseline"/>
        <w:rPr>
          <w:rFonts w:hint="eastAsia" w:asciiTheme="minorEastAsia" w:hAnsiTheme="minorEastAsia"/>
          <w:bCs/>
          <w:kern w:val="0"/>
          <w:szCs w:val="21"/>
        </w:rPr>
      </w:pPr>
      <w:r>
        <w:rPr>
          <w:rFonts w:hint="eastAsia" w:asciiTheme="minorEastAsia" w:hAnsiTheme="minorEastAsia"/>
          <w:bCs/>
          <w:kern w:val="0"/>
          <w:szCs w:val="21"/>
        </w:rPr>
        <w:t>灌注桩成孔质量宜根据灌注桩成孔工艺、成孔尺寸及形状、检测方法适用性、现场具体条件等，选择采用不同检测方法及仪器设备，如超声波成孔检测仪或伞形孔径仪，沉渣厚度检测应采用电阻率沉渣检测仪或探针沉渣检测仪。</w:t>
      </w:r>
    </w:p>
    <w:p>
      <w:pPr>
        <w:widowControl/>
        <w:numPr>
          <w:ilvl w:val="0"/>
          <w:numId w:val="10"/>
        </w:numPr>
        <w:kinsoku w:val="0"/>
        <w:autoSpaceDE w:val="0"/>
        <w:autoSpaceDN w:val="0"/>
        <w:adjustRightInd w:val="0"/>
        <w:snapToGrid w:val="0"/>
        <w:spacing w:line="360" w:lineRule="auto"/>
        <w:ind w:left="1050" w:leftChars="300" w:hanging="420" w:hangingChars="200"/>
        <w:textAlignment w:val="baseline"/>
        <w:rPr>
          <w:rFonts w:hint="eastAsia" w:asciiTheme="minorEastAsia" w:hAnsiTheme="minorEastAsia"/>
          <w:bCs/>
          <w:kern w:val="0"/>
          <w:szCs w:val="21"/>
        </w:rPr>
      </w:pPr>
      <w:r>
        <w:rPr>
          <w:rFonts w:hint="eastAsia" w:asciiTheme="minorEastAsia" w:hAnsiTheme="minorEastAsia"/>
          <w:bCs/>
          <w:kern w:val="0"/>
          <w:szCs w:val="21"/>
        </w:rPr>
        <w:t>桩身混凝土强度宜采用钻芯法检测。</w:t>
      </w:r>
    </w:p>
    <w:p>
      <w:pPr>
        <w:snapToGrid w:val="0"/>
        <w:spacing w:line="360" w:lineRule="auto"/>
        <w:ind w:firstLine="420" w:firstLineChars="200"/>
        <w:rPr>
          <w:rFonts w:hint="eastAsia" w:cs="Times New Roman" w:asciiTheme="minorEastAsia" w:hAnsiTheme="minorEastAsia"/>
          <w:bCs/>
          <w:kern w:val="0"/>
          <w:szCs w:val="21"/>
        </w:rPr>
      </w:pPr>
      <w:r>
        <w:rPr>
          <w:rFonts w:hint="eastAsia" w:ascii="黑体" w:hAnsi="黑体" w:eastAsia="黑体" w:cs="黑体"/>
          <w:szCs w:val="21"/>
        </w:rPr>
        <w:t>2</w:t>
      </w:r>
      <w:r>
        <w:rPr>
          <w:rFonts w:hint="eastAsia" w:asciiTheme="minorEastAsia" w:hAnsiTheme="minorEastAsia"/>
          <w:bCs/>
          <w:kern w:val="0"/>
          <w:szCs w:val="21"/>
        </w:rPr>
        <w:t xml:space="preserve">  </w:t>
      </w:r>
      <w:r>
        <w:rPr>
          <w:rFonts w:hint="eastAsia" w:cs="Times New Roman" w:asciiTheme="minorEastAsia" w:hAnsiTheme="minorEastAsia"/>
          <w:bCs/>
          <w:kern w:val="0"/>
          <w:szCs w:val="21"/>
        </w:rPr>
        <w:t>混凝土预制桩：</w:t>
      </w:r>
    </w:p>
    <w:p>
      <w:pPr>
        <w:numPr>
          <w:ilvl w:val="0"/>
          <w:numId w:val="11"/>
        </w:numPr>
        <w:snapToGrid w:val="0"/>
        <w:spacing w:line="360" w:lineRule="auto"/>
        <w:ind w:left="1050" w:leftChars="300" w:hanging="420" w:hangingChars="200"/>
        <w:rPr>
          <w:rFonts w:hint="eastAsia" w:asciiTheme="minorEastAsia" w:hAnsiTheme="minorEastAsia"/>
          <w:bCs/>
          <w:kern w:val="0"/>
          <w:szCs w:val="21"/>
        </w:rPr>
      </w:pPr>
      <w:r>
        <w:rPr>
          <w:rFonts w:hint="eastAsia" w:asciiTheme="minorEastAsia" w:hAnsiTheme="minorEastAsia"/>
          <w:bCs/>
          <w:kern w:val="0"/>
          <w:szCs w:val="21"/>
        </w:rPr>
        <w:t>单桩承载力宜根据桩类型、工程特点等，选择采用单桩竖向抗压静载试验、单桩竖向抗拔静载试验、单桩水平静载试验或高应变法。</w:t>
      </w:r>
    </w:p>
    <w:p>
      <w:pPr>
        <w:numPr>
          <w:ilvl w:val="0"/>
          <w:numId w:val="11"/>
        </w:numPr>
        <w:snapToGrid w:val="0"/>
        <w:spacing w:line="360" w:lineRule="auto"/>
        <w:ind w:left="1050" w:leftChars="300" w:hanging="420" w:hangingChars="200"/>
        <w:rPr>
          <w:rFonts w:hint="eastAsia" w:asciiTheme="minorEastAsia" w:hAnsiTheme="minorEastAsia"/>
          <w:bCs/>
          <w:kern w:val="0"/>
          <w:szCs w:val="21"/>
        </w:rPr>
      </w:pPr>
      <w:r>
        <w:rPr>
          <w:rFonts w:hint="eastAsia" w:asciiTheme="minorEastAsia" w:hAnsiTheme="minorEastAsia"/>
          <w:kern w:val="0"/>
          <w:szCs w:val="21"/>
        </w:rPr>
        <w:t>桩身完整性宜采用低应变法</w:t>
      </w:r>
      <w:r>
        <w:rPr>
          <w:rFonts w:hint="eastAsia" w:asciiTheme="minorEastAsia" w:hAnsiTheme="minorEastAsia"/>
          <w:bCs/>
          <w:kern w:val="0"/>
          <w:szCs w:val="21"/>
        </w:rPr>
        <w:t>。</w:t>
      </w:r>
    </w:p>
    <w:p>
      <w:pPr>
        <w:snapToGrid w:val="0"/>
        <w:spacing w:line="360" w:lineRule="auto"/>
        <w:ind w:firstLine="420" w:firstLineChars="200"/>
        <w:rPr>
          <w:rFonts w:hint="eastAsia" w:asciiTheme="minorEastAsia" w:hAnsiTheme="minorEastAsia"/>
          <w:bCs/>
          <w:kern w:val="0"/>
          <w:szCs w:val="21"/>
        </w:rPr>
      </w:pPr>
      <w:r>
        <w:rPr>
          <w:rFonts w:hint="eastAsia" w:ascii="黑体" w:hAnsi="黑体" w:eastAsia="黑体" w:cs="黑体"/>
          <w:szCs w:val="21"/>
        </w:rPr>
        <w:t xml:space="preserve">3  </w:t>
      </w:r>
      <w:r>
        <w:rPr>
          <w:rFonts w:hint="eastAsia" w:asciiTheme="minorEastAsia" w:hAnsiTheme="minorEastAsia"/>
          <w:bCs/>
          <w:kern w:val="0"/>
          <w:szCs w:val="21"/>
        </w:rPr>
        <w:t>钢桩：单桩承载力宜根据桩类型、工程特点等，选择采用单桩竖向抗压静载试验、单桩竖向抗拔静载试验、单桩水平静载试验或高应变法。</w:t>
      </w:r>
    </w:p>
    <w:p>
      <w:pPr>
        <w:snapToGrid w:val="0"/>
        <w:spacing w:line="360" w:lineRule="auto"/>
        <w:rPr>
          <w:rFonts w:hint="eastAsia" w:cs="Arial" w:asciiTheme="minorEastAsia" w:hAnsiTheme="minorEastAsia"/>
          <w:snapToGrid w:val="0"/>
          <w:color w:val="000000"/>
          <w:kern w:val="0"/>
          <w:szCs w:val="21"/>
        </w:rPr>
      </w:pPr>
      <w:r>
        <w:rPr>
          <w:rFonts w:hint="eastAsia" w:ascii="黑体" w:hAnsi="黑体" w:eastAsia="黑体" w:cs="黑体"/>
          <w:szCs w:val="21"/>
        </w:rPr>
        <w:t xml:space="preserve">4.5.4 </w:t>
      </w:r>
      <w:r>
        <w:rPr>
          <w:rFonts w:cs="黑体" w:asciiTheme="minorEastAsia" w:hAnsiTheme="minorEastAsia"/>
          <w:snapToGrid w:val="0"/>
          <w:color w:val="000000"/>
          <w:kern w:val="0"/>
          <w:szCs w:val="21"/>
        </w:rPr>
        <w:t xml:space="preserve"> </w:t>
      </w:r>
      <w:r>
        <w:rPr>
          <w:rFonts w:cs="Arial" w:asciiTheme="minorEastAsia" w:hAnsiTheme="minorEastAsia"/>
          <w:snapToGrid w:val="0"/>
          <w:color w:val="000000"/>
          <w:kern w:val="0"/>
          <w:szCs w:val="21"/>
        </w:rPr>
        <w:t>检测工作布置应符合下列要求</w:t>
      </w:r>
      <w:r>
        <w:rPr>
          <w:rFonts w:hint="eastAsia" w:cs="Arial" w:asciiTheme="minorEastAsia" w:hAnsiTheme="minorEastAsia"/>
          <w:snapToGrid w:val="0"/>
          <w:color w:val="000000"/>
          <w:kern w:val="0"/>
          <w:szCs w:val="21"/>
        </w:rPr>
        <w:t>：</w:t>
      </w:r>
    </w:p>
    <w:p>
      <w:pPr>
        <w:snapToGrid w:val="0"/>
        <w:spacing w:line="360" w:lineRule="auto"/>
        <w:ind w:firstLine="420" w:firstLineChars="200"/>
        <w:rPr>
          <w:rFonts w:hint="eastAsia" w:asciiTheme="minorEastAsia" w:hAnsiTheme="minorEastAsia"/>
          <w:bCs/>
          <w:kern w:val="0"/>
          <w:szCs w:val="21"/>
        </w:rPr>
      </w:pPr>
      <w:r>
        <w:rPr>
          <w:rFonts w:hint="eastAsia" w:ascii="黑体" w:hAnsi="黑体" w:eastAsia="黑体" w:cs="黑体"/>
          <w:szCs w:val="21"/>
        </w:rPr>
        <w:t xml:space="preserve">1  </w:t>
      </w:r>
      <w:r>
        <w:rPr>
          <w:rFonts w:hint="eastAsia" w:asciiTheme="minorEastAsia" w:hAnsiTheme="minorEastAsia"/>
          <w:bCs/>
          <w:kern w:val="0"/>
          <w:szCs w:val="21"/>
        </w:rPr>
        <w:t>单桩承载力：</w:t>
      </w:r>
    </w:p>
    <w:p>
      <w:pPr>
        <w:numPr>
          <w:ilvl w:val="0"/>
          <w:numId w:val="12"/>
        </w:numPr>
        <w:snapToGrid w:val="0"/>
        <w:spacing w:line="360" w:lineRule="auto"/>
        <w:ind w:left="1050" w:leftChars="300" w:hanging="420" w:hangingChars="200"/>
        <w:rPr>
          <w:rFonts w:hint="eastAsia" w:asciiTheme="minorEastAsia" w:hAnsiTheme="minorEastAsia"/>
          <w:bCs/>
          <w:kern w:val="0"/>
          <w:szCs w:val="21"/>
        </w:rPr>
      </w:pPr>
      <w:r>
        <w:rPr>
          <w:rFonts w:hint="eastAsia" w:asciiTheme="minorEastAsia" w:hAnsiTheme="minorEastAsia"/>
          <w:bCs/>
          <w:kern w:val="0"/>
          <w:szCs w:val="21"/>
        </w:rPr>
        <w:t>为设计提供依据的试验桩检测，采用相应的静载试验方法确定单桩极限承载力，且在同一条件下不应少于3根；当预计工程桩总数小于50根时，检测数量不应少于2根。</w:t>
      </w:r>
    </w:p>
    <w:p>
      <w:pPr>
        <w:numPr>
          <w:ilvl w:val="0"/>
          <w:numId w:val="12"/>
        </w:numPr>
        <w:snapToGrid w:val="0"/>
        <w:spacing w:line="360" w:lineRule="auto"/>
        <w:ind w:left="1050" w:leftChars="300" w:hanging="420" w:hangingChars="200"/>
        <w:rPr>
          <w:rFonts w:hint="eastAsia" w:asciiTheme="minorEastAsia" w:hAnsiTheme="minorEastAsia"/>
          <w:bCs/>
          <w:kern w:val="0"/>
          <w:szCs w:val="21"/>
        </w:rPr>
      </w:pPr>
      <w:r>
        <w:rPr>
          <w:rFonts w:hint="eastAsia" w:asciiTheme="minorEastAsia" w:hAnsiTheme="minorEastAsia"/>
          <w:bCs/>
          <w:kern w:val="0"/>
          <w:szCs w:val="21"/>
        </w:rPr>
        <w:t>设计等级为甲级或地质条件复杂、桩施工质量可靠性低时，应采用单桩竖向抗压静载试验进行承载力验收检验。检测数量应满足设计要求，不应少于同一条件下桩基分项工程总桩数的1%，且不应少于3根；当总桩数小于50根时，检测数量不应少于2根。当在其他情况下，采用单桩竖向抗压静载试验作为验收检测方法时，检测数量宜符合本条的规定；当采用单桩竖向抗拔或单桩水平静载试验作为 验收检测方法时，检测数量应符合本条的规定。</w:t>
      </w:r>
    </w:p>
    <w:p>
      <w:pPr>
        <w:numPr>
          <w:ilvl w:val="0"/>
          <w:numId w:val="12"/>
        </w:numPr>
        <w:snapToGrid w:val="0"/>
        <w:spacing w:line="360" w:lineRule="auto"/>
        <w:ind w:left="1050" w:leftChars="300" w:hanging="420" w:hangingChars="200"/>
        <w:rPr>
          <w:rFonts w:hint="eastAsia" w:asciiTheme="minorEastAsia" w:hAnsiTheme="minorEastAsia"/>
          <w:bCs/>
          <w:kern w:val="0"/>
          <w:szCs w:val="21"/>
        </w:rPr>
      </w:pPr>
      <w:r>
        <w:rPr>
          <w:rFonts w:hint="eastAsia" w:asciiTheme="minorEastAsia" w:hAnsiTheme="minorEastAsia"/>
          <w:bCs/>
          <w:kern w:val="0"/>
          <w:szCs w:val="21"/>
        </w:rPr>
        <w:t>设计等级为乙级、丙级的桩基、满足高应变法适用范围的灌注桩或预制桩，可采用高应变法检测单桩竖向抗压承载力，检测数量不宜少于总桩数的5%，且不得少于10根。</w:t>
      </w:r>
    </w:p>
    <w:p>
      <w:pPr>
        <w:numPr>
          <w:ilvl w:val="0"/>
          <w:numId w:val="12"/>
        </w:numPr>
        <w:snapToGrid w:val="0"/>
        <w:spacing w:line="360" w:lineRule="auto"/>
        <w:ind w:left="1050" w:leftChars="300" w:hanging="420" w:hangingChars="200"/>
        <w:rPr>
          <w:rFonts w:hint="eastAsia" w:asciiTheme="minorEastAsia" w:hAnsiTheme="minorEastAsia"/>
          <w:bCs/>
          <w:kern w:val="0"/>
          <w:szCs w:val="21"/>
        </w:rPr>
      </w:pPr>
      <w:r>
        <w:rPr>
          <w:rFonts w:hint="eastAsia" w:asciiTheme="minorEastAsia" w:hAnsiTheme="minorEastAsia"/>
          <w:bCs/>
          <w:kern w:val="0"/>
          <w:szCs w:val="21"/>
        </w:rPr>
        <w:t>自平衡静载试验的检测数量应满足设计要求，不应少于同一条件下桩基分项工程总桩数的1%，且不应少于3根；当总桩数小于50根时，检测数量不应少于2根。对于大直径灌注桩，应先进行桩身声波透射法完整性检测，后进行承载力检测。</w:t>
      </w:r>
    </w:p>
    <w:p>
      <w:pPr>
        <w:snapToGrid w:val="0"/>
        <w:spacing w:line="360" w:lineRule="auto"/>
        <w:ind w:firstLine="420" w:firstLineChars="200"/>
        <w:rPr>
          <w:rFonts w:hint="eastAsia" w:asciiTheme="minorEastAsia" w:hAnsiTheme="minorEastAsia"/>
          <w:bCs/>
          <w:kern w:val="0"/>
          <w:szCs w:val="21"/>
        </w:rPr>
      </w:pPr>
      <w:r>
        <w:rPr>
          <w:rFonts w:hint="eastAsia" w:ascii="黑体" w:hAnsi="黑体" w:eastAsia="黑体" w:cs="黑体"/>
          <w:szCs w:val="21"/>
        </w:rPr>
        <w:t xml:space="preserve">2  </w:t>
      </w:r>
      <w:r>
        <w:rPr>
          <w:rFonts w:hint="eastAsia" w:asciiTheme="minorEastAsia" w:hAnsiTheme="minorEastAsia"/>
          <w:bCs/>
          <w:kern w:val="0"/>
          <w:szCs w:val="21"/>
        </w:rPr>
        <w:t>桩身完整性：</w:t>
      </w:r>
    </w:p>
    <w:p>
      <w:pPr>
        <w:numPr>
          <w:ilvl w:val="0"/>
          <w:numId w:val="13"/>
        </w:numPr>
        <w:snapToGrid w:val="0"/>
        <w:spacing w:line="360" w:lineRule="auto"/>
        <w:ind w:left="1050" w:leftChars="300" w:hanging="420" w:hangingChars="200"/>
        <w:rPr>
          <w:rFonts w:hint="eastAsia" w:asciiTheme="minorEastAsia" w:hAnsiTheme="minorEastAsia"/>
          <w:bCs/>
          <w:kern w:val="0"/>
          <w:szCs w:val="21"/>
        </w:rPr>
      </w:pPr>
      <w:r>
        <w:rPr>
          <w:rFonts w:hint="eastAsia" w:asciiTheme="minorEastAsia" w:hAnsiTheme="minorEastAsia"/>
          <w:bCs/>
          <w:kern w:val="0"/>
          <w:szCs w:val="21"/>
        </w:rPr>
        <w:t>建筑桩基设计等级为甲级，或地基条件复杂、成桩质量可靠性较低的灌注桩工程，检测数量不应少于总桩数的30%，且不应少于20根；其他桩基工程，检测数量不应少于总桩数的20%，且不应少于10根；另外，每个柱下承台检测桩数不应少于1根。</w:t>
      </w:r>
    </w:p>
    <w:p>
      <w:pPr>
        <w:numPr>
          <w:ilvl w:val="0"/>
          <w:numId w:val="13"/>
        </w:numPr>
        <w:snapToGrid w:val="0"/>
        <w:spacing w:line="360" w:lineRule="auto"/>
        <w:ind w:left="1050" w:leftChars="300" w:hanging="420" w:hangingChars="200"/>
        <w:rPr>
          <w:rFonts w:hint="eastAsia" w:asciiTheme="minorEastAsia" w:hAnsiTheme="minorEastAsia"/>
          <w:bCs/>
          <w:kern w:val="0"/>
          <w:szCs w:val="21"/>
        </w:rPr>
      </w:pPr>
      <w:r>
        <w:rPr>
          <w:rFonts w:hint="eastAsia" w:asciiTheme="minorEastAsia" w:hAnsiTheme="minorEastAsia"/>
          <w:bCs/>
          <w:kern w:val="0"/>
          <w:szCs w:val="21"/>
        </w:rPr>
        <w:t>大直径嵌岩灌注桩或设计等级为甲级的大直径灌注桩，应在本条第1款规定的检测桩数范围内，按不少于总桩数10%的比例采用声波透射法或钻芯法检测。</w:t>
      </w:r>
    </w:p>
    <w:p>
      <w:pPr>
        <w:numPr>
          <w:ilvl w:val="0"/>
          <w:numId w:val="13"/>
        </w:numPr>
        <w:snapToGrid w:val="0"/>
        <w:spacing w:line="360" w:lineRule="auto"/>
        <w:ind w:left="1050" w:leftChars="300" w:hanging="420" w:hangingChars="200"/>
        <w:rPr>
          <w:rFonts w:hint="eastAsia" w:ascii="黑体" w:hAnsi="黑体" w:eastAsia="黑体" w:cs="黑体"/>
          <w:szCs w:val="21"/>
        </w:rPr>
      </w:pPr>
      <w:r>
        <w:rPr>
          <w:rFonts w:hint="eastAsia" w:asciiTheme="minorEastAsia" w:hAnsiTheme="minorEastAsia"/>
          <w:bCs/>
          <w:kern w:val="0"/>
          <w:szCs w:val="21"/>
        </w:rPr>
        <w:t>桩身完整性检测，应在保证准确全面判定的原则上，首选适用、快速、经济的检测方法。当一种方法不能全面评判基桩完整性时，应采用两种或多种检测方法组合进行检测。</w:t>
      </w:r>
    </w:p>
    <w:p>
      <w:pPr>
        <w:numPr>
          <w:ilvl w:val="0"/>
          <w:numId w:val="13"/>
        </w:numPr>
        <w:snapToGrid w:val="0"/>
        <w:spacing w:line="360" w:lineRule="auto"/>
        <w:ind w:left="1050" w:leftChars="300" w:hanging="420" w:hangingChars="200"/>
        <w:rPr>
          <w:rFonts w:hint="eastAsia" w:asciiTheme="minorEastAsia" w:hAnsiTheme="minorEastAsia"/>
          <w:kern w:val="0"/>
          <w:szCs w:val="21"/>
        </w:rPr>
      </w:pPr>
      <w:r>
        <w:rPr>
          <w:rFonts w:hint="eastAsia" w:asciiTheme="minorEastAsia" w:hAnsiTheme="minorEastAsia"/>
          <w:kern w:val="0"/>
          <w:szCs w:val="21"/>
        </w:rPr>
        <w:t>采用低应变法时，每根受检桩应根据桩径大小，桩心对称布置2个～4个检测点。</w:t>
      </w:r>
    </w:p>
    <w:p>
      <w:pPr>
        <w:numPr>
          <w:ilvl w:val="0"/>
          <w:numId w:val="13"/>
        </w:numPr>
        <w:snapToGrid w:val="0"/>
        <w:spacing w:line="360" w:lineRule="auto"/>
        <w:ind w:left="1050" w:leftChars="300" w:hanging="420" w:hangingChars="200"/>
        <w:rPr>
          <w:rFonts w:hint="eastAsia" w:asciiTheme="minorEastAsia" w:hAnsiTheme="minorEastAsia"/>
          <w:kern w:val="0"/>
          <w:szCs w:val="21"/>
        </w:rPr>
      </w:pPr>
      <w:r>
        <w:rPr>
          <w:rFonts w:hint="eastAsia" w:asciiTheme="minorEastAsia" w:hAnsiTheme="minorEastAsia"/>
          <w:kern w:val="0"/>
          <w:szCs w:val="21"/>
        </w:rPr>
        <w:t>采用声波透射法时，每根受检桩预埋声测管应不少于2根，测点覆盖全管，测点距不应大于20cm。</w:t>
      </w:r>
    </w:p>
    <w:p>
      <w:pPr>
        <w:numPr>
          <w:ilvl w:val="0"/>
          <w:numId w:val="13"/>
        </w:numPr>
        <w:snapToGrid w:val="0"/>
        <w:spacing w:line="360" w:lineRule="auto"/>
        <w:ind w:left="1050" w:leftChars="300" w:hanging="420" w:hangingChars="200"/>
        <w:rPr>
          <w:rFonts w:hint="eastAsia" w:asciiTheme="minorEastAsia" w:hAnsiTheme="minorEastAsia"/>
          <w:kern w:val="0"/>
          <w:szCs w:val="21"/>
        </w:rPr>
      </w:pPr>
      <w:r>
        <w:rPr>
          <w:rFonts w:hint="eastAsia" w:asciiTheme="minorEastAsia" w:hAnsiTheme="minorEastAsia"/>
          <w:kern w:val="0"/>
          <w:szCs w:val="21"/>
        </w:rPr>
        <w:t>采用高应变法时，每根受检桩应布置1个测点。</w:t>
      </w:r>
    </w:p>
    <w:p>
      <w:pPr>
        <w:numPr>
          <w:ilvl w:val="0"/>
          <w:numId w:val="13"/>
        </w:numPr>
        <w:snapToGrid w:val="0"/>
        <w:spacing w:line="360" w:lineRule="auto"/>
        <w:ind w:left="1050" w:leftChars="300" w:hanging="420" w:hangingChars="200"/>
        <w:rPr>
          <w:rFonts w:hint="eastAsia" w:asciiTheme="minorEastAsia" w:hAnsiTheme="minorEastAsia"/>
          <w:kern w:val="0"/>
          <w:szCs w:val="21"/>
        </w:rPr>
      </w:pPr>
      <w:r>
        <w:rPr>
          <w:rFonts w:hint="eastAsia" w:asciiTheme="minorEastAsia" w:hAnsiTheme="minorEastAsia"/>
          <w:kern w:val="0"/>
          <w:szCs w:val="21"/>
        </w:rPr>
        <w:t>采用钻芯法时，桩径小于1.2m的桩的钻孔数量可为1个～2个孔；桩径为1.2m～1.6m的桩的钻孔数量宜为2个孔，桩径大于1.6m的桩的钻孔数量宜为3个孔。当钻芯孔为1个时，宜在距桩中心10cm～15cm的位置开孔；当钻芯孔为2个或以上时，开孔位置宜在距桩中心0.15倍～0.25倍桩径范围内均匀对称布置。</w:t>
      </w:r>
    </w:p>
    <w:p>
      <w:pPr>
        <w:snapToGrid w:val="0"/>
        <w:spacing w:line="360" w:lineRule="auto"/>
        <w:ind w:firstLine="420" w:firstLineChars="200"/>
        <w:rPr>
          <w:rFonts w:hint="eastAsia" w:asciiTheme="minorEastAsia" w:hAnsiTheme="minorEastAsia"/>
          <w:kern w:val="0"/>
          <w:szCs w:val="21"/>
        </w:rPr>
      </w:pPr>
      <w:r>
        <w:rPr>
          <w:rFonts w:hint="eastAsia" w:ascii="黑体" w:hAnsi="黑体" w:eastAsia="黑体" w:cs="黑体"/>
          <w:szCs w:val="21"/>
        </w:rPr>
        <w:t xml:space="preserve">3  </w:t>
      </w:r>
      <w:r>
        <w:rPr>
          <w:rFonts w:hint="eastAsia" w:asciiTheme="minorEastAsia" w:hAnsiTheme="minorEastAsia"/>
          <w:kern w:val="0"/>
          <w:szCs w:val="21"/>
        </w:rPr>
        <w:t>桩长：</w:t>
      </w:r>
    </w:p>
    <w:p>
      <w:pPr>
        <w:numPr>
          <w:ilvl w:val="0"/>
          <w:numId w:val="14"/>
        </w:numPr>
        <w:snapToGrid w:val="0"/>
        <w:spacing w:line="360" w:lineRule="auto"/>
        <w:ind w:left="630" w:leftChars="300"/>
        <w:rPr>
          <w:rFonts w:hint="eastAsia" w:asciiTheme="minorEastAsia" w:hAnsiTheme="minorEastAsia"/>
          <w:kern w:val="0"/>
          <w:szCs w:val="21"/>
        </w:rPr>
      </w:pPr>
      <w:r>
        <w:rPr>
          <w:rFonts w:hint="eastAsia" w:asciiTheme="minorEastAsia" w:hAnsiTheme="minorEastAsia"/>
          <w:kern w:val="0"/>
          <w:szCs w:val="21"/>
        </w:rPr>
        <w:t>采用钻芯法时，每根受检桩应布置不少于1个检测孔。</w:t>
      </w:r>
    </w:p>
    <w:p>
      <w:pPr>
        <w:numPr>
          <w:ilvl w:val="0"/>
          <w:numId w:val="14"/>
        </w:numPr>
        <w:snapToGrid w:val="0"/>
        <w:spacing w:line="360" w:lineRule="auto"/>
        <w:ind w:left="1050" w:leftChars="300" w:hanging="420" w:hangingChars="200"/>
        <w:rPr>
          <w:rFonts w:hint="eastAsia" w:asciiTheme="minorEastAsia" w:hAnsiTheme="minorEastAsia"/>
          <w:kern w:val="0"/>
          <w:szCs w:val="21"/>
        </w:rPr>
      </w:pPr>
      <w:r>
        <w:rPr>
          <w:rFonts w:hint="eastAsia" w:asciiTheme="minorEastAsia" w:hAnsiTheme="minorEastAsia"/>
          <w:kern w:val="0"/>
          <w:szCs w:val="21"/>
        </w:rPr>
        <w:t>采用磁测井法时，钻孔布置在距灌注桩外侧边缘不大于0.5m的土中，且钻孔中心线应平行于桩身中心线，钻孔深度宜大于钢筋笼底设计长度3m；测点覆盖全孔，测点距不应大于25cm；最终依据钢筋笼长度检测结果推测实际桩长。</w:t>
      </w:r>
    </w:p>
    <w:p>
      <w:pPr>
        <w:snapToGrid w:val="0"/>
        <w:spacing w:line="360" w:lineRule="auto"/>
        <w:ind w:firstLine="420" w:firstLineChars="200"/>
        <w:rPr>
          <w:rFonts w:hint="eastAsia" w:asciiTheme="minorEastAsia" w:hAnsiTheme="minorEastAsia"/>
          <w:bCs/>
          <w:kern w:val="0"/>
          <w:szCs w:val="21"/>
        </w:rPr>
      </w:pPr>
      <w:r>
        <w:rPr>
          <w:rFonts w:hint="eastAsia" w:ascii="黑体" w:hAnsi="黑体" w:eastAsia="黑体" w:cs="黑体"/>
          <w:szCs w:val="21"/>
        </w:rPr>
        <w:t xml:space="preserve">4  </w:t>
      </w:r>
      <w:r>
        <w:rPr>
          <w:rFonts w:hint="eastAsia" w:asciiTheme="minorEastAsia" w:hAnsiTheme="minorEastAsia"/>
          <w:kern w:val="0"/>
          <w:szCs w:val="21"/>
        </w:rPr>
        <w:t>成孔质量检测：</w:t>
      </w:r>
      <w:r>
        <w:rPr>
          <w:rFonts w:hint="eastAsia" w:asciiTheme="minorEastAsia" w:hAnsiTheme="minorEastAsia"/>
          <w:bCs/>
          <w:kern w:val="0"/>
          <w:szCs w:val="21"/>
        </w:rPr>
        <w:t>灌注桩成孔质量</w:t>
      </w:r>
      <w:r>
        <w:rPr>
          <w:rFonts w:hint="eastAsia" w:cs="宋体" w:asciiTheme="minorEastAsia" w:hAnsiTheme="minorEastAsia"/>
          <w:kern w:val="0"/>
          <w:szCs w:val="21"/>
        </w:rPr>
        <w:t>（孔深、孔径、垂直度、沉渣厚度等）</w:t>
      </w:r>
      <w:r>
        <w:rPr>
          <w:rFonts w:hint="eastAsia" w:asciiTheme="minorEastAsia" w:hAnsiTheme="minorEastAsia"/>
          <w:bCs/>
          <w:kern w:val="0"/>
          <w:szCs w:val="21"/>
        </w:rPr>
        <w:t>检测宜对全数孔进行检测；必要时，可采用2种或2种以上的检测方法相互补充、验证。</w:t>
      </w:r>
    </w:p>
    <w:p>
      <w:pPr>
        <w:snapToGrid w:val="0"/>
        <w:spacing w:line="360" w:lineRule="auto"/>
        <w:ind w:firstLine="420" w:firstLineChars="200"/>
        <w:rPr>
          <w:rFonts w:hint="eastAsia" w:cs="Times New Roman" w:asciiTheme="minorEastAsia" w:hAnsiTheme="minorEastAsia"/>
          <w:bCs/>
          <w:kern w:val="0"/>
          <w:szCs w:val="21"/>
        </w:rPr>
      </w:pPr>
      <w:r>
        <w:rPr>
          <w:rFonts w:hint="eastAsia" w:ascii="黑体" w:hAnsi="黑体" w:eastAsia="黑体" w:cs="黑体"/>
          <w:szCs w:val="21"/>
        </w:rPr>
        <w:t xml:space="preserve">5  </w:t>
      </w:r>
      <w:r>
        <w:rPr>
          <w:rFonts w:hint="eastAsia" w:cs="Times New Roman" w:asciiTheme="minorEastAsia" w:hAnsiTheme="minorEastAsia"/>
          <w:bCs/>
          <w:kern w:val="0"/>
          <w:szCs w:val="21"/>
        </w:rPr>
        <w:t>混凝土的强度：</w:t>
      </w:r>
    </w:p>
    <w:p>
      <w:pPr>
        <w:numPr>
          <w:ilvl w:val="0"/>
          <w:numId w:val="15"/>
        </w:numPr>
        <w:snapToGrid w:val="0"/>
        <w:spacing w:line="360" w:lineRule="auto"/>
        <w:ind w:left="1050" w:leftChars="300" w:hanging="420" w:hangingChars="200"/>
        <w:rPr>
          <w:rFonts w:hint="eastAsia" w:cs="Times New Roman" w:asciiTheme="minorEastAsia" w:hAnsiTheme="minorEastAsia"/>
          <w:bCs/>
          <w:kern w:val="0"/>
          <w:szCs w:val="21"/>
        </w:rPr>
      </w:pPr>
      <w:r>
        <w:rPr>
          <w:rFonts w:hint="eastAsia" w:cs="Times New Roman" w:asciiTheme="minorEastAsia" w:hAnsiTheme="minorEastAsia"/>
          <w:bCs/>
          <w:kern w:val="0"/>
          <w:szCs w:val="21"/>
        </w:rPr>
        <w:t>基桩桩身混凝土钻芯检测，应采用单动双管钻具钻取芯样，严禁使用单动单管钻具。</w:t>
      </w:r>
    </w:p>
    <w:p>
      <w:pPr>
        <w:numPr>
          <w:ilvl w:val="0"/>
          <w:numId w:val="15"/>
        </w:numPr>
        <w:snapToGrid w:val="0"/>
        <w:spacing w:line="360" w:lineRule="auto"/>
        <w:ind w:left="1050" w:leftChars="300" w:hanging="420" w:hangingChars="200"/>
        <w:rPr>
          <w:rFonts w:hint="eastAsia" w:asciiTheme="minorEastAsia" w:hAnsiTheme="minorEastAsia"/>
          <w:kern w:val="0"/>
          <w:szCs w:val="21"/>
        </w:rPr>
      </w:pPr>
      <w:r>
        <w:rPr>
          <w:rFonts w:hint="eastAsia" w:cs="Times New Roman" w:asciiTheme="minorEastAsia" w:hAnsiTheme="minorEastAsia"/>
          <w:bCs/>
          <w:kern w:val="0"/>
          <w:szCs w:val="21"/>
        </w:rPr>
        <w:t>当桩长小于10m时，每孔应截取2组芯样；当桩长为10m～30m时，每孔应截取3组芯样；当桩长大于30m时，每孔应截取芯样不少于4组；每组混凝土芯样应制作3个抗压试件，试件的加工和测量，以及混凝土芯样试件的抗压强度试验应执行相关规范的规定</w:t>
      </w:r>
      <w:r>
        <w:rPr>
          <w:rFonts w:hint="eastAsia" w:asciiTheme="minorEastAsia" w:hAnsiTheme="minorEastAsia"/>
          <w:kern w:val="0"/>
          <w:szCs w:val="21"/>
        </w:rPr>
        <w:t>。</w:t>
      </w:r>
    </w:p>
    <w:p>
      <w:pPr>
        <w:spacing w:line="360" w:lineRule="auto"/>
        <w:rPr>
          <w:rFonts w:hint="eastAsia" w:cs="黑体" w:asciiTheme="minorEastAsia" w:hAnsiTheme="minorEastAsia"/>
          <w:snapToGrid w:val="0"/>
          <w:color w:val="000000" w:themeColor="text1"/>
          <w:kern w:val="0"/>
          <w:sz w:val="24"/>
          <w:szCs w:val="24"/>
          <w14:textFill>
            <w14:solidFill>
              <w14:schemeClr w14:val="tx1"/>
            </w14:solidFill>
          </w14:textFill>
        </w:rPr>
      </w:pPr>
      <w:r>
        <w:rPr>
          <w:rFonts w:hint="eastAsia" w:ascii="黑体" w:hAnsi="黑体" w:eastAsia="黑体" w:cs="黑体"/>
          <w:szCs w:val="21"/>
        </w:rPr>
        <w:t>4.5.5</w:t>
      </w:r>
      <w:r>
        <w:rPr>
          <w:rFonts w:hint="eastAsia" w:cs="黑体" w:asciiTheme="minorEastAsia" w:hAnsiTheme="minorEastAsia"/>
          <w:b/>
          <w:snapToGrid w:val="0"/>
          <w:color w:val="000000" w:themeColor="text1"/>
          <w:kern w:val="0"/>
          <w:szCs w:val="21"/>
          <w14:textFill>
            <w14:solidFill>
              <w14:schemeClr w14:val="tx1"/>
            </w14:solidFill>
          </w14:textFill>
        </w:rPr>
        <w:t xml:space="preserve"> </w:t>
      </w:r>
      <w:r>
        <w:rPr>
          <w:rFonts w:hint="eastAsia" w:cs="黑体" w:asciiTheme="minorEastAsia" w:hAnsiTheme="minorEastAsia"/>
          <w:snapToGrid w:val="0"/>
          <w:color w:val="000000" w:themeColor="text1"/>
          <w:kern w:val="0"/>
          <w:szCs w:val="21"/>
          <w14:textFill>
            <w14:solidFill>
              <w14:schemeClr w14:val="tx1"/>
            </w14:solidFill>
          </w14:textFill>
        </w:rPr>
        <w:t xml:space="preserve"> 检测结果达到以下要求的，</w:t>
      </w:r>
      <w:r>
        <w:rPr>
          <w:rFonts w:hint="eastAsia" w:asciiTheme="minorEastAsia" w:hAnsiTheme="minorEastAsia"/>
          <w:color w:val="000000" w:themeColor="text1"/>
          <w:szCs w:val="21"/>
          <w14:textFill>
            <w14:solidFill>
              <w14:schemeClr w14:val="tx1"/>
            </w14:solidFill>
          </w14:textFill>
        </w:rPr>
        <w:t>质量检测结果</w:t>
      </w:r>
      <w:r>
        <w:rPr>
          <w:rFonts w:hint="eastAsia" w:cs="黑体" w:asciiTheme="minorEastAsia" w:hAnsiTheme="minorEastAsia"/>
          <w:snapToGrid w:val="0"/>
          <w:color w:val="000000" w:themeColor="text1"/>
          <w:kern w:val="0"/>
          <w:szCs w:val="21"/>
          <w14:textFill>
            <w14:solidFill>
              <w14:schemeClr w14:val="tx1"/>
            </w14:solidFill>
          </w14:textFill>
        </w:rPr>
        <w:t>评价为合格：</w:t>
      </w:r>
    </w:p>
    <w:p>
      <w:pPr>
        <w:snapToGrid w:val="0"/>
        <w:spacing w:line="360" w:lineRule="auto"/>
        <w:ind w:firstLine="420" w:firstLineChars="200"/>
        <w:rPr>
          <w:rFonts w:hint="eastAsia" w:asciiTheme="minorEastAsia" w:hAnsiTheme="minorEastAsia"/>
          <w:snapToGrid w:val="0"/>
          <w:color w:val="000000"/>
          <w:kern w:val="0"/>
          <w:szCs w:val="21"/>
        </w:rPr>
      </w:pPr>
      <w:r>
        <w:rPr>
          <w:rFonts w:hint="eastAsia" w:ascii="黑体" w:hAnsi="黑体" w:eastAsia="黑体" w:cs="黑体"/>
          <w:szCs w:val="21"/>
        </w:rPr>
        <w:t xml:space="preserve">1  </w:t>
      </w:r>
      <w:r>
        <w:rPr>
          <w:rFonts w:hint="eastAsia" w:asciiTheme="minorEastAsia" w:hAnsiTheme="minorEastAsia"/>
          <w:kern w:val="0"/>
          <w:szCs w:val="21"/>
        </w:rPr>
        <w:t>混凝土灌注桩的承载力、桩身完整性、桩长、</w:t>
      </w:r>
      <w:r>
        <w:rPr>
          <w:rFonts w:hint="eastAsia" w:cs="宋体" w:asciiTheme="minorEastAsia" w:hAnsiTheme="minorEastAsia"/>
          <w:kern w:val="0"/>
          <w:szCs w:val="21"/>
        </w:rPr>
        <w:t>成孔质量</w:t>
      </w:r>
      <w:r>
        <w:rPr>
          <w:rFonts w:hint="eastAsia" w:asciiTheme="minorEastAsia" w:hAnsiTheme="minorEastAsia"/>
          <w:kern w:val="0"/>
          <w:szCs w:val="21"/>
        </w:rPr>
        <w:t>及混凝土的强度</w:t>
      </w:r>
      <w:r>
        <w:rPr>
          <w:rFonts w:hint="eastAsia" w:asciiTheme="minorEastAsia" w:hAnsiTheme="minorEastAsia"/>
          <w:snapToGrid w:val="0"/>
          <w:color w:val="000000"/>
          <w:kern w:val="0"/>
          <w:szCs w:val="21"/>
        </w:rPr>
        <w:t>：检测结果应达到设计和技术标准要求。</w:t>
      </w:r>
    </w:p>
    <w:p>
      <w:pPr>
        <w:snapToGrid w:val="0"/>
        <w:spacing w:line="360" w:lineRule="auto"/>
        <w:ind w:firstLine="420" w:firstLineChars="200"/>
        <w:rPr>
          <w:rFonts w:hint="eastAsia" w:asciiTheme="minorEastAsia" w:hAnsiTheme="minorEastAsia"/>
          <w:snapToGrid w:val="0"/>
          <w:color w:val="000000"/>
          <w:kern w:val="0"/>
          <w:szCs w:val="21"/>
        </w:rPr>
      </w:pPr>
      <w:r>
        <w:rPr>
          <w:rFonts w:hint="eastAsia" w:ascii="黑体" w:hAnsi="黑体" w:eastAsia="黑体" w:cs="黑体"/>
          <w:szCs w:val="21"/>
        </w:rPr>
        <w:t xml:space="preserve">2  </w:t>
      </w:r>
      <w:r>
        <w:rPr>
          <w:rFonts w:hint="eastAsia" w:asciiTheme="minorEastAsia" w:hAnsiTheme="minorEastAsia"/>
          <w:kern w:val="0"/>
          <w:szCs w:val="21"/>
        </w:rPr>
        <w:t>混凝土预制桩（包括预应力管桩）的承载力及桩身完整性：</w:t>
      </w:r>
      <w:r>
        <w:rPr>
          <w:rFonts w:hint="eastAsia" w:asciiTheme="minorEastAsia" w:hAnsiTheme="minorEastAsia"/>
          <w:snapToGrid w:val="0"/>
          <w:color w:val="000000"/>
          <w:kern w:val="0"/>
          <w:szCs w:val="21"/>
        </w:rPr>
        <w:t>检测结果应达到设计和技术标准要求。</w:t>
      </w:r>
    </w:p>
    <w:p>
      <w:pPr>
        <w:snapToGrid w:val="0"/>
        <w:spacing w:line="360" w:lineRule="auto"/>
        <w:ind w:firstLine="420" w:firstLineChars="200"/>
        <w:rPr>
          <w:rFonts w:hint="eastAsia" w:asciiTheme="minorEastAsia" w:hAnsiTheme="minorEastAsia"/>
          <w:snapToGrid w:val="0"/>
          <w:color w:val="000000"/>
          <w:kern w:val="0"/>
          <w:szCs w:val="21"/>
        </w:rPr>
      </w:pPr>
      <w:r>
        <w:rPr>
          <w:rFonts w:hint="eastAsia" w:ascii="黑体" w:hAnsi="黑体" w:eastAsia="黑体" w:cs="黑体"/>
          <w:szCs w:val="21"/>
        </w:rPr>
        <w:t xml:space="preserve">3  </w:t>
      </w:r>
      <w:r>
        <w:rPr>
          <w:rFonts w:hint="eastAsia" w:asciiTheme="minorEastAsia" w:hAnsiTheme="minorEastAsia"/>
          <w:kern w:val="0"/>
          <w:szCs w:val="21"/>
        </w:rPr>
        <w:t>钢桩的承载力：</w:t>
      </w:r>
      <w:r>
        <w:rPr>
          <w:rFonts w:hint="eastAsia" w:asciiTheme="minorEastAsia" w:hAnsiTheme="minorEastAsia"/>
          <w:snapToGrid w:val="0"/>
          <w:color w:val="000000"/>
          <w:kern w:val="0"/>
          <w:szCs w:val="21"/>
        </w:rPr>
        <w:t>检测结果应达到设计和技术标准要求。</w:t>
      </w:r>
    </w:p>
    <w:p>
      <w:pPr>
        <w:snapToGrid w:val="0"/>
        <w:spacing w:line="360" w:lineRule="auto"/>
        <w:ind w:firstLine="420" w:firstLineChars="200"/>
        <w:rPr>
          <w:rFonts w:hint="eastAsia" w:asciiTheme="minorEastAsia" w:hAnsiTheme="minorEastAsia"/>
          <w:snapToGrid w:val="0"/>
          <w:color w:val="000000"/>
          <w:kern w:val="0"/>
          <w:szCs w:val="21"/>
        </w:rPr>
      </w:pPr>
      <w:r>
        <w:rPr>
          <w:rFonts w:hint="eastAsia" w:ascii="黑体" w:hAnsi="黑体" w:eastAsia="黑体" w:cs="黑体"/>
          <w:szCs w:val="21"/>
        </w:rPr>
        <w:t xml:space="preserve">4  </w:t>
      </w:r>
      <w:r>
        <w:rPr>
          <w:rFonts w:hint="eastAsia" w:asciiTheme="minorEastAsia" w:hAnsiTheme="minorEastAsia"/>
          <w:snapToGrid w:val="0"/>
          <w:color w:val="000000"/>
          <w:kern w:val="0"/>
          <w:szCs w:val="21"/>
        </w:rPr>
        <w:t>其他类型基桩检测项目的检测结果应达到设计和技术标准要求。</w:t>
      </w:r>
    </w:p>
    <w:p>
      <w:pPr>
        <w:snapToGrid w:val="0"/>
        <w:spacing w:line="360" w:lineRule="auto"/>
        <w:ind w:firstLine="480" w:firstLineChars="200"/>
        <w:rPr>
          <w:rFonts w:hint="eastAsia" w:asciiTheme="minorEastAsia" w:hAnsiTheme="minorEastAsia"/>
          <w:snapToGrid w:val="0"/>
          <w:color w:val="000000"/>
          <w:kern w:val="0"/>
          <w:sz w:val="24"/>
          <w:szCs w:val="24"/>
        </w:rPr>
      </w:pPr>
    </w:p>
    <w:p>
      <w:pPr>
        <w:pStyle w:val="3"/>
        <w:snapToGrid w:val="0"/>
        <w:spacing w:beforeLines="50" w:afterLines="50" w:line="360" w:lineRule="auto"/>
        <w:jc w:val="center"/>
        <w:rPr>
          <w:rFonts w:ascii="黑体" w:hAnsi="黑体" w:cs="黑体"/>
          <w:sz w:val="24"/>
          <w:szCs w:val="24"/>
        </w:rPr>
      </w:pPr>
      <w:bookmarkStart w:id="43" w:name="_Toc18870"/>
      <w:r>
        <w:rPr>
          <w:rFonts w:ascii="黑体" w:hAnsi="黑体" w:cs="黑体"/>
          <w:sz w:val="24"/>
          <w:szCs w:val="24"/>
        </w:rPr>
        <w:t>4.6  支护工程</w:t>
      </w:r>
      <w:bookmarkEnd w:id="43"/>
    </w:p>
    <w:p>
      <w:bookmarkStart w:id="44" w:name="_Toc19009"/>
      <w:bookmarkStart w:id="45" w:name="_Toc28089"/>
      <w:bookmarkStart w:id="46" w:name="_Toc28075"/>
      <w:bookmarkStart w:id="47" w:name="_Toc32166"/>
      <w:bookmarkStart w:id="48" w:name="_Toc1605"/>
      <w:bookmarkStart w:id="49" w:name="_Toc13275"/>
      <w:r>
        <w:rPr>
          <w:rFonts w:hint="eastAsia" w:ascii="黑体" w:hAnsi="黑体" w:eastAsia="黑体" w:cs="黑体"/>
          <w:szCs w:val="21"/>
        </w:rPr>
        <w:t xml:space="preserve">4.6.1  </w:t>
      </w:r>
      <w:r>
        <w:t>检测项目</w:t>
      </w:r>
      <w:r>
        <w:rPr>
          <w:rFonts w:hint="eastAsia"/>
        </w:rPr>
        <w:t>宜</w:t>
      </w:r>
      <w:r>
        <w:t>包括以下内容：</w:t>
      </w:r>
      <w:bookmarkEnd w:id="44"/>
      <w:bookmarkEnd w:id="45"/>
      <w:bookmarkEnd w:id="46"/>
      <w:bookmarkEnd w:id="47"/>
      <w:bookmarkEnd w:id="48"/>
      <w:bookmarkEnd w:id="49"/>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1 </w:t>
      </w:r>
      <w:r>
        <w:rPr>
          <w:rFonts w:hint="eastAsia" w:cs="黑体" w:asciiTheme="minorEastAsia" w:hAnsiTheme="minorEastAsia"/>
          <w:snapToGrid w:val="0"/>
          <w:color w:val="000000"/>
          <w:kern w:val="0"/>
          <w:szCs w:val="21"/>
        </w:rPr>
        <w:t xml:space="preserve"> </w:t>
      </w:r>
      <w:r>
        <w:rPr>
          <w:rFonts w:hint="eastAsia" w:cs="Times New Roman" w:asciiTheme="minorEastAsia" w:hAnsiTheme="minorEastAsia"/>
          <w:bCs/>
          <w:snapToGrid w:val="0"/>
          <w:color w:val="000000"/>
          <w:kern w:val="0"/>
          <w:szCs w:val="21"/>
        </w:rPr>
        <w:t>锚杆检测宜包括检测锚杆长度、注浆饱满度、锚固质量检测。</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2</w:t>
      </w:r>
      <w:r>
        <w:rPr>
          <w:rFonts w:hint="eastAsia" w:cs="黑体" w:asciiTheme="minorEastAsia" w:hAnsiTheme="minorEastAsia"/>
          <w:snapToGrid w:val="0"/>
          <w:color w:val="000000"/>
          <w:kern w:val="0"/>
          <w:szCs w:val="21"/>
        </w:rPr>
        <w:t xml:space="preserve">  </w:t>
      </w:r>
      <w:r>
        <w:rPr>
          <w:rFonts w:hint="eastAsia" w:cs="Times New Roman" w:asciiTheme="minorEastAsia" w:hAnsiTheme="minorEastAsia"/>
          <w:bCs/>
          <w:snapToGrid w:val="0"/>
          <w:color w:val="000000"/>
          <w:kern w:val="0"/>
          <w:szCs w:val="21"/>
        </w:rPr>
        <w:t>锚筋桩检测宜包括检测锚筋桩长度</w:t>
      </w:r>
      <w:r>
        <w:rPr>
          <w:rFonts w:hint="eastAsia" w:cs="黑体" w:asciiTheme="minorEastAsia" w:hAnsiTheme="minorEastAsia"/>
          <w:snapToGrid w:val="0"/>
          <w:color w:val="000000"/>
          <w:kern w:val="0"/>
          <w:szCs w:val="21"/>
        </w:rPr>
        <w:t>、</w:t>
      </w:r>
      <w:r>
        <w:rPr>
          <w:rFonts w:hint="eastAsia" w:cs="Times New Roman" w:asciiTheme="minorEastAsia" w:hAnsiTheme="minorEastAsia"/>
          <w:bCs/>
          <w:snapToGrid w:val="0"/>
          <w:color w:val="000000"/>
          <w:kern w:val="0"/>
          <w:szCs w:val="21"/>
        </w:rPr>
        <w:t>注浆饱满度。</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3</w:t>
      </w:r>
      <w:r>
        <w:rPr>
          <w:rFonts w:cs="Arial" w:asciiTheme="minorEastAsia" w:hAnsiTheme="minorEastAsia"/>
          <w:snapToGrid w:val="0"/>
          <w:color w:val="000000"/>
          <w:kern w:val="0"/>
          <w:szCs w:val="21"/>
        </w:rPr>
        <w:t xml:space="preserve"> </w:t>
      </w:r>
      <w:r>
        <w:rPr>
          <w:rFonts w:hint="eastAsia" w:cs="Arial" w:asciiTheme="minorEastAsia" w:hAnsiTheme="minorEastAsia"/>
          <w:snapToGrid w:val="0"/>
          <w:color w:val="000000"/>
          <w:kern w:val="0"/>
          <w:szCs w:val="21"/>
        </w:rPr>
        <w:t xml:space="preserve"> </w:t>
      </w:r>
      <w:r>
        <w:rPr>
          <w:rFonts w:hint="eastAsia" w:cs="Times New Roman" w:asciiTheme="minorEastAsia" w:hAnsiTheme="minorEastAsia"/>
          <w:bCs/>
          <w:snapToGrid w:val="0"/>
          <w:color w:val="000000"/>
          <w:kern w:val="0"/>
          <w:szCs w:val="21"/>
        </w:rPr>
        <w:t>锚索检测宜包括检测锚索孔的孔位、孔径、孔斜、孔深，锚索孔锚固段岩体质量检测；锚索长度、锚索锚固质量检测。</w:t>
      </w:r>
    </w:p>
    <w:p>
      <w:pPr>
        <w:snapToGrid w:val="0"/>
        <w:spacing w:line="360" w:lineRule="auto"/>
        <w:ind w:firstLine="420" w:firstLineChars="200"/>
        <w:rPr>
          <w:rFonts w:hint="eastAsia" w:asciiTheme="minorEastAsia" w:hAnsiTheme="minorEastAsia"/>
          <w:kern w:val="0"/>
          <w:szCs w:val="21"/>
        </w:rPr>
      </w:pPr>
      <w:r>
        <w:rPr>
          <w:rFonts w:hint="eastAsia" w:ascii="黑体" w:hAnsi="黑体" w:eastAsia="黑体" w:cs="黑体"/>
          <w:szCs w:val="21"/>
        </w:rPr>
        <w:t xml:space="preserve">4 </w:t>
      </w:r>
      <w:r>
        <w:rPr>
          <w:rFonts w:hint="eastAsia" w:asciiTheme="minorEastAsia" w:hAnsiTheme="minorEastAsia"/>
          <w:szCs w:val="21"/>
        </w:rPr>
        <w:t xml:space="preserve"> 喷射混凝土检测宜</w:t>
      </w:r>
      <w:r>
        <w:rPr>
          <w:rFonts w:hint="eastAsia" w:asciiTheme="minorEastAsia" w:hAnsiTheme="minorEastAsia"/>
          <w:kern w:val="0"/>
          <w:szCs w:val="21"/>
        </w:rPr>
        <w:t>应包括抗压强度、厚度、与围岩黏结程度、挂网位置和范围。</w:t>
      </w:r>
    </w:p>
    <w:p>
      <w:pPr>
        <w:spacing w:line="360" w:lineRule="auto"/>
        <w:rPr>
          <w:rFonts w:hint="eastAsia" w:asciiTheme="minorEastAsia" w:hAnsiTheme="minorEastAsia"/>
          <w:kern w:val="0"/>
          <w:szCs w:val="21"/>
        </w:rPr>
      </w:pPr>
      <w:r>
        <w:rPr>
          <w:rFonts w:hint="eastAsia" w:ascii="黑体" w:hAnsi="黑体" w:eastAsia="黑体" w:cs="黑体"/>
          <w:szCs w:val="21"/>
        </w:rPr>
        <w:t xml:space="preserve">4.6.2  </w:t>
      </w:r>
      <w:r>
        <w:rPr>
          <w:rFonts w:hint="eastAsia" w:asciiTheme="minorEastAsia" w:hAnsiTheme="minorEastAsia"/>
          <w:kern w:val="0"/>
          <w:szCs w:val="21"/>
        </w:rPr>
        <w:t>检测单元应根据工程特点和施工情况划分：</w:t>
      </w:r>
    </w:p>
    <w:p>
      <w:pPr>
        <w:spacing w:line="360" w:lineRule="auto"/>
        <w:ind w:firstLine="420" w:firstLineChars="200"/>
        <w:rPr>
          <w:rFonts w:hint="eastAsia" w:asciiTheme="minorEastAsia" w:hAnsiTheme="minorEastAsia"/>
          <w:kern w:val="0"/>
          <w:szCs w:val="21"/>
        </w:rPr>
      </w:pPr>
      <w:r>
        <w:rPr>
          <w:rFonts w:hint="eastAsia" w:ascii="黑体" w:hAnsi="黑体" w:eastAsia="黑体" w:cs="黑体"/>
          <w:szCs w:val="21"/>
        </w:rPr>
        <w:t xml:space="preserve">1  </w:t>
      </w:r>
      <w:r>
        <w:rPr>
          <w:rFonts w:hint="eastAsia" w:asciiTheme="minorEastAsia" w:hAnsiTheme="minorEastAsia"/>
          <w:kern w:val="0"/>
          <w:szCs w:val="21"/>
        </w:rPr>
        <w:t>锚杆应以锚固面不大于30m</w:t>
      </w:r>
      <w:r>
        <w:rPr>
          <w:rFonts w:hint="eastAsia" w:asciiTheme="minorEastAsia" w:hAnsiTheme="minorEastAsia"/>
          <w:kern w:val="0"/>
          <w:szCs w:val="21"/>
          <w:vertAlign w:val="superscript"/>
        </w:rPr>
        <w:t>2</w:t>
      </w:r>
      <w:r>
        <w:rPr>
          <w:rFonts w:hint="eastAsia" w:asciiTheme="minorEastAsia" w:hAnsiTheme="minorEastAsia"/>
          <w:kern w:val="0"/>
          <w:szCs w:val="21"/>
        </w:rPr>
        <w:t>作为1个检测单元。</w:t>
      </w:r>
    </w:p>
    <w:p>
      <w:pPr>
        <w:spacing w:line="360" w:lineRule="auto"/>
        <w:ind w:firstLine="420" w:firstLineChars="200"/>
        <w:rPr>
          <w:rFonts w:hint="eastAsia" w:asciiTheme="minorEastAsia" w:hAnsiTheme="minorEastAsia"/>
          <w:color w:val="ED0000"/>
          <w:kern w:val="0"/>
          <w:szCs w:val="21"/>
        </w:rPr>
      </w:pPr>
      <w:r>
        <w:rPr>
          <w:rFonts w:hint="eastAsia" w:ascii="黑体" w:hAnsi="黑体" w:eastAsia="黑体" w:cs="黑体"/>
          <w:szCs w:val="21"/>
        </w:rPr>
        <w:t xml:space="preserve">2  </w:t>
      </w:r>
      <w:r>
        <w:rPr>
          <w:rFonts w:hint="eastAsia" w:asciiTheme="minorEastAsia" w:hAnsiTheme="minorEastAsia"/>
          <w:kern w:val="0"/>
          <w:szCs w:val="21"/>
        </w:rPr>
        <w:t>锚筋桩、锚索应以单桩、单索作为1个检测单元。</w:t>
      </w:r>
    </w:p>
    <w:p>
      <w:pPr>
        <w:spacing w:line="360" w:lineRule="auto"/>
        <w:ind w:firstLine="420" w:firstLineChars="200"/>
        <w:rPr>
          <w:rFonts w:hint="eastAsia" w:ascii="黑体" w:hAnsi="黑体" w:eastAsia="黑体" w:cs="黑体"/>
          <w:szCs w:val="21"/>
        </w:rPr>
      </w:pPr>
      <w:r>
        <w:rPr>
          <w:rFonts w:hint="eastAsia" w:ascii="黑体" w:hAnsi="黑体" w:eastAsia="黑体" w:cs="黑体"/>
          <w:szCs w:val="21"/>
        </w:rPr>
        <w:t>3</w:t>
      </w:r>
      <w:r>
        <w:rPr>
          <w:rFonts w:hint="eastAsia" w:asciiTheme="minorEastAsia" w:hAnsiTheme="minorEastAsia"/>
          <w:kern w:val="0"/>
          <w:szCs w:val="21"/>
        </w:rPr>
        <w:t xml:space="preserve">  喷射混凝土每个检测单元面积应不大于50m</w:t>
      </w:r>
      <w:r>
        <w:rPr>
          <w:rFonts w:hint="eastAsia" w:asciiTheme="minorEastAsia" w:hAnsiTheme="minorEastAsia"/>
          <w:kern w:val="0"/>
          <w:szCs w:val="21"/>
          <w:vertAlign w:val="superscript"/>
        </w:rPr>
        <w:t>2</w:t>
      </w:r>
      <w:r>
        <w:rPr>
          <w:rFonts w:hint="eastAsia" w:asciiTheme="minorEastAsia" w:hAnsiTheme="minorEastAsia"/>
          <w:kern w:val="0"/>
          <w:szCs w:val="21"/>
        </w:rPr>
        <w:t>。</w:t>
      </w:r>
      <w:bookmarkStart w:id="50" w:name="_Toc24795"/>
      <w:bookmarkStart w:id="51" w:name="_Toc1776"/>
      <w:bookmarkStart w:id="52" w:name="_Toc19779"/>
      <w:bookmarkStart w:id="53" w:name="_Toc18919"/>
      <w:bookmarkStart w:id="54" w:name="_Toc439"/>
    </w:p>
    <w:p>
      <w:pPr>
        <w:spacing w:line="360" w:lineRule="auto"/>
        <w:rPr>
          <w:rFonts w:hint="eastAsia" w:asciiTheme="minorEastAsia" w:hAnsiTheme="minorEastAsia"/>
          <w:color w:val="FF0000"/>
          <w:kern w:val="0"/>
          <w:szCs w:val="21"/>
        </w:rPr>
      </w:pPr>
      <w:r>
        <w:rPr>
          <w:rFonts w:hint="eastAsia" w:ascii="黑体" w:hAnsi="黑体" w:eastAsia="黑体" w:cs="黑体"/>
          <w:szCs w:val="21"/>
        </w:rPr>
        <w:t xml:space="preserve">4.6.3 </w:t>
      </w:r>
      <w:r>
        <w:rPr>
          <w:rFonts w:cs="Times New Roman" w:asciiTheme="minorEastAsia" w:hAnsiTheme="minorEastAsia"/>
          <w:b/>
          <w:kern w:val="0"/>
          <w:szCs w:val="21"/>
        </w:rPr>
        <w:t xml:space="preserve"> </w:t>
      </w:r>
      <w:r>
        <w:rPr>
          <w:rFonts w:cs="Times New Roman" w:asciiTheme="minorEastAsia" w:hAnsiTheme="minorEastAsia"/>
          <w:bCs/>
          <w:kern w:val="0"/>
          <w:szCs w:val="21"/>
        </w:rPr>
        <w:t>检测方法应符合下列要求：</w:t>
      </w:r>
      <w:bookmarkEnd w:id="50"/>
      <w:bookmarkEnd w:id="51"/>
      <w:bookmarkEnd w:id="52"/>
      <w:bookmarkEnd w:id="53"/>
      <w:bookmarkEnd w:id="54"/>
      <w:r>
        <w:rPr>
          <w:rFonts w:hint="eastAsia" w:asciiTheme="minorEastAsia" w:hAnsiTheme="minorEastAsia"/>
          <w:color w:val="FF0000"/>
          <w:kern w:val="0"/>
          <w:szCs w:val="21"/>
        </w:rPr>
        <w:t xml:space="preserve"> </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1</w:t>
      </w:r>
      <w:r>
        <w:rPr>
          <w:rFonts w:hint="eastAsia" w:cs="Arial" w:asciiTheme="minorEastAsia" w:hAnsiTheme="minorEastAsia"/>
          <w:snapToGrid w:val="0"/>
          <w:color w:val="000000"/>
          <w:kern w:val="0"/>
          <w:szCs w:val="21"/>
        </w:rPr>
        <w:t xml:space="preserve">  </w:t>
      </w:r>
      <w:r>
        <w:rPr>
          <w:rFonts w:hint="eastAsia" w:cs="Times New Roman" w:asciiTheme="minorEastAsia" w:hAnsiTheme="minorEastAsia"/>
          <w:bCs/>
          <w:snapToGrid w:val="0"/>
          <w:color w:val="000000"/>
          <w:kern w:val="0"/>
          <w:szCs w:val="21"/>
        </w:rPr>
        <w:t>锚杆：</w:t>
      </w:r>
    </w:p>
    <w:p>
      <w:pPr>
        <w:numPr>
          <w:ilvl w:val="0"/>
          <w:numId w:val="16"/>
        </w:numPr>
        <w:snapToGrid w:val="0"/>
        <w:spacing w:line="360" w:lineRule="auto"/>
        <w:ind w:left="630" w:leftChars="300"/>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锚杆长度：锚杆外露长度应采用钢尺量测，锚固长度应采用声波反射法。</w:t>
      </w:r>
    </w:p>
    <w:p>
      <w:pPr>
        <w:numPr>
          <w:ilvl w:val="0"/>
          <w:numId w:val="16"/>
        </w:numPr>
        <w:snapToGrid w:val="0"/>
        <w:spacing w:line="360" w:lineRule="auto"/>
        <w:ind w:left="630" w:leftChars="300"/>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注浆饱满度应采用声波反射法。</w:t>
      </w:r>
    </w:p>
    <w:p>
      <w:pPr>
        <w:numPr>
          <w:ilvl w:val="0"/>
          <w:numId w:val="16"/>
        </w:numPr>
        <w:snapToGrid w:val="0"/>
        <w:spacing w:line="360" w:lineRule="auto"/>
        <w:ind w:left="1050" w:leftChars="300" w:hanging="420" w:hangingChars="200"/>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锚固质量检测应采用拉拔试验。预应力锚杆应采用单循环张拉验收试验或多循环张拉验收试验。</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2</w:t>
      </w:r>
      <w:r>
        <w:rPr>
          <w:rFonts w:hint="eastAsia" w:cs="黑体" w:asciiTheme="minorEastAsia" w:hAnsiTheme="minorEastAsia"/>
          <w:snapToGrid w:val="0"/>
          <w:color w:val="000000"/>
          <w:kern w:val="0"/>
          <w:szCs w:val="21"/>
        </w:rPr>
        <w:t xml:space="preserve">  </w:t>
      </w:r>
      <w:r>
        <w:rPr>
          <w:rFonts w:hint="eastAsia" w:cs="Times New Roman" w:asciiTheme="minorEastAsia" w:hAnsiTheme="minorEastAsia"/>
          <w:bCs/>
          <w:snapToGrid w:val="0"/>
          <w:color w:val="000000"/>
          <w:kern w:val="0"/>
          <w:szCs w:val="21"/>
        </w:rPr>
        <w:t>锚筋桩：</w:t>
      </w:r>
    </w:p>
    <w:p>
      <w:pPr>
        <w:numPr>
          <w:ilvl w:val="0"/>
          <w:numId w:val="17"/>
        </w:numPr>
        <w:snapToGrid w:val="0"/>
        <w:spacing w:line="360" w:lineRule="auto"/>
        <w:ind w:left="630" w:leftChars="300"/>
        <w:rPr>
          <w:rFonts w:hint="eastAsia" w:cs="Arial" w:asciiTheme="minorEastAsia" w:hAnsiTheme="minorEastAsia"/>
          <w:snapToGrid w:val="0"/>
          <w:color w:val="000000"/>
          <w:kern w:val="0"/>
          <w:szCs w:val="21"/>
        </w:rPr>
      </w:pPr>
      <w:r>
        <w:rPr>
          <w:rFonts w:hint="eastAsia" w:cs="Times New Roman" w:asciiTheme="minorEastAsia" w:hAnsiTheme="minorEastAsia"/>
          <w:bCs/>
          <w:snapToGrid w:val="0"/>
          <w:color w:val="000000"/>
          <w:kern w:val="0"/>
          <w:szCs w:val="21"/>
        </w:rPr>
        <w:t>长度：锚杆外露长度应采用采用钢尺量测，锚固长度应采用声波反射法。</w:t>
      </w:r>
    </w:p>
    <w:p>
      <w:pPr>
        <w:numPr>
          <w:ilvl w:val="0"/>
          <w:numId w:val="17"/>
        </w:numPr>
        <w:snapToGrid w:val="0"/>
        <w:spacing w:line="360" w:lineRule="auto"/>
        <w:ind w:left="630" w:leftChars="300"/>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注浆饱满度应采用声波反射法。</w:t>
      </w:r>
    </w:p>
    <w:p>
      <w:pPr>
        <w:widowControl/>
        <w:kinsoku w:val="0"/>
        <w:autoSpaceDE w:val="0"/>
        <w:autoSpaceDN w:val="0"/>
        <w:adjustRightInd w:val="0"/>
        <w:snapToGrid w:val="0"/>
        <w:spacing w:line="360" w:lineRule="auto"/>
        <w:ind w:firstLine="420" w:firstLineChars="200"/>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3 </w:t>
      </w:r>
      <w:r>
        <w:rPr>
          <w:rFonts w:hint="eastAsia" w:cs="Arial" w:asciiTheme="minorEastAsia" w:hAnsiTheme="minorEastAsia"/>
          <w:snapToGrid w:val="0"/>
          <w:color w:val="000000"/>
          <w:kern w:val="0"/>
          <w:szCs w:val="21"/>
        </w:rPr>
        <w:t xml:space="preserve"> </w:t>
      </w:r>
      <w:r>
        <w:rPr>
          <w:rFonts w:hint="eastAsia" w:cs="Times New Roman" w:asciiTheme="minorEastAsia" w:hAnsiTheme="minorEastAsia"/>
          <w:bCs/>
          <w:snapToGrid w:val="0"/>
          <w:color w:val="000000"/>
          <w:kern w:val="0"/>
          <w:szCs w:val="21"/>
        </w:rPr>
        <w:t>锚索</w:t>
      </w:r>
    </w:p>
    <w:p>
      <w:pPr>
        <w:numPr>
          <w:ilvl w:val="0"/>
          <w:numId w:val="18"/>
        </w:numPr>
        <w:snapToGrid w:val="0"/>
        <w:spacing w:line="360" w:lineRule="auto"/>
        <w:ind w:left="1050" w:leftChars="300" w:hanging="420" w:hangingChars="200"/>
        <w:rPr>
          <w:rFonts w:hint="eastAsia" w:cs="Arial" w:asciiTheme="minorEastAsia" w:hAnsiTheme="minorEastAsia"/>
          <w:snapToGrid w:val="0"/>
          <w:color w:val="000000"/>
          <w:kern w:val="0"/>
          <w:szCs w:val="21"/>
        </w:rPr>
      </w:pPr>
      <w:r>
        <w:rPr>
          <w:rFonts w:hint="eastAsia" w:cs="Times New Roman" w:asciiTheme="minorEastAsia" w:hAnsiTheme="minorEastAsia"/>
          <w:bCs/>
          <w:snapToGrid w:val="0"/>
          <w:color w:val="000000"/>
          <w:kern w:val="0"/>
          <w:szCs w:val="21"/>
        </w:rPr>
        <w:t>锚索孔：孔位宜采用RTK、全站仪、钢卷尺等检测；孔径宜采用游标卡尺、直尺等检测；孔斜应采用测斜仪检测；孔深宜采用探孔设备、测深仪、直尺等检测；锚固段岩体质量宜采用钻孔电视、单孔声波等检测</w:t>
      </w:r>
      <w:r>
        <w:rPr>
          <w:rFonts w:cs="Arial" w:asciiTheme="minorEastAsia" w:hAnsiTheme="minorEastAsia"/>
          <w:snapToGrid w:val="0"/>
          <w:color w:val="000000"/>
          <w:kern w:val="0"/>
          <w:szCs w:val="21"/>
        </w:rPr>
        <w:t>。</w:t>
      </w:r>
    </w:p>
    <w:p>
      <w:pPr>
        <w:numPr>
          <w:ilvl w:val="0"/>
          <w:numId w:val="18"/>
        </w:numPr>
        <w:snapToGrid w:val="0"/>
        <w:spacing w:line="360" w:lineRule="auto"/>
        <w:ind w:left="1050" w:leftChars="300" w:hanging="420" w:hangingChars="200"/>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锚索长度应采用卷尺等检测</w:t>
      </w:r>
    </w:p>
    <w:p>
      <w:pPr>
        <w:numPr>
          <w:ilvl w:val="0"/>
          <w:numId w:val="18"/>
        </w:numPr>
        <w:snapToGrid w:val="0"/>
        <w:spacing w:line="360" w:lineRule="auto"/>
        <w:ind w:left="1050" w:leftChars="300" w:hanging="420" w:hangingChars="200"/>
        <w:rPr>
          <w:rFonts w:hint="eastAsia" w:cs="Arial" w:asciiTheme="minorEastAsia" w:hAnsiTheme="minorEastAsia"/>
          <w:snapToGrid w:val="0"/>
          <w:color w:val="000000"/>
          <w:kern w:val="0"/>
          <w:szCs w:val="21"/>
        </w:rPr>
      </w:pPr>
      <w:r>
        <w:rPr>
          <w:rFonts w:hint="eastAsia" w:cs="Arial" w:asciiTheme="minorEastAsia" w:hAnsiTheme="minorEastAsia"/>
          <w:snapToGrid w:val="0"/>
          <w:color w:val="000000"/>
          <w:kern w:val="0"/>
          <w:szCs w:val="21"/>
        </w:rPr>
        <w:t>锚固质量检测</w:t>
      </w:r>
      <w:r>
        <w:rPr>
          <w:rFonts w:cs="Arial" w:asciiTheme="minorEastAsia" w:hAnsiTheme="minorEastAsia"/>
          <w:snapToGrid w:val="0"/>
          <w:color w:val="000000"/>
          <w:kern w:val="0"/>
          <w:szCs w:val="21"/>
        </w:rPr>
        <w:t>：</w:t>
      </w:r>
      <w:r>
        <w:rPr>
          <w:rFonts w:hint="eastAsia" w:cs="Arial" w:asciiTheme="minorEastAsia" w:hAnsiTheme="minorEastAsia"/>
          <w:snapToGrid w:val="0"/>
          <w:color w:val="000000"/>
          <w:kern w:val="0"/>
          <w:szCs w:val="21"/>
        </w:rPr>
        <w:t>锚索锚固质量检测包括基本试验、蠕变试验和验收试验。基本试验应采用多循环张拉，分5～8级加载到最大试验载荷；蠕变试验应采用多循环张拉，分6级进行加载到1.2倍设计载荷，每级荷载应按持荷时间间隔1、2、3、4、5、10、15、20、30、45、60、90、120、150、180、210、240、270、300、330、360min记录蠕变量；验收试验应采用锚索单循环张拉验收试验或锚索多循环张拉验收试验。</w:t>
      </w:r>
    </w:p>
    <w:p>
      <w:pPr>
        <w:snapToGrid w:val="0"/>
        <w:spacing w:line="360" w:lineRule="auto"/>
        <w:ind w:firstLine="420" w:firstLineChars="200"/>
        <w:rPr>
          <w:rFonts w:hint="eastAsia" w:cs="Times New Roman" w:asciiTheme="minorEastAsia" w:hAnsiTheme="minorEastAsia"/>
          <w:b/>
          <w:kern w:val="0"/>
          <w:szCs w:val="21"/>
        </w:rPr>
      </w:pPr>
      <w:r>
        <w:rPr>
          <w:rFonts w:hint="eastAsia" w:ascii="黑体" w:hAnsi="黑体" w:eastAsia="黑体" w:cs="黑体"/>
          <w:szCs w:val="21"/>
        </w:rPr>
        <w:t xml:space="preserve">4  </w:t>
      </w:r>
      <w:r>
        <w:rPr>
          <w:rFonts w:hint="eastAsia" w:asciiTheme="minorEastAsia" w:hAnsiTheme="minorEastAsia"/>
          <w:szCs w:val="21"/>
        </w:rPr>
        <w:t>喷射混凝土：</w:t>
      </w:r>
    </w:p>
    <w:p>
      <w:pPr>
        <w:snapToGrid w:val="0"/>
        <w:spacing w:line="360" w:lineRule="auto"/>
        <w:ind w:left="630" w:leftChars="300"/>
        <w:rPr>
          <w:rFonts w:hint="eastAsia" w:asciiTheme="minorEastAsia" w:hAnsiTheme="minorEastAsia"/>
          <w:kern w:val="0"/>
          <w:szCs w:val="21"/>
        </w:rPr>
      </w:pPr>
      <w:r>
        <w:rPr>
          <w:rFonts w:hint="eastAsia" w:ascii="黑体" w:hAnsi="黑体" w:eastAsia="黑体" w:cs="黑体"/>
          <w:szCs w:val="21"/>
        </w:rPr>
        <w:t>1）</w:t>
      </w:r>
      <w:r>
        <w:rPr>
          <w:rFonts w:hint="eastAsia" w:asciiTheme="minorEastAsia" w:hAnsiTheme="minorEastAsia"/>
          <w:kern w:val="0"/>
          <w:szCs w:val="21"/>
        </w:rPr>
        <w:t xml:space="preserve"> 抗压强度检测宜采用现场切割或钻芯取样的方法。</w:t>
      </w:r>
    </w:p>
    <w:p>
      <w:pPr>
        <w:snapToGrid w:val="0"/>
        <w:spacing w:line="360" w:lineRule="auto"/>
        <w:ind w:left="1050" w:leftChars="300" w:hanging="420" w:hangingChars="200"/>
        <w:rPr>
          <w:rFonts w:hint="eastAsia" w:asciiTheme="minorEastAsia" w:hAnsiTheme="minorEastAsia"/>
          <w:kern w:val="0"/>
          <w:szCs w:val="21"/>
        </w:rPr>
      </w:pPr>
      <w:r>
        <w:rPr>
          <w:rFonts w:hint="eastAsia" w:ascii="黑体" w:hAnsi="黑体" w:eastAsia="黑体" w:cs="黑体"/>
          <w:szCs w:val="21"/>
        </w:rPr>
        <w:t>2）</w:t>
      </w:r>
      <w:r>
        <w:rPr>
          <w:rFonts w:hint="eastAsia" w:asciiTheme="minorEastAsia" w:hAnsiTheme="minorEastAsia"/>
          <w:kern w:val="0"/>
          <w:szCs w:val="21"/>
        </w:rPr>
        <w:t xml:space="preserve"> 厚度检测应根据喷射混凝土材料和工程情况采用切割或钻芯尺量法、探地雷达法或声波反射法。</w:t>
      </w:r>
    </w:p>
    <w:p>
      <w:pPr>
        <w:snapToGrid w:val="0"/>
        <w:spacing w:line="360" w:lineRule="auto"/>
        <w:ind w:left="1050" w:leftChars="300" w:hanging="420" w:hangingChars="200"/>
        <w:rPr>
          <w:rFonts w:hint="eastAsia" w:asciiTheme="minorEastAsia" w:hAnsiTheme="minorEastAsia"/>
          <w:kern w:val="0"/>
          <w:szCs w:val="21"/>
        </w:rPr>
      </w:pPr>
      <w:r>
        <w:rPr>
          <w:rFonts w:hint="eastAsia" w:ascii="黑体" w:hAnsi="黑体" w:eastAsia="黑体" w:cs="黑体"/>
          <w:szCs w:val="21"/>
        </w:rPr>
        <w:t xml:space="preserve">3） </w:t>
      </w:r>
      <w:r>
        <w:rPr>
          <w:rFonts w:hint="eastAsia" w:asciiTheme="minorEastAsia" w:hAnsiTheme="minorEastAsia"/>
          <w:kern w:val="0"/>
          <w:szCs w:val="21"/>
        </w:rPr>
        <w:t>与围岩黏结强度试验采用可在现场采用对被钻芯隔离的混凝土试件进行拉拔试验完成，也可在试验室采用对钻取的芯样进行拉力试验完成。</w:t>
      </w:r>
    </w:p>
    <w:p>
      <w:pPr>
        <w:snapToGrid w:val="0"/>
        <w:spacing w:line="360" w:lineRule="auto"/>
        <w:ind w:left="630" w:leftChars="300"/>
        <w:rPr>
          <w:rFonts w:hint="eastAsia" w:asciiTheme="minorEastAsia" w:hAnsiTheme="minorEastAsia"/>
          <w:kern w:val="0"/>
          <w:szCs w:val="21"/>
        </w:rPr>
      </w:pPr>
      <w:r>
        <w:rPr>
          <w:rFonts w:hint="eastAsia" w:ascii="黑体" w:hAnsi="黑体" w:eastAsia="黑体" w:cs="黑体"/>
          <w:szCs w:val="21"/>
        </w:rPr>
        <w:t xml:space="preserve">4） </w:t>
      </w:r>
      <w:r>
        <w:rPr>
          <w:rFonts w:hint="eastAsia" w:asciiTheme="minorEastAsia" w:hAnsiTheme="minorEastAsia"/>
          <w:kern w:val="0"/>
          <w:szCs w:val="21"/>
        </w:rPr>
        <w:t>挂网位置和范围检测应采用探地雷达法。</w:t>
      </w:r>
    </w:p>
    <w:p>
      <w:pPr>
        <w:spacing w:line="360" w:lineRule="auto"/>
        <w:rPr>
          <w:rFonts w:hint="eastAsia" w:cs="Arial" w:asciiTheme="minorEastAsia" w:hAnsiTheme="minorEastAsia"/>
          <w:snapToGrid w:val="0"/>
          <w:color w:val="000000"/>
          <w:kern w:val="0"/>
          <w:szCs w:val="21"/>
        </w:rPr>
      </w:pPr>
      <w:r>
        <w:rPr>
          <w:rFonts w:hint="eastAsia" w:ascii="黑体" w:hAnsi="黑体" w:eastAsia="黑体" w:cs="黑体"/>
          <w:szCs w:val="21"/>
        </w:rPr>
        <w:t xml:space="preserve">4.6.4 </w:t>
      </w:r>
      <w:r>
        <w:rPr>
          <w:rFonts w:cs="黑体" w:asciiTheme="minorEastAsia" w:hAnsiTheme="minorEastAsia"/>
          <w:snapToGrid w:val="0"/>
          <w:color w:val="000000"/>
          <w:kern w:val="0"/>
          <w:szCs w:val="21"/>
        </w:rPr>
        <w:t xml:space="preserve"> </w:t>
      </w:r>
      <w:r>
        <w:rPr>
          <w:rFonts w:cs="Arial" w:asciiTheme="minorEastAsia" w:hAnsiTheme="minorEastAsia"/>
          <w:snapToGrid w:val="0"/>
          <w:color w:val="000000"/>
          <w:kern w:val="0"/>
          <w:szCs w:val="21"/>
        </w:rPr>
        <w:t>检测工作布置应符合下列要求</w:t>
      </w:r>
      <w:r>
        <w:rPr>
          <w:rFonts w:hint="eastAsia" w:cs="Arial" w:asciiTheme="minorEastAsia" w:hAnsiTheme="minorEastAsia"/>
          <w:snapToGrid w:val="0"/>
          <w:color w:val="000000"/>
          <w:kern w:val="0"/>
          <w:szCs w:val="21"/>
        </w:rPr>
        <w:t>：</w:t>
      </w:r>
    </w:p>
    <w:p>
      <w:pPr>
        <w:widowControl/>
        <w:kinsoku w:val="0"/>
        <w:autoSpaceDE w:val="0"/>
        <w:autoSpaceDN w:val="0"/>
        <w:adjustRightInd w:val="0"/>
        <w:snapToGrid w:val="0"/>
        <w:spacing w:line="360" w:lineRule="auto"/>
        <w:ind w:firstLine="420" w:firstLineChars="200"/>
        <w:jc w:val="left"/>
        <w:textAlignment w:val="baseline"/>
        <w:rPr>
          <w:rFonts w:hint="eastAsia" w:cs="Times New Roman" w:asciiTheme="minorEastAsia" w:hAnsiTheme="minorEastAsia"/>
          <w:bCs/>
          <w:snapToGrid w:val="0"/>
          <w:color w:val="000000"/>
          <w:kern w:val="0"/>
          <w:szCs w:val="21"/>
        </w:rPr>
      </w:pPr>
      <w:r>
        <w:rPr>
          <w:rFonts w:hint="eastAsia" w:ascii="黑体" w:hAnsi="黑体" w:eastAsia="黑体" w:cs="黑体"/>
          <w:szCs w:val="21"/>
        </w:rPr>
        <w:t xml:space="preserve">1 </w:t>
      </w:r>
      <w:r>
        <w:rPr>
          <w:rFonts w:hint="eastAsia" w:cs="黑体" w:asciiTheme="minorEastAsia" w:hAnsiTheme="minorEastAsia"/>
          <w:snapToGrid w:val="0"/>
          <w:color w:val="000000"/>
          <w:kern w:val="0"/>
          <w:szCs w:val="21"/>
        </w:rPr>
        <w:t xml:space="preserve"> </w:t>
      </w:r>
      <w:r>
        <w:rPr>
          <w:rFonts w:hint="eastAsia" w:cs="Times New Roman" w:asciiTheme="minorEastAsia" w:hAnsiTheme="minorEastAsia"/>
          <w:bCs/>
          <w:snapToGrid w:val="0"/>
          <w:color w:val="000000"/>
          <w:kern w:val="0"/>
          <w:szCs w:val="21"/>
        </w:rPr>
        <w:t>锚杆、锚筋桩长度及密实检测：</w:t>
      </w:r>
    </w:p>
    <w:p>
      <w:pPr>
        <w:numPr>
          <w:ilvl w:val="0"/>
          <w:numId w:val="19"/>
        </w:numPr>
        <w:snapToGrid w:val="0"/>
        <w:spacing w:line="360" w:lineRule="auto"/>
        <w:ind w:left="1050" w:leftChars="300" w:hanging="420" w:hangingChars="200"/>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常规部位永久锚杆（锚筋桩）抽检比例不应小于锚杆总数的10%，且不少于10根。</w:t>
      </w:r>
    </w:p>
    <w:p>
      <w:pPr>
        <w:numPr>
          <w:ilvl w:val="0"/>
          <w:numId w:val="19"/>
        </w:numPr>
        <w:snapToGrid w:val="0"/>
        <w:spacing w:line="360" w:lineRule="auto"/>
        <w:ind w:left="1050" w:leftChars="300" w:hanging="420" w:hangingChars="200"/>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岩锚梁等关键部位的锚杆应100%检测。</w:t>
      </w:r>
    </w:p>
    <w:p>
      <w:pPr>
        <w:numPr>
          <w:ilvl w:val="0"/>
          <w:numId w:val="19"/>
        </w:numPr>
        <w:snapToGrid w:val="0"/>
        <w:spacing w:line="360" w:lineRule="auto"/>
        <w:ind w:left="1050" w:leftChars="300" w:hanging="420" w:hangingChars="200"/>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临时工程锚杆检测抽样比例不应低于锚杆总数的3%，且应不少于5根。</w:t>
      </w:r>
    </w:p>
    <w:p>
      <w:pPr>
        <w:numPr>
          <w:ilvl w:val="0"/>
          <w:numId w:val="19"/>
        </w:numPr>
        <w:snapToGrid w:val="0"/>
        <w:spacing w:line="360" w:lineRule="auto"/>
        <w:ind w:left="1050" w:leftChars="300" w:hanging="420" w:hangingChars="200"/>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当出现不合格锚杆、锚筋桩时，应扩大抽检，扩大抽检的数量应为不合格锚杆、锚筋桩数量的2倍。</w:t>
      </w:r>
    </w:p>
    <w:p>
      <w:pPr>
        <w:numPr>
          <w:ilvl w:val="0"/>
          <w:numId w:val="19"/>
        </w:numPr>
        <w:snapToGrid w:val="0"/>
        <w:spacing w:line="360" w:lineRule="auto"/>
        <w:ind w:left="1050" w:leftChars="300" w:hanging="420" w:hangingChars="200"/>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锚杆锚固质量检测：普通锚杆锚固质量检测抽检比例为锚杆总数的1%，且不少于3根；预应力锚杆必须进行验收试验，其中占预应力锚杆总量5%且不少于3根的锚杆应进行多循环张拉验收试验，占预应力锚杆总量95%的锚杆应进行单循环张拉验收试验。</w:t>
      </w:r>
    </w:p>
    <w:p>
      <w:pPr>
        <w:widowControl/>
        <w:kinsoku w:val="0"/>
        <w:autoSpaceDE w:val="0"/>
        <w:autoSpaceDN w:val="0"/>
        <w:adjustRightInd w:val="0"/>
        <w:snapToGrid w:val="0"/>
        <w:spacing w:line="360" w:lineRule="auto"/>
        <w:ind w:firstLine="420" w:firstLineChars="200"/>
        <w:textAlignment w:val="baseline"/>
        <w:rPr>
          <w:rFonts w:hint="eastAsia" w:cs="Arial" w:asciiTheme="minorEastAsia" w:hAnsiTheme="minorEastAsia"/>
          <w:snapToGrid w:val="0"/>
          <w:color w:val="000000"/>
          <w:kern w:val="0"/>
          <w:szCs w:val="21"/>
        </w:rPr>
      </w:pPr>
      <w:r>
        <w:rPr>
          <w:rFonts w:hint="eastAsia" w:ascii="黑体" w:hAnsi="黑体" w:eastAsia="黑体" w:cs="黑体"/>
          <w:szCs w:val="21"/>
        </w:rPr>
        <w:t xml:space="preserve">2 </w:t>
      </w:r>
      <w:r>
        <w:rPr>
          <w:rFonts w:hint="eastAsia" w:cs="黑体" w:asciiTheme="minorEastAsia" w:hAnsiTheme="minorEastAsia"/>
          <w:snapToGrid w:val="0"/>
          <w:color w:val="000000"/>
          <w:kern w:val="0"/>
          <w:szCs w:val="21"/>
        </w:rPr>
        <w:t xml:space="preserve"> </w:t>
      </w:r>
      <w:r>
        <w:rPr>
          <w:rFonts w:hint="eastAsia" w:cs="Times New Roman" w:asciiTheme="minorEastAsia" w:hAnsiTheme="minorEastAsia"/>
          <w:bCs/>
          <w:snapToGrid w:val="0"/>
          <w:color w:val="000000"/>
          <w:kern w:val="0"/>
          <w:szCs w:val="21"/>
        </w:rPr>
        <w:t>锚索：</w:t>
      </w:r>
    </w:p>
    <w:p>
      <w:pPr>
        <w:numPr>
          <w:ilvl w:val="0"/>
          <w:numId w:val="20"/>
        </w:numPr>
        <w:snapToGrid w:val="0"/>
        <w:spacing w:line="360" w:lineRule="auto"/>
        <w:ind w:left="1050" w:leftChars="300" w:hanging="420" w:hangingChars="200"/>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锚索孔的孔位、孔径、孔斜、孔深应全部检测，锚索孔锚固段岩体质量按不少于锚索孔总数的10%进行抽检。</w:t>
      </w:r>
    </w:p>
    <w:p>
      <w:pPr>
        <w:numPr>
          <w:ilvl w:val="0"/>
          <w:numId w:val="20"/>
        </w:numPr>
        <w:snapToGrid w:val="0"/>
        <w:spacing w:line="360" w:lineRule="auto"/>
        <w:ind w:left="1050" w:leftChars="300" w:hanging="420" w:hangingChars="200"/>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锚索长度应全部检测。</w:t>
      </w:r>
    </w:p>
    <w:p>
      <w:pPr>
        <w:numPr>
          <w:ilvl w:val="0"/>
          <w:numId w:val="20"/>
        </w:numPr>
        <w:snapToGrid w:val="0"/>
        <w:spacing w:line="360" w:lineRule="auto"/>
        <w:ind w:left="1050" w:leftChars="300" w:hanging="420" w:hangingChars="200"/>
        <w:rPr>
          <w:rFonts w:hint="eastAsia" w:cs="Times New Roman" w:asciiTheme="minorEastAsia" w:hAnsiTheme="minorEastAsia"/>
          <w:bCs/>
          <w:snapToGrid w:val="0"/>
          <w:color w:val="000000"/>
          <w:kern w:val="0"/>
          <w:szCs w:val="21"/>
        </w:rPr>
      </w:pPr>
      <w:r>
        <w:rPr>
          <w:rFonts w:hint="eastAsia" w:cs="Times New Roman" w:asciiTheme="minorEastAsia" w:hAnsiTheme="minorEastAsia"/>
          <w:bCs/>
          <w:snapToGrid w:val="0"/>
          <w:color w:val="000000"/>
          <w:kern w:val="0"/>
          <w:szCs w:val="21"/>
        </w:rPr>
        <w:t>锚固质量检测：锚索基本试验地层条件、参数、杆体、施工工艺应与工程锚索相同，且试验数量不应少于3根；塑性指数大于17的土层、强风化的泥岩或节理裂隙发育张开且充填有黏性土的锚索应进行蠕变试验，蠕变试验的锚索数量不得少于3根；工程锚索必须进行验收试验，其中占锚索总量5%且不少于3根的锚索应进行多循环张拉验收试验，占锚索总量95%的锚索应进行单循环张拉验收试验。试验方法应执行GB 50086的规定。</w:t>
      </w:r>
    </w:p>
    <w:p>
      <w:pPr>
        <w:snapToGrid w:val="0"/>
        <w:spacing w:line="360" w:lineRule="auto"/>
        <w:ind w:firstLine="420" w:firstLineChars="200"/>
        <w:rPr>
          <w:rFonts w:hint="eastAsia" w:asciiTheme="minorEastAsia" w:hAnsiTheme="minorEastAsia"/>
          <w:szCs w:val="21"/>
        </w:rPr>
      </w:pPr>
      <w:r>
        <w:rPr>
          <w:rFonts w:hint="eastAsia" w:ascii="黑体" w:hAnsi="黑体" w:eastAsia="黑体" w:cs="黑体"/>
          <w:szCs w:val="21"/>
        </w:rPr>
        <w:t xml:space="preserve">3 </w:t>
      </w:r>
      <w:r>
        <w:rPr>
          <w:rFonts w:hint="eastAsia" w:asciiTheme="minorEastAsia" w:hAnsiTheme="minorEastAsia"/>
          <w:szCs w:val="21"/>
        </w:rPr>
        <w:t xml:space="preserve"> 喷射混凝土：</w:t>
      </w:r>
    </w:p>
    <w:p>
      <w:pPr>
        <w:numPr>
          <w:ilvl w:val="0"/>
          <w:numId w:val="21"/>
        </w:numPr>
        <w:snapToGrid w:val="0"/>
        <w:spacing w:line="360" w:lineRule="auto"/>
        <w:ind w:left="630" w:leftChars="300"/>
        <w:rPr>
          <w:rFonts w:hint="eastAsia" w:asciiTheme="minorEastAsia" w:hAnsiTheme="minorEastAsia"/>
          <w:kern w:val="0"/>
          <w:szCs w:val="21"/>
        </w:rPr>
      </w:pPr>
      <w:r>
        <w:rPr>
          <w:rFonts w:hint="eastAsia" w:asciiTheme="minorEastAsia" w:hAnsiTheme="minorEastAsia"/>
          <w:kern w:val="0"/>
          <w:szCs w:val="21"/>
        </w:rPr>
        <w:t>检测抗压强度应随机布置3个测点，每个测点取样1组，每组不少于3个试件。</w:t>
      </w:r>
    </w:p>
    <w:p>
      <w:pPr>
        <w:numPr>
          <w:ilvl w:val="0"/>
          <w:numId w:val="21"/>
        </w:numPr>
        <w:snapToGrid w:val="0"/>
        <w:spacing w:line="360" w:lineRule="auto"/>
        <w:ind w:left="1050" w:leftChars="300" w:hanging="420" w:hangingChars="200"/>
        <w:rPr>
          <w:rFonts w:hint="eastAsia" w:asciiTheme="minorEastAsia" w:hAnsiTheme="minorEastAsia"/>
          <w:kern w:val="0"/>
          <w:szCs w:val="21"/>
        </w:rPr>
      </w:pPr>
      <w:r>
        <w:rPr>
          <w:rFonts w:hint="eastAsia" w:asciiTheme="minorEastAsia" w:hAnsiTheme="minorEastAsia"/>
          <w:kern w:val="0"/>
          <w:szCs w:val="21"/>
        </w:rPr>
        <w:t>检测厚度采用切割或钻芯尺量法时，应均匀间隔布置不少于3个测点，可结合抗压强度现场取样同步进行；采用雷达法或声波反射法检测时,可与挂网位置和范围检测同步进行。探地雷达法检测宜沿测线采用连续模式进行，如因工程条件限制，无法进行连续模式检测时，也可沿测线进行点测，点测间距不宜大于0.05m；声波反射法测点间距与雷达法相同。</w:t>
      </w:r>
    </w:p>
    <w:p>
      <w:pPr>
        <w:snapToGrid w:val="0"/>
        <w:spacing w:line="360" w:lineRule="auto"/>
        <w:ind w:left="1050" w:leftChars="300" w:hanging="420" w:hangingChars="200"/>
        <w:rPr>
          <w:rFonts w:hint="eastAsia" w:asciiTheme="minorEastAsia" w:hAnsiTheme="minorEastAsia"/>
          <w:kern w:val="0"/>
          <w:szCs w:val="21"/>
        </w:rPr>
      </w:pPr>
      <w:r>
        <w:rPr>
          <w:rFonts w:hint="eastAsia" w:ascii="黑体" w:hAnsi="黑体" w:eastAsia="黑体" w:cs="黑体"/>
          <w:szCs w:val="21"/>
        </w:rPr>
        <w:t xml:space="preserve">3)  </w:t>
      </w:r>
      <w:r>
        <w:rPr>
          <w:rFonts w:hint="eastAsia" w:asciiTheme="minorEastAsia" w:hAnsiTheme="minorEastAsia"/>
          <w:kern w:val="0"/>
          <w:szCs w:val="21"/>
        </w:rPr>
        <w:t>检测与围岩黏结强度应随机布置3个测点，每个测点取样1组，每组不少于3个试件。</w:t>
      </w:r>
    </w:p>
    <w:p>
      <w:pPr>
        <w:snapToGrid w:val="0"/>
        <w:spacing w:line="360" w:lineRule="auto"/>
        <w:ind w:left="1047" w:leftChars="300" w:hanging="417" w:hangingChars="199"/>
        <w:rPr>
          <w:rFonts w:hint="eastAsia" w:asciiTheme="minorEastAsia" w:hAnsiTheme="minorEastAsia"/>
          <w:kern w:val="0"/>
          <w:szCs w:val="21"/>
        </w:rPr>
      </w:pPr>
      <w:r>
        <w:rPr>
          <w:rFonts w:hint="eastAsia" w:ascii="黑体" w:hAnsi="黑体" w:eastAsia="黑体" w:cs="黑体"/>
          <w:szCs w:val="21"/>
        </w:rPr>
        <w:t xml:space="preserve">4)  </w:t>
      </w:r>
      <w:r>
        <w:rPr>
          <w:rFonts w:hint="eastAsia" w:cs="Times New Roman" w:asciiTheme="minorEastAsia" w:hAnsiTheme="minorEastAsia"/>
          <w:kern w:val="0"/>
          <w:szCs w:val="21"/>
        </w:rPr>
        <w:t>检测挂网位置和范围应在喷射混凝土表面布设纵向或横向或垂直交叉的测线，测线间距不大于1m，均匀覆盖全部检测面</w:t>
      </w:r>
      <w:r>
        <w:rPr>
          <w:rFonts w:hint="eastAsia" w:asciiTheme="minorEastAsia" w:hAnsiTheme="minorEastAsia"/>
          <w:kern w:val="0"/>
          <w:szCs w:val="21"/>
        </w:rPr>
        <w:t>。</w:t>
      </w:r>
    </w:p>
    <w:p>
      <w:pPr>
        <w:snapToGrid w:val="0"/>
        <w:spacing w:line="360" w:lineRule="auto"/>
        <w:rPr>
          <w:rFonts w:hint="eastAsia" w:asciiTheme="minorEastAsia" w:hAnsiTheme="minorEastAsia"/>
          <w:kern w:val="0"/>
          <w:szCs w:val="21"/>
        </w:rPr>
      </w:pPr>
      <w:r>
        <w:rPr>
          <w:rFonts w:hint="eastAsia" w:ascii="黑体" w:hAnsi="黑体" w:eastAsia="黑体" w:cs="黑体"/>
          <w:szCs w:val="21"/>
        </w:rPr>
        <w:t xml:space="preserve">4.6.5  </w:t>
      </w:r>
      <w:r>
        <w:rPr>
          <w:rFonts w:hint="eastAsia" w:cs="黑体" w:asciiTheme="minorEastAsia" w:hAnsiTheme="minorEastAsia"/>
          <w:snapToGrid w:val="0"/>
          <w:color w:val="000000"/>
          <w:kern w:val="0"/>
          <w:szCs w:val="21"/>
        </w:rPr>
        <w:t>检测结果达到以下</w:t>
      </w:r>
      <w:r>
        <w:rPr>
          <w:rFonts w:hint="eastAsia" w:cs="黑体" w:asciiTheme="minorEastAsia" w:hAnsiTheme="minorEastAsia"/>
          <w:snapToGrid w:val="0"/>
          <w:color w:val="000000" w:themeColor="text1"/>
          <w:kern w:val="0"/>
          <w:szCs w:val="21"/>
          <w14:textFill>
            <w14:solidFill>
              <w14:schemeClr w14:val="tx1"/>
            </w14:solidFill>
          </w14:textFill>
        </w:rPr>
        <w:t>要求的，</w:t>
      </w:r>
      <w:r>
        <w:rPr>
          <w:rFonts w:hint="eastAsia" w:asciiTheme="minorEastAsia" w:hAnsiTheme="minorEastAsia"/>
          <w:color w:val="000000" w:themeColor="text1"/>
          <w:szCs w:val="21"/>
          <w14:textFill>
            <w14:solidFill>
              <w14:schemeClr w14:val="tx1"/>
            </w14:solidFill>
          </w14:textFill>
        </w:rPr>
        <w:t>质量检测结果</w:t>
      </w:r>
      <w:r>
        <w:rPr>
          <w:rFonts w:hint="eastAsia" w:cs="黑体" w:asciiTheme="minorEastAsia" w:hAnsiTheme="minorEastAsia"/>
          <w:snapToGrid w:val="0"/>
          <w:color w:val="000000" w:themeColor="text1"/>
          <w:kern w:val="0"/>
          <w:szCs w:val="21"/>
          <w14:textFill>
            <w14:solidFill>
              <w14:schemeClr w14:val="tx1"/>
            </w14:solidFill>
          </w14:textFill>
        </w:rPr>
        <w:t>评价为合格</w:t>
      </w:r>
      <w:r>
        <w:rPr>
          <w:rFonts w:hint="eastAsia" w:cs="黑体" w:asciiTheme="minorEastAsia" w:hAnsiTheme="minorEastAsia"/>
          <w:snapToGrid w:val="0"/>
          <w:color w:val="000000"/>
          <w:kern w:val="0"/>
          <w:szCs w:val="21"/>
        </w:rPr>
        <w:t>：</w:t>
      </w:r>
    </w:p>
    <w:p>
      <w:pPr>
        <w:snapToGrid w:val="0"/>
        <w:spacing w:line="360" w:lineRule="auto"/>
        <w:ind w:firstLine="420" w:firstLineChars="200"/>
        <w:rPr>
          <w:rFonts w:hint="eastAsia" w:asciiTheme="minorEastAsia" w:hAnsiTheme="minorEastAsia"/>
          <w:bCs/>
          <w:snapToGrid w:val="0"/>
          <w:color w:val="000000"/>
          <w:kern w:val="0"/>
          <w:szCs w:val="21"/>
        </w:rPr>
      </w:pPr>
      <w:r>
        <w:rPr>
          <w:rFonts w:hint="eastAsia" w:ascii="黑体" w:hAnsi="黑体" w:eastAsia="黑体" w:cs="黑体"/>
          <w:szCs w:val="21"/>
        </w:rPr>
        <w:t xml:space="preserve">1  </w:t>
      </w:r>
      <w:r>
        <w:rPr>
          <w:rFonts w:hint="eastAsia" w:asciiTheme="minorEastAsia" w:hAnsiTheme="minorEastAsia"/>
          <w:bCs/>
          <w:snapToGrid w:val="0"/>
          <w:color w:val="000000"/>
          <w:kern w:val="0"/>
          <w:szCs w:val="21"/>
        </w:rPr>
        <w:t>锚杆、锚筋桩的钢筋数量、位置偏差、钢筋直径、拉拔力：检测结果应达到设计和技术标准要求。</w:t>
      </w:r>
    </w:p>
    <w:p>
      <w:pPr>
        <w:snapToGrid w:val="0"/>
        <w:spacing w:line="360" w:lineRule="auto"/>
        <w:ind w:firstLine="420" w:firstLineChars="200"/>
        <w:rPr>
          <w:rFonts w:hint="eastAsia" w:asciiTheme="minorEastAsia" w:hAnsiTheme="minorEastAsia"/>
          <w:bCs/>
          <w:snapToGrid w:val="0"/>
          <w:color w:val="000000"/>
          <w:kern w:val="0"/>
          <w:szCs w:val="21"/>
        </w:rPr>
      </w:pPr>
      <w:r>
        <w:rPr>
          <w:rFonts w:hint="eastAsia" w:ascii="黑体" w:hAnsi="黑体" w:eastAsia="黑体" w:cs="黑体"/>
          <w:szCs w:val="21"/>
        </w:rPr>
        <w:t xml:space="preserve">2  </w:t>
      </w:r>
      <w:r>
        <w:rPr>
          <w:rFonts w:hint="eastAsia" w:asciiTheme="minorEastAsia" w:hAnsiTheme="minorEastAsia"/>
          <w:bCs/>
          <w:snapToGrid w:val="0"/>
          <w:color w:val="000000"/>
          <w:kern w:val="0"/>
          <w:szCs w:val="21"/>
        </w:rPr>
        <w:t>锚杆长度、饱满度：检测结果应达到设计和规范要求。</w:t>
      </w:r>
    </w:p>
    <w:p>
      <w:pPr>
        <w:snapToGrid w:val="0"/>
        <w:spacing w:line="360" w:lineRule="auto"/>
        <w:ind w:firstLine="420" w:firstLineChars="200"/>
        <w:rPr>
          <w:rFonts w:hint="eastAsia" w:asciiTheme="minorEastAsia" w:hAnsiTheme="minorEastAsia"/>
          <w:bCs/>
          <w:snapToGrid w:val="0"/>
          <w:color w:val="000000"/>
          <w:kern w:val="0"/>
          <w:szCs w:val="21"/>
        </w:rPr>
      </w:pPr>
      <w:r>
        <w:rPr>
          <w:rFonts w:hint="eastAsia" w:ascii="黑体" w:hAnsi="黑体" w:eastAsia="黑体" w:cs="黑体"/>
          <w:szCs w:val="21"/>
        </w:rPr>
        <w:t xml:space="preserve">3  </w:t>
      </w:r>
      <w:r>
        <w:rPr>
          <w:rFonts w:hint="eastAsia" w:asciiTheme="minorEastAsia" w:hAnsiTheme="minorEastAsia"/>
          <w:bCs/>
          <w:snapToGrid w:val="0"/>
          <w:color w:val="000000"/>
          <w:kern w:val="0"/>
          <w:szCs w:val="21"/>
        </w:rPr>
        <w:t>锚筋桩长度、饱满度：检测结果应达到设计和规范要求。</w:t>
      </w:r>
    </w:p>
    <w:p>
      <w:pPr>
        <w:snapToGrid w:val="0"/>
        <w:spacing w:line="360" w:lineRule="auto"/>
        <w:ind w:firstLine="420" w:firstLineChars="200"/>
        <w:rPr>
          <w:rFonts w:hint="eastAsia" w:asciiTheme="minorEastAsia" w:hAnsiTheme="minorEastAsia"/>
          <w:bCs/>
          <w:snapToGrid w:val="0"/>
          <w:color w:val="000000"/>
          <w:kern w:val="0"/>
          <w:szCs w:val="21"/>
        </w:rPr>
      </w:pPr>
      <w:r>
        <w:rPr>
          <w:rFonts w:hint="eastAsia" w:ascii="黑体" w:hAnsi="黑体" w:eastAsia="黑体" w:cs="黑体"/>
          <w:szCs w:val="21"/>
        </w:rPr>
        <w:t xml:space="preserve">4  </w:t>
      </w:r>
      <w:r>
        <w:rPr>
          <w:rFonts w:hint="eastAsia" w:asciiTheme="minorEastAsia" w:hAnsiTheme="minorEastAsia"/>
          <w:bCs/>
          <w:snapToGrid w:val="0"/>
          <w:color w:val="000000"/>
          <w:kern w:val="0"/>
          <w:szCs w:val="21"/>
        </w:rPr>
        <w:t>锚索的锚索孔的孔位、孔径、孔斜、孔深及锚固段岩体质量满足设计及规范要求；锚索的长度、基本试验、蠕变试验以及验收试验检测结果应达到设计和技术标准要求，依据GB 50086相应规定进行评价。</w:t>
      </w:r>
    </w:p>
    <w:p>
      <w:pPr>
        <w:snapToGrid w:val="0"/>
        <w:spacing w:line="360" w:lineRule="auto"/>
        <w:ind w:firstLine="420" w:firstLineChars="200"/>
        <w:rPr>
          <w:rFonts w:hint="eastAsia" w:asciiTheme="minorEastAsia" w:hAnsiTheme="minorEastAsia"/>
          <w:color w:val="FF0000"/>
          <w:kern w:val="0"/>
          <w:szCs w:val="21"/>
        </w:rPr>
      </w:pPr>
      <w:r>
        <w:rPr>
          <w:rFonts w:hint="eastAsia" w:ascii="黑体" w:hAnsi="黑体" w:eastAsia="黑体" w:cs="黑体"/>
          <w:szCs w:val="21"/>
        </w:rPr>
        <w:t>5</w:t>
      </w:r>
      <w:r>
        <w:rPr>
          <w:rFonts w:hint="eastAsia" w:asciiTheme="minorEastAsia" w:hAnsiTheme="minorEastAsia"/>
          <w:bCs/>
          <w:snapToGrid w:val="0"/>
          <w:color w:val="000000"/>
          <w:kern w:val="0"/>
          <w:szCs w:val="21"/>
        </w:rPr>
        <w:t xml:space="preserve">  喷射混凝土强度及厚度：检测结果应满足设计要求。</w:t>
      </w:r>
    </w:p>
    <w:p/>
    <w:p/>
    <w:p>
      <w:r>
        <w:br w:type="page"/>
      </w:r>
    </w:p>
    <w:p>
      <w:pPr>
        <w:pStyle w:val="2"/>
        <w:rPr>
          <w:rFonts w:hint="eastAsia" w:ascii="黑体" w:hAnsi="黑体" w:eastAsia="黑体" w:cs="黑体"/>
          <w:b w:val="0"/>
          <w:bCs w:val="0"/>
          <w:sz w:val="28"/>
          <w:szCs w:val="28"/>
        </w:rPr>
      </w:pPr>
      <w:bookmarkStart w:id="55" w:name="_Toc7830"/>
      <w:bookmarkStart w:id="56" w:name="_Toc7404"/>
      <w:r>
        <w:rPr>
          <w:rFonts w:hint="eastAsia" w:ascii="黑体" w:hAnsi="黑体" w:eastAsia="黑体" w:cs="黑体"/>
          <w:b w:val="0"/>
          <w:bCs w:val="0"/>
          <w:sz w:val="28"/>
          <w:szCs w:val="28"/>
        </w:rPr>
        <w:t>5  土石方工程</w:t>
      </w:r>
      <w:bookmarkEnd w:id="55"/>
      <w:bookmarkEnd w:id="56"/>
    </w:p>
    <w:p>
      <w:pPr>
        <w:pStyle w:val="3"/>
        <w:snapToGrid w:val="0"/>
        <w:spacing w:afterLines="50"/>
        <w:jc w:val="center"/>
        <w:rPr>
          <w:rFonts w:ascii="黑体" w:hAnsi="黑体"/>
          <w:sz w:val="24"/>
          <w:szCs w:val="24"/>
        </w:rPr>
      </w:pPr>
      <w:bookmarkStart w:id="57" w:name="_Toc24917"/>
      <w:bookmarkStart w:id="58" w:name="_Toc22266"/>
      <w:r>
        <w:rPr>
          <w:rFonts w:ascii="黑体" w:hAnsi="黑体"/>
          <w:sz w:val="24"/>
          <w:szCs w:val="24"/>
        </w:rPr>
        <w:t>5.1  一般规定</w:t>
      </w:r>
      <w:bookmarkEnd w:id="57"/>
      <w:bookmarkEnd w:id="58"/>
    </w:p>
    <w:p>
      <w:pPr>
        <w:pStyle w:val="6"/>
        <w:spacing w:line="360" w:lineRule="auto"/>
        <w:rPr>
          <w:rFonts w:hint="eastAsia" w:cs="Times New Roman" w:asciiTheme="minorEastAsia" w:hAnsiTheme="minorEastAsia" w:eastAsiaTheme="minorEastAsia"/>
          <w:bCs/>
          <w:sz w:val="21"/>
          <w:szCs w:val="21"/>
        </w:rPr>
      </w:pPr>
      <w:r>
        <w:rPr>
          <w:rFonts w:hint="eastAsia" w:ascii="黑体" w:hAnsi="黑体" w:eastAsia="黑体" w:cs="黑体"/>
          <w:sz w:val="21"/>
          <w:szCs w:val="21"/>
        </w:rPr>
        <w:t>5.1.1</w:t>
      </w:r>
      <w:r>
        <w:rPr>
          <w:rFonts w:ascii="黑体" w:hAnsi="黑体" w:eastAsia="黑体"/>
          <w:spacing w:val="5"/>
          <w:position w:val="-2"/>
        </w:rPr>
        <w:t xml:space="preserve">  </w:t>
      </w:r>
      <w:r>
        <w:rPr>
          <w:rFonts w:hint="eastAsia" w:cs="Times New Roman" w:asciiTheme="minorEastAsia" w:hAnsiTheme="minorEastAsia" w:eastAsiaTheme="minorEastAsia"/>
          <w:bCs/>
          <w:sz w:val="21"/>
          <w:szCs w:val="21"/>
        </w:rPr>
        <w:t>土石方工程及其开挖、回填相关检测项目的检测方法应符合下列要求：</w:t>
      </w:r>
    </w:p>
    <w:p>
      <w:pPr>
        <w:pStyle w:val="6"/>
        <w:spacing w:line="360" w:lineRule="auto"/>
        <w:ind w:firstLine="424"/>
        <w:rPr>
          <w:rFonts w:hint="eastAsia" w:cs="Times New Roman" w:asciiTheme="minorEastAsia" w:hAnsiTheme="minorEastAsia" w:eastAsiaTheme="minorEastAsia"/>
          <w:bCs/>
          <w:sz w:val="21"/>
          <w:szCs w:val="21"/>
        </w:rPr>
      </w:pPr>
      <w:r>
        <w:rPr>
          <w:rFonts w:hint="eastAsia" w:ascii="黑体" w:hAnsi="黑体" w:eastAsia="黑体" w:cs="黑体"/>
          <w:sz w:val="21"/>
          <w:szCs w:val="21"/>
        </w:rPr>
        <w:t xml:space="preserve">1 </w:t>
      </w:r>
      <w:r>
        <w:rPr>
          <w:rFonts w:ascii="黑体" w:hAnsi="黑体" w:eastAsia="黑体"/>
          <w:position w:val="-2"/>
        </w:rPr>
        <w:t xml:space="preserve"> </w:t>
      </w:r>
      <w:r>
        <w:rPr>
          <w:rFonts w:hint="eastAsia" w:cs="Times New Roman" w:asciiTheme="minorEastAsia" w:hAnsiTheme="minorEastAsia" w:eastAsiaTheme="minorEastAsia"/>
          <w:bCs/>
          <w:sz w:val="21"/>
          <w:szCs w:val="21"/>
        </w:rPr>
        <w:t>颗粒级配、含水率、密度等物理性质指标，压实度、相对密度、小于5mm颗粒含量检测应执行GB/T 50123的规定。</w:t>
      </w:r>
    </w:p>
    <w:p>
      <w:pPr>
        <w:pStyle w:val="6"/>
        <w:spacing w:line="360" w:lineRule="auto"/>
        <w:ind w:firstLine="413"/>
        <w:rPr>
          <w:rFonts w:hint="eastAsia" w:cs="Times New Roman" w:asciiTheme="minorEastAsia" w:hAnsiTheme="minorEastAsia" w:eastAsiaTheme="minorEastAsia"/>
          <w:bCs/>
          <w:sz w:val="21"/>
          <w:szCs w:val="21"/>
        </w:rPr>
      </w:pPr>
      <w:r>
        <w:rPr>
          <w:rFonts w:hint="eastAsia" w:ascii="黑体" w:hAnsi="黑体" w:eastAsia="黑体" w:cs="黑体"/>
          <w:sz w:val="21"/>
          <w:szCs w:val="21"/>
        </w:rPr>
        <w:t xml:space="preserve">2 </w:t>
      </w:r>
      <w:r>
        <w:rPr>
          <w:rFonts w:ascii="黑体" w:hAnsi="黑体" w:eastAsia="黑体"/>
          <w:spacing w:val="-2"/>
          <w:position w:val="-2"/>
          <w:sz w:val="21"/>
          <w:szCs w:val="21"/>
        </w:rPr>
        <w:t xml:space="preserve"> </w:t>
      </w:r>
      <w:r>
        <w:rPr>
          <w:rFonts w:hint="eastAsia" w:cs="Times New Roman" w:asciiTheme="minorEastAsia" w:hAnsiTheme="minorEastAsia" w:eastAsiaTheme="minorEastAsia"/>
          <w:bCs/>
          <w:sz w:val="21"/>
          <w:szCs w:val="21"/>
        </w:rPr>
        <w:t>渗透系数的室内检测或现场检测应执行GB/T 50123的规定。</w:t>
      </w:r>
    </w:p>
    <w:p>
      <w:pPr>
        <w:pStyle w:val="6"/>
        <w:spacing w:line="360" w:lineRule="auto"/>
        <w:ind w:firstLine="409"/>
        <w:rPr>
          <w:rFonts w:hint="eastAsia" w:cs="Times New Roman" w:asciiTheme="minorEastAsia" w:hAnsiTheme="minorEastAsia" w:eastAsiaTheme="minorEastAsia"/>
          <w:bCs/>
          <w:sz w:val="21"/>
          <w:szCs w:val="21"/>
        </w:rPr>
      </w:pPr>
      <w:r>
        <w:rPr>
          <w:rFonts w:hint="eastAsia" w:ascii="黑体" w:hAnsi="黑体" w:eastAsia="黑体" w:cs="黑体"/>
          <w:sz w:val="21"/>
          <w:szCs w:val="21"/>
        </w:rPr>
        <w:t>3</w:t>
      </w:r>
      <w:r>
        <w:rPr>
          <w:rFonts w:ascii="黑体" w:hAnsi="黑体" w:eastAsia="黑体"/>
          <w:spacing w:val="5"/>
          <w:position w:val="-2"/>
        </w:rPr>
        <w:t xml:space="preserve">  </w:t>
      </w:r>
      <w:r>
        <w:rPr>
          <w:rFonts w:hint="eastAsia" w:cs="Times New Roman" w:asciiTheme="minorEastAsia" w:hAnsiTheme="minorEastAsia" w:eastAsiaTheme="minorEastAsia"/>
          <w:bCs/>
          <w:sz w:val="21"/>
          <w:szCs w:val="21"/>
        </w:rPr>
        <w:t>内部缺陷(隐患)：堤身(渠身)应执行SL 436的规定；坝体内部应执行SL/T 291.1的规定。</w:t>
      </w:r>
    </w:p>
    <w:p>
      <w:pPr>
        <w:pStyle w:val="6"/>
        <w:spacing w:line="360" w:lineRule="auto"/>
        <w:ind w:firstLine="420" w:firstLineChars="200"/>
        <w:rPr>
          <w:rFonts w:hint="eastAsia" w:cs="Times New Roman" w:asciiTheme="minorEastAsia" w:hAnsiTheme="minorEastAsia" w:eastAsiaTheme="minorEastAsia"/>
          <w:bCs/>
          <w:sz w:val="21"/>
          <w:szCs w:val="21"/>
        </w:rPr>
      </w:pPr>
      <w:r>
        <w:rPr>
          <w:rFonts w:hint="eastAsia" w:ascii="黑体" w:hAnsi="黑体" w:eastAsia="黑体" w:cs="黑体"/>
          <w:sz w:val="21"/>
          <w:szCs w:val="21"/>
        </w:rPr>
        <w:t xml:space="preserve">4 </w:t>
      </w:r>
      <w:r>
        <w:rPr>
          <w:rFonts w:ascii="黑体" w:hAnsi="黑体" w:eastAsia="黑体"/>
          <w:spacing w:val="5"/>
          <w:position w:val="-2"/>
        </w:rPr>
        <w:t xml:space="preserve"> </w:t>
      </w:r>
      <w:r>
        <w:rPr>
          <w:rFonts w:hint="eastAsia" w:cs="Times New Roman" w:asciiTheme="minorEastAsia" w:hAnsiTheme="minorEastAsia" w:eastAsiaTheme="minorEastAsia"/>
          <w:bCs/>
          <w:sz w:val="21"/>
          <w:szCs w:val="21"/>
        </w:rPr>
        <w:t>沥青及沥青混合料的延度、针入度、软化点、密度、马歇尔稳定度及流值：应执行SL 514的规定。</w:t>
      </w:r>
    </w:p>
    <w:p>
      <w:pPr>
        <w:spacing w:line="360" w:lineRule="auto"/>
        <w:rPr>
          <w:rFonts w:hint="eastAsia" w:cs="Times New Roman" w:asciiTheme="minorEastAsia" w:hAnsiTheme="minorEastAsia"/>
          <w:bCs/>
          <w:szCs w:val="21"/>
        </w:rPr>
      </w:pPr>
      <w:r>
        <w:rPr>
          <w:rFonts w:hint="eastAsia" w:ascii="黑体" w:hAnsi="黑体" w:eastAsia="黑体" w:cs="黑体"/>
          <w:szCs w:val="21"/>
        </w:rPr>
        <w:t xml:space="preserve">5.1.2 </w:t>
      </w:r>
      <w:r>
        <w:rPr>
          <w:spacing w:val="4"/>
          <w:position w:val="-2"/>
        </w:rPr>
        <w:t xml:space="preserve"> </w:t>
      </w:r>
      <w:r>
        <w:rPr>
          <w:rFonts w:hint="eastAsia" w:cs="Times New Roman" w:asciiTheme="minorEastAsia" w:hAnsiTheme="minorEastAsia"/>
          <w:bCs/>
          <w:szCs w:val="21"/>
        </w:rPr>
        <w:t>现场检测前应根据工程部位、地质情况、施工进度将需检测的区域划分，检测项目满足下列要求的,质量检测结果评价为合格：</w:t>
      </w:r>
    </w:p>
    <w:p>
      <w:pPr>
        <w:spacing w:line="360" w:lineRule="auto"/>
        <w:ind w:firstLine="420" w:firstLineChars="200"/>
        <w:rPr>
          <w:rFonts w:hint="eastAsia" w:cs="Times New Roman" w:asciiTheme="minorEastAsia" w:hAnsiTheme="minorEastAsia"/>
          <w:bCs/>
          <w:szCs w:val="21"/>
        </w:rPr>
      </w:pPr>
      <w:r>
        <w:rPr>
          <w:rFonts w:hint="eastAsia" w:ascii="黑体" w:hAnsi="黑体" w:eastAsia="黑体" w:cs="Times New Roman"/>
          <w:bCs/>
          <w:szCs w:val="21"/>
        </w:rPr>
        <w:t>1</w:t>
      </w:r>
      <w:r>
        <w:rPr>
          <w:rFonts w:hint="eastAsia" w:cs="Times New Roman" w:asciiTheme="minorEastAsia" w:hAnsiTheme="minorEastAsia"/>
          <w:bCs/>
          <w:szCs w:val="21"/>
        </w:rPr>
        <w:t xml:space="preserve">  渗透系数：检测结果达到设计要求,未发现渗漏等缺陷。</w:t>
      </w:r>
    </w:p>
    <w:p>
      <w:pPr>
        <w:spacing w:line="360" w:lineRule="auto"/>
        <w:ind w:firstLine="420" w:firstLineChars="200"/>
        <w:rPr>
          <w:rFonts w:hint="eastAsia" w:cs="Times New Roman" w:asciiTheme="minorEastAsia" w:hAnsiTheme="minorEastAsia"/>
          <w:bCs/>
          <w:szCs w:val="21"/>
        </w:rPr>
      </w:pPr>
      <w:r>
        <w:rPr>
          <w:rFonts w:hint="eastAsia" w:ascii="黑体" w:hAnsi="黑体" w:eastAsia="黑体" w:cs="Times New Roman"/>
          <w:bCs/>
          <w:szCs w:val="21"/>
        </w:rPr>
        <w:t>2</w:t>
      </w:r>
      <w:r>
        <w:rPr>
          <w:rFonts w:hint="eastAsia" w:cs="Times New Roman" w:asciiTheme="minorEastAsia" w:hAnsiTheme="minorEastAsia"/>
          <w:bCs/>
          <w:szCs w:val="21"/>
        </w:rPr>
        <w:t xml:space="preserve">  内部缺陷(隐患)：检测结果未发现内部有缺陷(隐患)。</w:t>
      </w:r>
    </w:p>
    <w:p>
      <w:pPr>
        <w:spacing w:line="360" w:lineRule="auto"/>
        <w:ind w:firstLine="420" w:firstLineChars="200"/>
        <w:rPr>
          <w:rFonts w:hint="eastAsia" w:cs="Times New Roman" w:asciiTheme="minorEastAsia" w:hAnsiTheme="minorEastAsia"/>
          <w:bCs/>
          <w:szCs w:val="21"/>
        </w:rPr>
      </w:pPr>
      <w:r>
        <w:rPr>
          <w:rFonts w:hint="eastAsia" w:ascii="黑体" w:hAnsi="黑体" w:eastAsia="黑体" w:cs="Times New Roman"/>
          <w:bCs/>
          <w:szCs w:val="21"/>
        </w:rPr>
        <w:t>3</w:t>
      </w:r>
      <w:r>
        <w:rPr>
          <w:rFonts w:hint="eastAsia" w:cs="Times New Roman" w:asciiTheme="minorEastAsia" w:hAnsiTheme="minorEastAsia"/>
          <w:bCs/>
          <w:szCs w:val="21"/>
        </w:rPr>
        <w:t xml:space="preserve">  其他检测项目：检测结果达到设计和技术标准要求。</w:t>
      </w:r>
    </w:p>
    <w:p>
      <w:pPr>
        <w:pStyle w:val="3"/>
        <w:snapToGrid w:val="0"/>
        <w:spacing w:afterLines="50"/>
        <w:jc w:val="center"/>
        <w:rPr>
          <w:rFonts w:ascii="黑体" w:hAnsi="黑体"/>
          <w:sz w:val="24"/>
          <w:szCs w:val="24"/>
        </w:rPr>
      </w:pPr>
      <w:bookmarkStart w:id="59" w:name="_Toc21167"/>
      <w:bookmarkStart w:id="60" w:name="_Toc22388"/>
      <w:bookmarkStart w:id="61" w:name="_Toc18282"/>
      <w:r>
        <w:rPr>
          <w:rFonts w:ascii="黑体" w:hAnsi="黑体"/>
          <w:sz w:val="24"/>
          <w:szCs w:val="24"/>
        </w:rPr>
        <w:t>5.2  土 石 坝</w:t>
      </w:r>
      <w:bookmarkEnd w:id="59"/>
      <w:bookmarkEnd w:id="60"/>
    </w:p>
    <w:p>
      <w:pPr>
        <w:pStyle w:val="6"/>
        <w:spacing w:line="360" w:lineRule="auto"/>
        <w:rPr>
          <w:rFonts w:hint="eastAsia" w:asciiTheme="minorEastAsia" w:hAnsiTheme="minorEastAsia" w:eastAsiaTheme="minorEastAsia" w:cstheme="minorEastAsia"/>
          <w:spacing w:val="20"/>
          <w:sz w:val="21"/>
          <w:szCs w:val="21"/>
        </w:rPr>
      </w:pPr>
      <w:r>
        <w:rPr>
          <w:rFonts w:hint="eastAsia" w:ascii="黑体" w:hAnsi="黑体" w:eastAsia="黑体" w:cs="黑体"/>
          <w:sz w:val="21"/>
          <w:szCs w:val="21"/>
        </w:rPr>
        <w:t xml:space="preserve">5.2.1   </w:t>
      </w:r>
      <w:r>
        <w:rPr>
          <w:rFonts w:hint="eastAsia" w:cs="Times New Roman" w:asciiTheme="minorEastAsia" w:hAnsiTheme="minorEastAsia" w:eastAsiaTheme="minorEastAsia"/>
          <w:bCs/>
          <w:sz w:val="21"/>
          <w:szCs w:val="21"/>
        </w:rPr>
        <w:t>检测项目宜包括下列内容：</w:t>
      </w:r>
    </w:p>
    <w:p>
      <w:pPr>
        <w:pStyle w:val="6"/>
        <w:spacing w:line="360" w:lineRule="auto"/>
        <w:ind w:firstLine="417" w:firstLineChars="167"/>
        <w:rPr>
          <w:rFonts w:hint="eastAsia" w:cs="Times New Roman" w:asciiTheme="minorEastAsia" w:hAnsiTheme="minorEastAsia" w:eastAsiaTheme="minorEastAsia"/>
          <w:bCs/>
          <w:sz w:val="21"/>
          <w:szCs w:val="21"/>
        </w:rPr>
      </w:pPr>
      <w:r>
        <w:rPr>
          <w:rFonts w:hint="eastAsia" w:ascii="黑体" w:hAnsi="黑体" w:eastAsia="黑体" w:cstheme="minorEastAsia"/>
          <w:spacing w:val="20"/>
          <w:sz w:val="21"/>
          <w:szCs w:val="21"/>
        </w:rPr>
        <w:t>1</w:t>
      </w:r>
      <w:r>
        <w:rPr>
          <w:rFonts w:hint="eastAsia" w:asciiTheme="minorEastAsia" w:hAnsiTheme="minorEastAsia" w:eastAsiaTheme="minorEastAsia" w:cstheme="minorEastAsia"/>
          <w:spacing w:val="20"/>
          <w:sz w:val="21"/>
          <w:szCs w:val="21"/>
        </w:rPr>
        <w:t xml:space="preserve">  </w:t>
      </w:r>
      <w:r>
        <w:rPr>
          <w:rFonts w:hint="eastAsia" w:cs="Times New Roman" w:asciiTheme="minorEastAsia" w:hAnsiTheme="minorEastAsia" w:eastAsiaTheme="minorEastAsia"/>
          <w:bCs/>
          <w:sz w:val="21"/>
          <w:szCs w:val="21"/>
        </w:rPr>
        <w:t>均质坝：坝体土料的颗粒级配、含水率、干密度、液塑限等物理性指标以及压实度，反滤料和排水体料的颗粒级配、干密度、相对密度（或孔隙率）、渗透系数。</w:t>
      </w:r>
    </w:p>
    <w:p>
      <w:pPr>
        <w:pStyle w:val="6"/>
        <w:spacing w:line="360" w:lineRule="auto"/>
        <w:ind w:firstLine="420" w:firstLineChars="200"/>
        <w:rPr>
          <w:rFonts w:hint="eastAsia" w:cs="Times New Roman" w:asciiTheme="minorEastAsia" w:hAnsiTheme="minorEastAsia" w:eastAsiaTheme="minorEastAsia"/>
          <w:bCs/>
          <w:sz w:val="21"/>
          <w:szCs w:val="21"/>
        </w:rPr>
      </w:pPr>
      <w:r>
        <w:rPr>
          <w:rFonts w:hint="eastAsia" w:ascii="黑体" w:hAnsi="黑体" w:eastAsia="黑体" w:cs="黑体"/>
          <w:sz w:val="21"/>
          <w:szCs w:val="21"/>
        </w:rPr>
        <w:t xml:space="preserve">2 </w:t>
      </w:r>
      <w:r>
        <w:rPr>
          <w:rFonts w:hint="eastAsia" w:cs="Times New Roman" w:asciiTheme="minorEastAsia" w:hAnsiTheme="minorEastAsia" w:eastAsiaTheme="minorEastAsia"/>
          <w:bCs/>
          <w:sz w:val="21"/>
          <w:szCs w:val="21"/>
        </w:rPr>
        <w:t xml:space="preserve">  心墙堆石坝：坝壳堆石料、反滤料的颗粒级配、干密度、孔隙率（或相对密度）等物理性指标，渗透系数；面板堆石坝：主（次）堆石料、过渡料、垫层料的颗粒级配、干密度、孔隙率（或相对密度）等物理性指标，渗透系数。</w:t>
      </w:r>
    </w:p>
    <w:p>
      <w:pPr>
        <w:pStyle w:val="6"/>
        <w:spacing w:line="360" w:lineRule="auto"/>
        <w:ind w:firstLine="420" w:firstLineChars="200"/>
        <w:rPr>
          <w:rFonts w:hint="eastAsia" w:cs="Times New Roman" w:asciiTheme="minorEastAsia" w:hAnsiTheme="minorEastAsia" w:eastAsiaTheme="minorEastAsia"/>
          <w:bCs/>
          <w:sz w:val="21"/>
          <w:szCs w:val="21"/>
        </w:rPr>
      </w:pPr>
      <w:r>
        <w:rPr>
          <w:rFonts w:hint="eastAsia" w:ascii="黑体" w:hAnsi="黑体" w:eastAsia="黑体" w:cs="黑体"/>
          <w:sz w:val="21"/>
          <w:szCs w:val="21"/>
        </w:rPr>
        <w:t>3</w:t>
      </w:r>
      <w:r>
        <w:rPr>
          <w:spacing w:val="2"/>
          <w:position w:val="-2"/>
        </w:rPr>
        <w:t xml:space="preserve"> </w:t>
      </w:r>
      <w:r>
        <w:rPr>
          <w:rFonts w:hint="eastAsia" w:cs="Times New Roman" w:asciiTheme="minorEastAsia" w:hAnsiTheme="minorEastAsia" w:eastAsiaTheme="minorEastAsia"/>
          <w:bCs/>
          <w:sz w:val="21"/>
          <w:szCs w:val="21"/>
        </w:rPr>
        <w:t xml:space="preserve"> 黏性土、砾质土防渗体：颗粒级配、含水率、干密度、液塑限、压实度、渗透系数等。</w:t>
      </w:r>
    </w:p>
    <w:p>
      <w:pPr>
        <w:pStyle w:val="6"/>
        <w:spacing w:line="360" w:lineRule="auto"/>
        <w:ind w:firstLine="420" w:firstLineChars="200"/>
        <w:rPr>
          <w:rFonts w:hint="eastAsia"/>
          <w:spacing w:val="2"/>
        </w:rPr>
      </w:pPr>
      <w:r>
        <w:rPr>
          <w:rFonts w:hint="eastAsia" w:ascii="黑体" w:hAnsi="黑体" w:eastAsia="黑体" w:cs="黑体"/>
          <w:sz w:val="21"/>
          <w:szCs w:val="21"/>
        </w:rPr>
        <w:t>4</w:t>
      </w:r>
      <w:r>
        <w:rPr>
          <w:rFonts w:hint="eastAsia" w:cs="Times New Roman" w:asciiTheme="minorEastAsia" w:hAnsiTheme="minorEastAsia" w:eastAsiaTheme="minorEastAsia"/>
          <w:bCs/>
          <w:sz w:val="21"/>
          <w:szCs w:val="21"/>
        </w:rPr>
        <w:t xml:space="preserve">  混凝土防渗体：抗压强度、渗透系数(抗渗性能)、裂缝。</w:t>
      </w:r>
    </w:p>
    <w:p>
      <w:pPr>
        <w:pStyle w:val="6"/>
        <w:spacing w:line="360" w:lineRule="auto"/>
        <w:ind w:firstLine="420" w:firstLineChars="200"/>
        <w:rPr>
          <w:rFonts w:hint="eastAsia" w:asciiTheme="minorEastAsia" w:hAnsiTheme="minorEastAsia" w:eastAsiaTheme="minorEastAsia" w:cstheme="minorEastAsia"/>
          <w:spacing w:val="20"/>
          <w:sz w:val="21"/>
          <w:szCs w:val="21"/>
        </w:rPr>
      </w:pPr>
      <w:r>
        <w:rPr>
          <w:rFonts w:hint="eastAsia" w:ascii="黑体" w:hAnsi="黑体" w:eastAsia="黑体" w:cs="黑体"/>
          <w:sz w:val="21"/>
          <w:szCs w:val="21"/>
        </w:rPr>
        <w:t xml:space="preserve">5 </w:t>
      </w:r>
      <w:r>
        <w:rPr>
          <w:rFonts w:hint="eastAsia" w:cs="Times New Roman" w:asciiTheme="minorEastAsia" w:hAnsiTheme="minorEastAsia" w:eastAsiaTheme="minorEastAsia"/>
          <w:bCs/>
          <w:sz w:val="21"/>
          <w:szCs w:val="21"/>
        </w:rPr>
        <w:t xml:space="preserve"> 沥青混凝土防渗体：抗压强度、密度、孔隙率、渗透系数、沥青马歇尔稳定度及流值。</w:t>
      </w:r>
    </w:p>
    <w:p>
      <w:pPr>
        <w:spacing w:line="360" w:lineRule="auto"/>
        <w:ind w:firstLine="420" w:firstLineChars="200"/>
        <w:rPr>
          <w:rFonts w:hint="eastAsia" w:cs="Times New Roman" w:asciiTheme="minorEastAsia" w:hAnsiTheme="minorEastAsia"/>
          <w:bCs/>
          <w:szCs w:val="21"/>
        </w:rPr>
      </w:pPr>
      <w:r>
        <w:rPr>
          <w:rFonts w:hint="eastAsia" w:ascii="黑体" w:hAnsi="黑体" w:eastAsia="黑体" w:cs="黑体"/>
          <w:szCs w:val="21"/>
        </w:rPr>
        <w:t xml:space="preserve">6 </w:t>
      </w:r>
      <w:r>
        <w:rPr>
          <w:rFonts w:hint="eastAsia" w:cs="Times New Roman" w:asciiTheme="minorEastAsia" w:hAnsiTheme="minorEastAsia"/>
          <w:bCs/>
          <w:szCs w:val="21"/>
        </w:rPr>
        <w:t xml:space="preserve"> 高密度聚乙烯、聚氯乙烯和复合土工膜等土工合成防渗材料:密度、单位面积质量、厚度（及其与法向应力的关系）、拉伸强度、伸长率、撕裂强力、顶破强力、直剪摩擦、拉拔摩擦、渗透系数、老化性能、焊接或黏结接缝强度。</w:t>
      </w:r>
    </w:p>
    <w:p>
      <w:pPr>
        <w:spacing w:line="360" w:lineRule="auto"/>
        <w:ind w:firstLine="420" w:firstLineChars="200"/>
        <w:rPr>
          <w:rFonts w:hint="eastAsia" w:ascii="黑体" w:hAnsi="黑体" w:eastAsia="黑体" w:cs="黑体"/>
          <w:color w:val="0000FF"/>
        </w:rPr>
      </w:pPr>
      <w:r>
        <w:rPr>
          <w:rFonts w:hint="eastAsia" w:ascii="黑体" w:hAnsi="黑体" w:eastAsia="黑体" w:cs="黑体"/>
          <w:szCs w:val="21"/>
        </w:rPr>
        <w:t>7</w:t>
      </w:r>
      <w:r>
        <w:rPr>
          <w:rFonts w:ascii="黑体" w:hAnsi="黑体" w:eastAsia="黑体" w:cs="黑体"/>
          <w:color w:val="0000FF"/>
        </w:rPr>
        <w:t xml:space="preserve"> </w:t>
      </w:r>
      <w:r>
        <w:rPr>
          <w:rFonts w:hint="eastAsia" w:cs="Times New Roman" w:asciiTheme="minorEastAsia" w:hAnsiTheme="minorEastAsia"/>
          <w:bCs/>
          <w:szCs w:val="21"/>
        </w:rPr>
        <w:t xml:space="preserve"> 各类土石坝体：内部缺陷(隐患)。</w:t>
      </w:r>
    </w:p>
    <w:p>
      <w:pPr>
        <w:spacing w:line="360" w:lineRule="auto"/>
        <w:ind w:firstLine="420" w:firstLineChars="200"/>
        <w:rPr>
          <w:rFonts w:hint="eastAsia" w:cs="Times New Roman" w:asciiTheme="minorEastAsia" w:hAnsiTheme="minorEastAsia"/>
          <w:bCs/>
          <w:szCs w:val="21"/>
        </w:rPr>
      </w:pPr>
      <w:r>
        <w:rPr>
          <w:rFonts w:hint="eastAsia" w:ascii="黑体" w:hAnsi="黑体" w:eastAsia="黑体" w:cs="黑体"/>
          <w:szCs w:val="21"/>
        </w:rPr>
        <w:t xml:space="preserve">8 </w:t>
      </w:r>
      <w:r>
        <w:rPr>
          <w:rFonts w:hint="eastAsia" w:cs="Times New Roman" w:asciiTheme="minorEastAsia" w:hAnsiTheme="minorEastAsia"/>
          <w:bCs/>
          <w:szCs w:val="21"/>
        </w:rPr>
        <w:t xml:space="preserve"> 各类土石坝体：断面尺寸、平整度等。</w:t>
      </w:r>
    </w:p>
    <w:p>
      <w:pPr>
        <w:pStyle w:val="6"/>
        <w:spacing w:line="360" w:lineRule="auto"/>
        <w:rPr>
          <w:rFonts w:hint="eastAsia" w:asciiTheme="minorEastAsia" w:hAnsiTheme="minorEastAsia" w:eastAsiaTheme="minorEastAsia" w:cstheme="minorEastAsia"/>
          <w:sz w:val="21"/>
          <w:szCs w:val="21"/>
        </w:rPr>
      </w:pPr>
      <w:r>
        <w:rPr>
          <w:rFonts w:hint="eastAsia" w:ascii="黑体" w:hAnsi="黑体" w:eastAsia="黑体" w:cs="黑体"/>
          <w:sz w:val="21"/>
          <w:szCs w:val="21"/>
        </w:rPr>
        <w:t>5.2.2</w:t>
      </w:r>
      <w:r>
        <w:rPr>
          <w:spacing w:val="4"/>
          <w:position w:val="-2"/>
        </w:rPr>
        <w:t xml:space="preserve">  </w:t>
      </w:r>
      <w:r>
        <w:rPr>
          <w:rFonts w:hint="eastAsia" w:asciiTheme="minorEastAsia" w:hAnsiTheme="minorEastAsia" w:eastAsiaTheme="minorEastAsia" w:cstheme="minorEastAsia"/>
          <w:sz w:val="21"/>
          <w:szCs w:val="21"/>
        </w:rPr>
        <w:t>检测单元应根据工程特点和施工情况按下列要求划分：</w:t>
      </w:r>
    </w:p>
    <w:p>
      <w:pPr>
        <w:pStyle w:val="6"/>
        <w:spacing w:line="360" w:lineRule="auto"/>
        <w:ind w:firstLine="415"/>
        <w:rPr>
          <w:rFonts w:hint="eastAsia" w:asciiTheme="minorEastAsia" w:hAnsiTheme="minorEastAsia" w:eastAsiaTheme="minorEastAsia" w:cstheme="minorEastAsia"/>
          <w:sz w:val="21"/>
          <w:szCs w:val="21"/>
        </w:rPr>
      </w:pPr>
      <w:r>
        <w:rPr>
          <w:rFonts w:hint="eastAsia" w:ascii="黑体" w:hAnsi="黑体" w:eastAsia="黑体" w:cs="黑体"/>
          <w:sz w:val="21"/>
          <w:szCs w:val="21"/>
        </w:rPr>
        <w:t>1</w:t>
      </w:r>
      <w:r>
        <w:rPr>
          <w:rFonts w:hint="eastAsia" w:asciiTheme="minorEastAsia" w:hAnsiTheme="minorEastAsia" w:eastAsiaTheme="minorEastAsia" w:cstheme="minorEastAsia"/>
          <w:sz w:val="21"/>
          <w:szCs w:val="21"/>
        </w:rPr>
        <w:t xml:space="preserve">  根据坝体材料分区，按每10m（长）×10m（宽） ×5m（深）划分为1个检测单元。</w:t>
      </w:r>
    </w:p>
    <w:p>
      <w:pPr>
        <w:pStyle w:val="6"/>
        <w:spacing w:line="360" w:lineRule="auto"/>
        <w:ind w:firstLine="420" w:firstLineChars="200"/>
        <w:rPr>
          <w:rFonts w:hint="eastAsia" w:cs="Times New Roman" w:asciiTheme="minorEastAsia" w:hAnsiTheme="minorEastAsia" w:eastAsiaTheme="minorEastAsia"/>
          <w:bCs/>
          <w:sz w:val="21"/>
          <w:szCs w:val="21"/>
        </w:rPr>
      </w:pPr>
      <w:r>
        <w:rPr>
          <w:rFonts w:hint="eastAsia" w:ascii="黑体" w:hAnsi="黑体" w:eastAsia="黑体" w:cs="黑体"/>
          <w:sz w:val="21"/>
          <w:szCs w:val="21"/>
        </w:rPr>
        <w:t>2</w:t>
      </w:r>
      <w:r>
        <w:rPr>
          <w:rFonts w:hint="eastAsia" w:asciiTheme="minorEastAsia" w:hAnsiTheme="minorEastAsia" w:eastAsiaTheme="minorEastAsia" w:cstheme="minorEastAsia"/>
          <w:sz w:val="21"/>
          <w:szCs w:val="21"/>
        </w:rPr>
        <w:t xml:space="preserve">  对于防渗体，按沿坝轴线方向每10m（长）×10m（宽）×3m（深）为1个检测单元。</w:t>
      </w:r>
    </w:p>
    <w:p>
      <w:pPr>
        <w:pStyle w:val="6"/>
        <w:spacing w:line="360" w:lineRule="auto"/>
        <w:rPr>
          <w:rFonts w:hint="eastAsia" w:cs="Times New Roman" w:asciiTheme="minorEastAsia" w:hAnsiTheme="minorEastAsia" w:eastAsiaTheme="minorEastAsia"/>
          <w:bCs/>
          <w:sz w:val="21"/>
          <w:szCs w:val="21"/>
        </w:rPr>
      </w:pPr>
      <w:r>
        <w:rPr>
          <w:rFonts w:hint="eastAsia" w:ascii="黑体" w:hAnsi="黑体" w:eastAsia="黑体" w:cs="黑体"/>
          <w:sz w:val="21"/>
          <w:szCs w:val="21"/>
        </w:rPr>
        <w:t>5.2.3</w:t>
      </w:r>
      <w:r>
        <w:rPr>
          <w:spacing w:val="10"/>
          <w:position w:val="-2"/>
        </w:rPr>
        <w:t xml:space="preserve"> </w:t>
      </w:r>
      <w:r>
        <w:rPr>
          <w:rFonts w:hint="eastAsia" w:cs="Times New Roman" w:asciiTheme="minorEastAsia" w:hAnsiTheme="minorEastAsia" w:eastAsiaTheme="minorEastAsia"/>
          <w:bCs/>
          <w:sz w:val="21"/>
          <w:szCs w:val="21"/>
        </w:rPr>
        <w:t xml:space="preserve"> 检测方法应符合下列要求：</w:t>
      </w:r>
    </w:p>
    <w:p>
      <w:pPr>
        <w:spacing w:line="360" w:lineRule="auto"/>
        <w:ind w:firstLine="420" w:firstLineChars="200"/>
        <w:rPr>
          <w:rFonts w:hint="eastAsia" w:cs="Times New Roman" w:asciiTheme="minorEastAsia" w:hAnsiTheme="minorEastAsia"/>
          <w:bCs/>
          <w:szCs w:val="21"/>
        </w:rPr>
      </w:pPr>
      <w:r>
        <w:rPr>
          <w:rFonts w:hint="eastAsia" w:ascii="黑体" w:hAnsi="黑体" w:eastAsia="黑体" w:cs="黑体"/>
          <w:szCs w:val="21"/>
        </w:rPr>
        <w:t>1</w:t>
      </w:r>
      <w:r>
        <w:rPr>
          <w:spacing w:val="7"/>
          <w:position w:val="-2"/>
        </w:rPr>
        <w:t xml:space="preserve"> </w:t>
      </w:r>
      <w:r>
        <w:rPr>
          <w:rFonts w:cs="Times New Roman" w:asciiTheme="minorEastAsia" w:hAnsiTheme="minorEastAsia"/>
          <w:bCs/>
          <w:szCs w:val="21"/>
        </w:rPr>
        <w:t xml:space="preserve"> </w:t>
      </w:r>
      <w:r>
        <w:rPr>
          <w:rFonts w:hint="eastAsia" w:cs="Times New Roman" w:asciiTheme="minorEastAsia" w:hAnsiTheme="minorEastAsia"/>
          <w:bCs/>
          <w:szCs w:val="21"/>
        </w:rPr>
        <w:t>坝体土料的颗粒级配、含水率、干密度、液塑限、压实度、渗透系数、相对密度、渗透系数检测：应执行GB/T 50123的规定。堆石料、反滤料、过渡料、垫层料的颗粒级配、干密度、孔隙率（或相对密度）检测：应执行DL/T 5356的规定。</w:t>
      </w:r>
    </w:p>
    <w:p>
      <w:pPr>
        <w:pStyle w:val="6"/>
        <w:spacing w:line="360" w:lineRule="auto"/>
        <w:ind w:firstLine="420" w:firstLineChars="200"/>
        <w:rPr>
          <w:rFonts w:hint="eastAsia" w:cs="Times New Roman" w:asciiTheme="minorEastAsia" w:hAnsiTheme="minorEastAsia" w:eastAsiaTheme="minorEastAsia"/>
          <w:bCs/>
          <w:sz w:val="21"/>
          <w:szCs w:val="21"/>
        </w:rPr>
      </w:pPr>
      <w:r>
        <w:rPr>
          <w:rFonts w:hint="eastAsia" w:ascii="黑体" w:hAnsi="黑体" w:eastAsia="黑体" w:cs="黑体"/>
          <w:sz w:val="21"/>
          <w:szCs w:val="21"/>
        </w:rPr>
        <w:t>2</w:t>
      </w:r>
      <w:r>
        <w:rPr>
          <w:spacing w:val="4"/>
          <w:position w:val="-2"/>
        </w:rPr>
        <w:t xml:space="preserve">  </w:t>
      </w:r>
      <w:r>
        <w:rPr>
          <w:rFonts w:hint="eastAsia" w:cs="Times New Roman" w:asciiTheme="minorEastAsia" w:hAnsiTheme="minorEastAsia" w:eastAsiaTheme="minorEastAsia"/>
          <w:bCs/>
          <w:sz w:val="21"/>
          <w:szCs w:val="21"/>
        </w:rPr>
        <w:t>混凝土抗压强度、渗透系数(抗渗性能)：应执行SL 352的规定。</w:t>
      </w:r>
    </w:p>
    <w:p>
      <w:pPr>
        <w:pStyle w:val="6"/>
        <w:spacing w:line="360" w:lineRule="auto"/>
        <w:ind w:firstLine="410"/>
        <w:rPr>
          <w:rFonts w:hint="eastAsia" w:cs="Times New Roman" w:asciiTheme="minorEastAsia" w:hAnsiTheme="minorEastAsia" w:eastAsiaTheme="minorEastAsia"/>
          <w:bCs/>
          <w:sz w:val="21"/>
          <w:szCs w:val="21"/>
        </w:rPr>
      </w:pPr>
      <w:r>
        <w:rPr>
          <w:rFonts w:hint="eastAsia" w:ascii="黑体" w:hAnsi="黑体" w:eastAsia="黑体" w:cs="黑体"/>
          <w:sz w:val="21"/>
          <w:szCs w:val="21"/>
        </w:rPr>
        <w:t xml:space="preserve">3 </w:t>
      </w:r>
      <w:r>
        <w:rPr>
          <w:rFonts w:hint="eastAsia" w:cs="Times New Roman" w:asciiTheme="minorEastAsia" w:hAnsiTheme="minorEastAsia" w:eastAsiaTheme="minorEastAsia"/>
          <w:bCs/>
          <w:sz w:val="21"/>
          <w:szCs w:val="21"/>
        </w:rPr>
        <w:t xml:space="preserve"> 裂缝：长度、宽度检测采用尺量方法,深度检测采用超声波方法，应执行SL 352规定。</w:t>
      </w:r>
    </w:p>
    <w:p>
      <w:pPr>
        <w:pStyle w:val="6"/>
        <w:spacing w:line="360" w:lineRule="auto"/>
        <w:ind w:firstLine="415"/>
        <w:rPr>
          <w:rFonts w:hint="eastAsia" w:cs="Times New Roman" w:asciiTheme="minorEastAsia" w:hAnsiTheme="minorEastAsia" w:eastAsiaTheme="minorEastAsia"/>
          <w:bCs/>
          <w:sz w:val="21"/>
          <w:szCs w:val="21"/>
        </w:rPr>
      </w:pPr>
      <w:r>
        <w:rPr>
          <w:rFonts w:hint="eastAsia" w:ascii="黑体" w:hAnsi="黑体" w:eastAsia="黑体" w:cs="黑体"/>
          <w:sz w:val="21"/>
          <w:szCs w:val="21"/>
        </w:rPr>
        <w:t>4</w:t>
      </w:r>
      <w:r>
        <w:rPr>
          <w:spacing w:val="13"/>
          <w:position w:val="-2"/>
        </w:rPr>
        <w:t xml:space="preserve"> </w:t>
      </w:r>
      <w:r>
        <w:rPr>
          <w:rFonts w:hint="eastAsia" w:cs="Times New Roman" w:asciiTheme="minorEastAsia" w:hAnsiTheme="minorEastAsia" w:eastAsiaTheme="minorEastAsia"/>
          <w:bCs/>
          <w:sz w:val="21"/>
          <w:szCs w:val="21"/>
        </w:rPr>
        <w:t xml:space="preserve"> 高密度聚乙烯、聚氯乙烯和复合土工膜等土工合成防渗材料：密度、单位面积质量、厚度（及其与法向应力的关系）、拉伸强度、伸长率、撕裂强力、顶破强力、直剪摩擦、拉拔摩擦、渗透系数、老化性能、焊接或黏结接缝强度：应执行SL 235规定。</w:t>
      </w:r>
    </w:p>
    <w:p>
      <w:pPr>
        <w:pStyle w:val="6"/>
        <w:spacing w:line="360" w:lineRule="auto"/>
        <w:ind w:firstLine="419"/>
        <w:rPr>
          <w:rFonts w:hint="eastAsia" w:cs="Times New Roman" w:asciiTheme="minorEastAsia" w:hAnsiTheme="minorEastAsia" w:eastAsiaTheme="minorEastAsia"/>
          <w:bCs/>
          <w:sz w:val="21"/>
          <w:szCs w:val="21"/>
        </w:rPr>
      </w:pPr>
      <w:r>
        <w:rPr>
          <w:rFonts w:hint="eastAsia" w:ascii="黑体" w:hAnsi="黑体" w:eastAsia="黑体" w:cs="黑体"/>
          <w:sz w:val="21"/>
          <w:szCs w:val="21"/>
        </w:rPr>
        <w:t xml:space="preserve">5 </w:t>
      </w:r>
      <w:r>
        <w:rPr>
          <w:rFonts w:hint="eastAsia" w:cs="Times New Roman" w:asciiTheme="minorEastAsia" w:hAnsiTheme="minorEastAsia" w:eastAsiaTheme="minorEastAsia"/>
          <w:bCs/>
          <w:sz w:val="21"/>
          <w:szCs w:val="21"/>
        </w:rPr>
        <w:t xml:space="preserve"> 其他检测项目及其检测方法：可按本标准5.1.1款的有关要求执行。</w:t>
      </w:r>
    </w:p>
    <w:p>
      <w:pPr>
        <w:pStyle w:val="6"/>
        <w:spacing w:line="360" w:lineRule="auto"/>
        <w:rPr>
          <w:rFonts w:hint="eastAsia" w:cs="Times New Roman" w:asciiTheme="minorEastAsia" w:hAnsiTheme="minorEastAsia" w:eastAsiaTheme="minorEastAsia"/>
          <w:bCs/>
          <w:sz w:val="21"/>
          <w:szCs w:val="21"/>
        </w:rPr>
      </w:pPr>
      <w:r>
        <w:rPr>
          <w:rFonts w:hint="eastAsia" w:ascii="黑体" w:hAnsi="黑体" w:eastAsia="黑体" w:cs="黑体"/>
          <w:sz w:val="21"/>
          <w:szCs w:val="21"/>
        </w:rPr>
        <w:t xml:space="preserve">5.2.4 </w:t>
      </w:r>
      <w:r>
        <w:rPr>
          <w:spacing w:val="19"/>
        </w:rPr>
        <w:t xml:space="preserve"> </w:t>
      </w:r>
      <w:r>
        <w:rPr>
          <w:rFonts w:hint="eastAsia" w:cs="Times New Roman" w:asciiTheme="minorEastAsia" w:hAnsiTheme="minorEastAsia" w:eastAsiaTheme="minorEastAsia"/>
          <w:bCs/>
          <w:sz w:val="21"/>
          <w:szCs w:val="21"/>
        </w:rPr>
        <w:t>测区(测线、测点)布置和数量应符合下列要求：</w:t>
      </w:r>
    </w:p>
    <w:p>
      <w:pPr>
        <w:pStyle w:val="6"/>
        <w:spacing w:line="360" w:lineRule="auto"/>
        <w:ind w:firstLine="423"/>
        <w:rPr>
          <w:rFonts w:hint="eastAsia" w:cs="Times New Roman" w:asciiTheme="minorEastAsia" w:hAnsiTheme="minorEastAsia" w:eastAsiaTheme="minorEastAsia"/>
          <w:bCs/>
          <w:sz w:val="21"/>
          <w:szCs w:val="21"/>
        </w:rPr>
      </w:pPr>
      <w:r>
        <w:rPr>
          <w:rFonts w:hint="eastAsia" w:ascii="黑体" w:hAnsi="黑体" w:eastAsia="黑体" w:cs="黑体"/>
          <w:sz w:val="21"/>
          <w:szCs w:val="21"/>
        </w:rPr>
        <w:t>1</w:t>
      </w:r>
      <w:r>
        <w:rPr>
          <w:spacing w:val="5"/>
          <w:position w:val="-2"/>
        </w:rPr>
        <w:t xml:space="preserve"> </w:t>
      </w:r>
      <w:r>
        <w:rPr>
          <w:rFonts w:hint="eastAsia" w:cs="Times New Roman" w:asciiTheme="minorEastAsia" w:hAnsiTheme="minorEastAsia" w:eastAsiaTheme="minorEastAsia"/>
          <w:bCs/>
          <w:sz w:val="21"/>
          <w:szCs w:val="21"/>
        </w:rPr>
        <w:t xml:space="preserve"> 坝体土料、堆石料、反滤料、过渡料、垫层料测区(测线、测点)布置和数量应在工程的重要部位、建设过程中发生过质量问题部位、在各类检查中提出过问题的部位、质量监督机构认为应重点检查的部位、完工后发现质量缺陷等部位适当增加相应的检测项目、内容和数量。</w:t>
      </w:r>
    </w:p>
    <w:p>
      <w:pPr>
        <w:pStyle w:val="6"/>
        <w:spacing w:line="360" w:lineRule="auto"/>
        <w:ind w:firstLine="413"/>
        <w:rPr>
          <w:rFonts w:hint="eastAsia" w:cs="Times New Roman" w:asciiTheme="minorEastAsia" w:hAnsiTheme="minorEastAsia" w:eastAsiaTheme="minorEastAsia"/>
          <w:bCs/>
          <w:sz w:val="21"/>
          <w:szCs w:val="21"/>
        </w:rPr>
      </w:pPr>
      <w:r>
        <w:rPr>
          <w:rFonts w:hint="eastAsia" w:ascii="黑体" w:hAnsi="黑体" w:eastAsia="黑体" w:cs="黑体"/>
          <w:sz w:val="21"/>
          <w:szCs w:val="21"/>
        </w:rPr>
        <w:t>2</w:t>
      </w:r>
      <w:r>
        <w:rPr>
          <w:spacing w:val="4"/>
          <w:position w:val="-2"/>
        </w:rPr>
        <w:t xml:space="preserve"> </w:t>
      </w:r>
      <w:r>
        <w:rPr>
          <w:rFonts w:hint="eastAsia" w:cs="Times New Roman" w:asciiTheme="minorEastAsia" w:hAnsiTheme="minorEastAsia" w:eastAsiaTheme="minorEastAsia"/>
          <w:bCs/>
          <w:sz w:val="21"/>
          <w:szCs w:val="21"/>
        </w:rPr>
        <w:t xml:space="preserve"> 采用波速法、附加质量法等检测,纵横布置测线,对于以测点读数方法则在每条测线上等分3点采集数据。</w:t>
      </w:r>
    </w:p>
    <w:p>
      <w:pPr>
        <w:pStyle w:val="6"/>
        <w:spacing w:line="360" w:lineRule="auto"/>
        <w:ind w:firstLine="413"/>
        <w:rPr>
          <w:rFonts w:hint="eastAsia" w:cs="Times New Roman" w:asciiTheme="minorEastAsia" w:hAnsiTheme="minorEastAsia" w:eastAsiaTheme="minorEastAsia"/>
          <w:bCs/>
          <w:sz w:val="21"/>
          <w:szCs w:val="21"/>
        </w:rPr>
      </w:pPr>
      <w:r>
        <w:rPr>
          <w:rFonts w:hint="eastAsia" w:ascii="黑体" w:hAnsi="黑体" w:eastAsia="黑体" w:cs="黑体"/>
          <w:sz w:val="21"/>
          <w:szCs w:val="21"/>
        </w:rPr>
        <w:t>3</w:t>
      </w:r>
      <w:r>
        <w:rPr>
          <w:spacing w:val="13"/>
        </w:rPr>
        <w:t xml:space="preserve"> </w:t>
      </w:r>
      <w:r>
        <w:rPr>
          <w:rFonts w:hint="eastAsia" w:cs="Times New Roman" w:asciiTheme="minorEastAsia" w:hAnsiTheme="minorEastAsia" w:eastAsiaTheme="minorEastAsia"/>
          <w:bCs/>
          <w:sz w:val="21"/>
          <w:szCs w:val="21"/>
        </w:rPr>
        <w:t xml:space="preserve"> 采用雷达法、电测法等检测：测网(线)布置应执行SL/T 291.1的规定。</w:t>
      </w:r>
    </w:p>
    <w:p>
      <w:pPr>
        <w:pStyle w:val="3"/>
        <w:snapToGrid w:val="0"/>
        <w:spacing w:afterLines="50"/>
        <w:jc w:val="center"/>
        <w:rPr>
          <w:rFonts w:ascii="黑体" w:hAnsi="黑体"/>
          <w:sz w:val="24"/>
          <w:szCs w:val="24"/>
        </w:rPr>
      </w:pPr>
      <w:bookmarkStart w:id="62" w:name="_Toc11528"/>
      <w:r>
        <w:rPr>
          <w:rFonts w:ascii="黑体" w:hAnsi="黑体"/>
          <w:sz w:val="24"/>
          <w:szCs w:val="24"/>
        </w:rPr>
        <w:t>5.3  堤防与渠道</w:t>
      </w:r>
      <w:bookmarkEnd w:id="61"/>
      <w:bookmarkEnd w:id="62"/>
    </w:p>
    <w:p>
      <w:pPr>
        <w:pStyle w:val="6"/>
        <w:spacing w:line="360" w:lineRule="auto"/>
        <w:rPr>
          <w:rFonts w:hint="eastAsia" w:cs="Times New Roman" w:asciiTheme="minorEastAsia" w:hAnsiTheme="minorEastAsia" w:eastAsiaTheme="minorEastAsia"/>
          <w:bCs/>
          <w:sz w:val="21"/>
          <w:szCs w:val="21"/>
        </w:rPr>
      </w:pPr>
      <w:r>
        <w:rPr>
          <w:rFonts w:hint="eastAsia" w:ascii="黑体" w:hAnsi="黑体" w:eastAsia="黑体" w:cs="黑体"/>
          <w:sz w:val="21"/>
          <w:szCs w:val="21"/>
        </w:rPr>
        <w:t>5.3.1</w:t>
      </w:r>
      <w:r>
        <w:rPr>
          <w:spacing w:val="4"/>
          <w:position w:val="-2"/>
        </w:rPr>
        <w:t xml:space="preserve">  </w:t>
      </w:r>
      <w:r>
        <w:rPr>
          <w:rFonts w:hint="eastAsia" w:cs="Times New Roman" w:asciiTheme="minorEastAsia" w:hAnsiTheme="minorEastAsia" w:eastAsiaTheme="minorEastAsia"/>
          <w:bCs/>
          <w:sz w:val="21"/>
          <w:szCs w:val="21"/>
        </w:rPr>
        <w:t>检测项目宜包括下列内容：</w:t>
      </w:r>
    </w:p>
    <w:p>
      <w:pPr>
        <w:pStyle w:val="6"/>
        <w:spacing w:line="360" w:lineRule="auto"/>
        <w:ind w:firstLine="423"/>
        <w:rPr>
          <w:rFonts w:hint="eastAsia" w:cs="Times New Roman" w:asciiTheme="minorEastAsia" w:hAnsiTheme="minorEastAsia" w:eastAsiaTheme="minorEastAsia"/>
          <w:bCs/>
          <w:sz w:val="21"/>
          <w:szCs w:val="21"/>
        </w:rPr>
      </w:pPr>
      <w:r>
        <w:rPr>
          <w:rFonts w:hint="eastAsia" w:ascii="黑体" w:hAnsi="黑体" w:eastAsia="黑体" w:cs="黑体"/>
          <w:sz w:val="21"/>
          <w:szCs w:val="21"/>
        </w:rPr>
        <w:t>1</w:t>
      </w:r>
      <w:bookmarkStart w:id="63" w:name="_Hlk162681993"/>
      <w:r>
        <w:rPr>
          <w:rFonts w:hint="eastAsia" w:ascii="黑体" w:hAnsi="黑体" w:eastAsia="黑体" w:cs="黑体"/>
          <w:sz w:val="21"/>
          <w:szCs w:val="21"/>
        </w:rPr>
        <w:t xml:space="preserve"> </w:t>
      </w:r>
      <w:r>
        <w:rPr>
          <w:rFonts w:hint="eastAsia" w:cs="Times New Roman" w:asciiTheme="minorEastAsia" w:hAnsiTheme="minorEastAsia" w:eastAsiaTheme="minorEastAsia"/>
          <w:bCs/>
          <w:sz w:val="21"/>
          <w:szCs w:val="21"/>
        </w:rPr>
        <w:t xml:space="preserve"> </w:t>
      </w:r>
      <w:bookmarkEnd w:id="63"/>
      <w:r>
        <w:rPr>
          <w:rFonts w:hint="eastAsia" w:cs="Times New Roman" w:asciiTheme="minorEastAsia" w:hAnsiTheme="minorEastAsia" w:eastAsiaTheme="minorEastAsia"/>
          <w:bCs/>
          <w:sz w:val="21"/>
          <w:szCs w:val="21"/>
        </w:rPr>
        <w:t>堤身(渠身)（土料或改性土）：土物理性指标、压实度或相对密度、渗透系数、内部缺陷(隐患)，改性土的水泥剂量和均匀性。堤身(渠身)反滤料或排水体料的检测项目应按5.2节执行。</w:t>
      </w:r>
    </w:p>
    <w:p>
      <w:pPr>
        <w:pStyle w:val="6"/>
        <w:spacing w:line="360" w:lineRule="auto"/>
        <w:ind w:firstLine="420" w:firstLineChars="200"/>
        <w:rPr>
          <w:rFonts w:hint="eastAsia" w:cs="Times New Roman" w:asciiTheme="minorEastAsia" w:hAnsiTheme="minorEastAsia" w:eastAsiaTheme="minorEastAsia"/>
          <w:bCs/>
          <w:sz w:val="21"/>
          <w:szCs w:val="21"/>
        </w:rPr>
      </w:pPr>
      <w:r>
        <w:rPr>
          <w:rFonts w:hint="eastAsia" w:ascii="黑体" w:hAnsi="黑体" w:eastAsia="黑体" w:cs="黑体"/>
          <w:sz w:val="21"/>
          <w:szCs w:val="21"/>
        </w:rPr>
        <w:t xml:space="preserve">2 </w:t>
      </w:r>
      <w:r>
        <w:rPr>
          <w:rFonts w:hint="eastAsia" w:cs="Times New Roman" w:asciiTheme="minorEastAsia" w:hAnsiTheme="minorEastAsia" w:eastAsiaTheme="minorEastAsia"/>
          <w:bCs/>
          <w:sz w:val="21"/>
          <w:szCs w:val="21"/>
        </w:rPr>
        <w:t xml:space="preserve"> 堤顶(渠顶)道路：路面混凝土抗压强度、路面沥青马歇尔稳定度及流值、钢筋数量、钢筋间距、路面宽度、路面厚度、路面平整度、路肩石砌筑。</w:t>
      </w:r>
    </w:p>
    <w:p>
      <w:pPr>
        <w:pStyle w:val="6"/>
        <w:spacing w:line="360" w:lineRule="auto"/>
        <w:ind w:firstLine="420" w:firstLineChars="200"/>
        <w:rPr>
          <w:rFonts w:hint="eastAsia" w:cs="Times New Roman" w:asciiTheme="minorEastAsia" w:hAnsiTheme="minorEastAsia" w:eastAsiaTheme="minorEastAsia"/>
          <w:bCs/>
          <w:sz w:val="21"/>
          <w:szCs w:val="21"/>
        </w:rPr>
      </w:pPr>
      <w:r>
        <w:rPr>
          <w:rFonts w:hint="eastAsia" w:ascii="黑体" w:hAnsi="黑体" w:eastAsia="黑体" w:cs="黑体"/>
          <w:sz w:val="21"/>
          <w:szCs w:val="21"/>
        </w:rPr>
        <w:t xml:space="preserve">3  </w:t>
      </w:r>
      <w:r>
        <w:rPr>
          <w:rFonts w:hint="eastAsia" w:cs="Times New Roman" w:asciiTheme="minorEastAsia" w:hAnsiTheme="minorEastAsia" w:eastAsiaTheme="minorEastAsia"/>
          <w:bCs/>
          <w:sz w:val="21"/>
          <w:szCs w:val="21"/>
        </w:rPr>
        <w:t>堤基(渠基)应按4.2节执行。</w:t>
      </w:r>
    </w:p>
    <w:p>
      <w:pPr>
        <w:pStyle w:val="6"/>
        <w:spacing w:line="360" w:lineRule="auto"/>
        <w:ind w:firstLine="420" w:firstLineChars="200"/>
        <w:rPr>
          <w:rFonts w:hint="eastAsia" w:cs="Times New Roman" w:asciiTheme="minorEastAsia" w:hAnsiTheme="minorEastAsia" w:eastAsiaTheme="minorEastAsia"/>
          <w:bCs/>
          <w:sz w:val="21"/>
          <w:szCs w:val="21"/>
        </w:rPr>
      </w:pPr>
      <w:r>
        <w:rPr>
          <w:rFonts w:hint="eastAsia" w:ascii="黑体" w:hAnsi="黑体" w:eastAsia="黑体" w:cs="黑体"/>
          <w:sz w:val="21"/>
          <w:szCs w:val="21"/>
        </w:rPr>
        <w:t xml:space="preserve">4  </w:t>
      </w:r>
      <w:r>
        <w:rPr>
          <w:rFonts w:hint="eastAsia" w:cs="Times New Roman" w:asciiTheme="minorEastAsia" w:hAnsiTheme="minorEastAsia" w:eastAsiaTheme="minorEastAsia"/>
          <w:bCs/>
          <w:sz w:val="21"/>
          <w:szCs w:val="21"/>
        </w:rPr>
        <w:t>护坡(渠坡)应按5.4节和6.5节执行。</w:t>
      </w:r>
    </w:p>
    <w:p>
      <w:pPr>
        <w:pStyle w:val="6"/>
        <w:spacing w:line="360" w:lineRule="auto"/>
        <w:ind w:firstLine="420" w:firstLineChars="200"/>
        <w:rPr>
          <w:rFonts w:hint="eastAsia" w:asciiTheme="minorEastAsia" w:hAnsiTheme="minorEastAsia" w:eastAsiaTheme="minorEastAsia" w:cstheme="minorEastAsia"/>
          <w:spacing w:val="20"/>
          <w:sz w:val="21"/>
          <w:szCs w:val="21"/>
        </w:rPr>
      </w:pPr>
      <w:bookmarkStart w:id="64" w:name="bookmark19"/>
      <w:bookmarkEnd w:id="64"/>
      <w:r>
        <w:rPr>
          <w:rFonts w:hint="eastAsia" w:ascii="黑体" w:hAnsi="黑体" w:eastAsia="黑体" w:cs="黑体"/>
          <w:sz w:val="21"/>
          <w:szCs w:val="21"/>
        </w:rPr>
        <w:t>5</w:t>
      </w:r>
      <w:r>
        <w:rPr>
          <w:spacing w:val="4"/>
          <w:position w:val="-2"/>
        </w:rPr>
        <w:t xml:space="preserve"> </w:t>
      </w:r>
      <w:r>
        <w:rPr>
          <w:rFonts w:hint="eastAsia"/>
          <w:spacing w:val="4"/>
          <w:position w:val="-2"/>
        </w:rPr>
        <w:t xml:space="preserve"> </w:t>
      </w:r>
      <w:r>
        <w:rPr>
          <w:rFonts w:hint="eastAsia" w:cs="Times New Roman" w:asciiTheme="minorEastAsia" w:hAnsiTheme="minorEastAsia" w:eastAsiaTheme="minorEastAsia"/>
          <w:bCs/>
          <w:sz w:val="21"/>
          <w:szCs w:val="21"/>
        </w:rPr>
        <w:t>穿堤(渠)建筑物应按6.3节和6.5节执行。</w:t>
      </w:r>
    </w:p>
    <w:p>
      <w:pPr>
        <w:pStyle w:val="6"/>
        <w:spacing w:line="360" w:lineRule="auto"/>
        <w:ind w:firstLine="420" w:firstLineChars="200"/>
        <w:rPr>
          <w:rFonts w:hint="eastAsia" w:cs="Times New Roman" w:asciiTheme="minorEastAsia" w:hAnsiTheme="minorEastAsia" w:eastAsiaTheme="minorEastAsia"/>
          <w:bCs/>
          <w:sz w:val="21"/>
          <w:szCs w:val="21"/>
        </w:rPr>
      </w:pPr>
      <w:r>
        <w:rPr>
          <w:rFonts w:hint="eastAsia" w:ascii="黑体" w:hAnsi="黑体" w:eastAsia="黑体" w:cs="黑体"/>
          <w:sz w:val="21"/>
          <w:szCs w:val="21"/>
        </w:rPr>
        <w:t xml:space="preserve">6  </w:t>
      </w:r>
      <w:r>
        <w:rPr>
          <w:rFonts w:hint="eastAsia" w:cs="Times New Roman" w:asciiTheme="minorEastAsia" w:hAnsiTheme="minorEastAsia" w:eastAsiaTheme="minorEastAsia"/>
          <w:bCs/>
          <w:sz w:val="21"/>
          <w:szCs w:val="21"/>
        </w:rPr>
        <w:t>防渗处理应按4.3节和4.4节执行。</w:t>
      </w:r>
    </w:p>
    <w:p>
      <w:pPr>
        <w:spacing w:line="360" w:lineRule="auto"/>
        <w:ind w:firstLine="420" w:firstLineChars="200"/>
        <w:rPr>
          <w:rFonts w:hint="eastAsia" w:cs="Times New Roman" w:asciiTheme="minorEastAsia" w:hAnsiTheme="minorEastAsia"/>
          <w:bCs/>
          <w:szCs w:val="21"/>
        </w:rPr>
      </w:pPr>
      <w:r>
        <w:rPr>
          <w:rFonts w:hint="eastAsia" w:ascii="黑体" w:hAnsi="黑体" w:eastAsia="黑体" w:cs="黑体"/>
          <w:szCs w:val="21"/>
        </w:rPr>
        <w:t>7</w:t>
      </w:r>
      <w:r>
        <w:rPr>
          <w:rFonts w:hint="eastAsia" w:ascii="黑体" w:hAnsi="黑体" w:eastAsia="黑体" w:cs="黑体"/>
          <w:color w:val="0000FF"/>
        </w:rPr>
        <w:t xml:space="preserve"> </w:t>
      </w:r>
      <w:r>
        <w:rPr>
          <w:rFonts w:hint="eastAsia" w:cs="Times New Roman" w:asciiTheme="minorEastAsia" w:hAnsiTheme="minorEastAsia"/>
          <w:bCs/>
          <w:szCs w:val="21"/>
        </w:rPr>
        <w:t xml:space="preserve"> 堤防及河道（渠道）工程外观质量与外观尺寸：应按SL/T 223的规定执行。</w:t>
      </w:r>
    </w:p>
    <w:p>
      <w:pPr>
        <w:spacing w:line="360" w:lineRule="auto"/>
        <w:rPr>
          <w:rFonts w:hint="eastAsia" w:cs="Times New Roman" w:asciiTheme="minorEastAsia" w:hAnsiTheme="minorEastAsia"/>
          <w:bCs/>
          <w:color w:val="FF0000"/>
          <w:szCs w:val="21"/>
        </w:rPr>
      </w:pPr>
      <w:r>
        <w:rPr>
          <w:rFonts w:hint="eastAsia" w:ascii="黑体" w:hAnsi="黑体" w:eastAsia="黑体" w:cs="黑体"/>
          <w:szCs w:val="21"/>
        </w:rPr>
        <w:t>5.3.2</w:t>
      </w:r>
      <w:r>
        <w:rPr>
          <w:rFonts w:hint="eastAsia" w:cs="Times New Roman" w:asciiTheme="minorEastAsia" w:hAnsiTheme="minorEastAsia"/>
          <w:bCs/>
          <w:szCs w:val="21"/>
        </w:rPr>
        <w:t xml:space="preserve"> </w:t>
      </w:r>
      <w:r>
        <w:rPr>
          <w:rFonts w:cs="Times New Roman" w:asciiTheme="minorEastAsia" w:hAnsiTheme="minorEastAsia"/>
          <w:bCs/>
          <w:szCs w:val="21"/>
        </w:rPr>
        <w:t xml:space="preserve"> </w:t>
      </w:r>
      <w:r>
        <w:rPr>
          <w:rFonts w:hint="eastAsia" w:cs="Times New Roman" w:asciiTheme="minorEastAsia" w:hAnsiTheme="minorEastAsia"/>
          <w:bCs/>
          <w:szCs w:val="21"/>
        </w:rPr>
        <w:t>检测单元应根据工程特点和施工情况划分，可沿堤（渠）轴线每50m一段划分为1个检测单元。</w:t>
      </w:r>
    </w:p>
    <w:p>
      <w:pPr>
        <w:pStyle w:val="6"/>
        <w:spacing w:line="360" w:lineRule="auto"/>
        <w:rPr>
          <w:rFonts w:hint="eastAsia" w:cs="Times New Roman" w:asciiTheme="minorEastAsia" w:hAnsiTheme="minorEastAsia" w:eastAsiaTheme="minorEastAsia"/>
          <w:bCs/>
          <w:color w:val="ED0000"/>
          <w:sz w:val="21"/>
          <w:szCs w:val="21"/>
        </w:rPr>
      </w:pPr>
      <w:r>
        <w:rPr>
          <w:rFonts w:hint="eastAsia" w:ascii="黑体" w:hAnsi="黑体" w:eastAsia="黑体" w:cs="黑体"/>
          <w:sz w:val="21"/>
          <w:szCs w:val="21"/>
        </w:rPr>
        <w:t xml:space="preserve">5.3.3 </w:t>
      </w:r>
      <w:r>
        <w:rPr>
          <w:spacing w:val="10"/>
          <w:position w:val="-2"/>
        </w:rPr>
        <w:t xml:space="preserve"> </w:t>
      </w:r>
      <w:r>
        <w:rPr>
          <w:rFonts w:hint="eastAsia" w:cs="Times New Roman" w:asciiTheme="minorEastAsia" w:hAnsiTheme="minorEastAsia" w:eastAsiaTheme="minorEastAsia"/>
          <w:bCs/>
          <w:sz w:val="21"/>
          <w:szCs w:val="21"/>
        </w:rPr>
        <w:t>检测方法应符合下列要求：</w:t>
      </w:r>
      <w:r>
        <w:rPr>
          <w:rFonts w:hint="eastAsia" w:cs="Times New Roman" w:asciiTheme="minorEastAsia" w:hAnsiTheme="minorEastAsia" w:eastAsiaTheme="minorEastAsia"/>
          <w:bCs/>
          <w:color w:val="ED0000"/>
          <w:sz w:val="21"/>
          <w:szCs w:val="21"/>
        </w:rPr>
        <w:t xml:space="preserve"> </w:t>
      </w:r>
    </w:p>
    <w:p>
      <w:pPr>
        <w:pStyle w:val="6"/>
        <w:spacing w:line="360" w:lineRule="auto"/>
        <w:ind w:firstLine="420" w:firstLineChars="200"/>
        <w:rPr>
          <w:rFonts w:hint="eastAsia" w:cs="Times New Roman" w:asciiTheme="minorEastAsia" w:hAnsiTheme="minorEastAsia" w:eastAsiaTheme="minorEastAsia"/>
          <w:bCs/>
          <w:sz w:val="21"/>
          <w:szCs w:val="21"/>
        </w:rPr>
      </w:pPr>
      <w:r>
        <w:rPr>
          <w:rFonts w:hint="eastAsia" w:ascii="黑体" w:hAnsi="黑体" w:eastAsia="黑体" w:cs="黑体"/>
          <w:sz w:val="21"/>
          <w:szCs w:val="21"/>
        </w:rPr>
        <w:t>1</w:t>
      </w:r>
      <w:r>
        <w:rPr>
          <w:spacing w:val="8"/>
          <w:position w:val="-2"/>
        </w:rPr>
        <w:t xml:space="preserve"> </w:t>
      </w:r>
      <w:r>
        <w:rPr>
          <w:rFonts w:hint="eastAsia" w:cs="Times New Roman" w:asciiTheme="minorEastAsia" w:hAnsiTheme="minorEastAsia" w:eastAsiaTheme="minorEastAsia"/>
          <w:bCs/>
          <w:sz w:val="21"/>
          <w:szCs w:val="21"/>
        </w:rPr>
        <w:t xml:space="preserve"> 堤身(渠身)（土料或改性土）：土物理性指标、压实度或相对密度、渗透系数，改性土的水泥剂量和均匀性检测：应执行GB/T 50123的规定；内部缺陷(隐患)检测：应执行SL/T 291.1的规定；路面混凝土抗压强度：应执行SL 352的规定。</w:t>
      </w:r>
    </w:p>
    <w:p>
      <w:pPr>
        <w:pStyle w:val="6"/>
        <w:spacing w:line="360" w:lineRule="auto"/>
        <w:ind w:firstLine="420" w:firstLineChars="200"/>
        <w:rPr>
          <w:rFonts w:hint="eastAsia" w:cs="Times New Roman" w:asciiTheme="minorEastAsia" w:hAnsiTheme="minorEastAsia" w:eastAsiaTheme="minorEastAsia"/>
          <w:bCs/>
          <w:sz w:val="21"/>
          <w:szCs w:val="21"/>
        </w:rPr>
      </w:pPr>
      <w:r>
        <w:rPr>
          <w:rFonts w:hint="eastAsia" w:ascii="黑体" w:hAnsi="黑体" w:eastAsia="黑体" w:cs="黑体"/>
          <w:sz w:val="21"/>
          <w:szCs w:val="21"/>
        </w:rPr>
        <w:t>2</w:t>
      </w:r>
      <w:r>
        <w:rPr>
          <w:rFonts w:hint="eastAsia" w:cs="Times New Roman" w:asciiTheme="minorEastAsia" w:hAnsiTheme="minorEastAsia" w:eastAsiaTheme="minorEastAsia"/>
          <w:bCs/>
          <w:sz w:val="21"/>
          <w:szCs w:val="21"/>
        </w:rPr>
        <w:t xml:space="preserve">  堤顶(渠顶)道路中钢筋数量、钢筋间距、面层厚度：采用探地雷达法应执行SL/T 291.1的规定,采用钢筋探测仪应执行JGJ/T 152的规定；面层厚度可采用取芯量测。</w:t>
      </w:r>
    </w:p>
    <w:p>
      <w:pPr>
        <w:pStyle w:val="6"/>
        <w:spacing w:line="360" w:lineRule="auto"/>
        <w:ind w:firstLine="420" w:firstLineChars="200"/>
        <w:rPr>
          <w:rFonts w:hint="eastAsia" w:cs="Times New Roman" w:asciiTheme="minorEastAsia" w:hAnsiTheme="minorEastAsia" w:eastAsiaTheme="minorEastAsia"/>
          <w:bCs/>
          <w:sz w:val="21"/>
          <w:szCs w:val="21"/>
        </w:rPr>
      </w:pPr>
      <w:r>
        <w:rPr>
          <w:rFonts w:hint="eastAsia" w:ascii="黑体" w:hAnsi="黑体" w:eastAsia="黑体" w:cs="黑体"/>
          <w:sz w:val="21"/>
          <w:szCs w:val="21"/>
        </w:rPr>
        <w:t>3</w:t>
      </w:r>
      <w:r>
        <w:rPr>
          <w:spacing w:val="16"/>
        </w:rPr>
        <w:t xml:space="preserve"> </w:t>
      </w:r>
      <w:r>
        <w:rPr>
          <w:rFonts w:hint="eastAsia" w:cs="Times New Roman" w:asciiTheme="minorEastAsia" w:hAnsiTheme="minorEastAsia" w:eastAsiaTheme="minorEastAsia"/>
          <w:bCs/>
          <w:sz w:val="21"/>
          <w:szCs w:val="21"/>
        </w:rPr>
        <w:t xml:space="preserve"> 路面宽度、路面平整度：采用直尺和2m靠尺量测方法。</w:t>
      </w:r>
    </w:p>
    <w:p>
      <w:pPr>
        <w:pStyle w:val="6"/>
        <w:spacing w:line="360" w:lineRule="auto"/>
        <w:ind w:firstLine="420" w:firstLineChars="200"/>
        <w:rPr>
          <w:rFonts w:hint="eastAsia" w:cs="Times New Roman" w:asciiTheme="minorEastAsia" w:hAnsiTheme="minorEastAsia" w:eastAsiaTheme="minorEastAsia"/>
          <w:bCs/>
          <w:sz w:val="21"/>
          <w:szCs w:val="21"/>
        </w:rPr>
      </w:pPr>
      <w:r>
        <w:rPr>
          <w:rFonts w:hint="eastAsia" w:ascii="黑体" w:hAnsi="黑体" w:eastAsia="黑体" w:cs="黑体"/>
          <w:sz w:val="21"/>
          <w:szCs w:val="21"/>
        </w:rPr>
        <w:t>4</w:t>
      </w:r>
      <w:bookmarkStart w:id="65" w:name="_Hlk162692491"/>
      <w:r>
        <w:rPr>
          <w:spacing w:val="5"/>
          <w:position w:val="-2"/>
        </w:rPr>
        <w:t xml:space="preserve"> </w:t>
      </w:r>
      <w:r>
        <w:rPr>
          <w:rFonts w:hint="eastAsia" w:cs="Times New Roman" w:asciiTheme="minorEastAsia" w:hAnsiTheme="minorEastAsia" w:eastAsiaTheme="minorEastAsia"/>
          <w:bCs/>
          <w:sz w:val="21"/>
          <w:szCs w:val="21"/>
        </w:rPr>
        <w:t xml:space="preserve"> </w:t>
      </w:r>
      <w:bookmarkEnd w:id="65"/>
      <w:r>
        <w:rPr>
          <w:rFonts w:hint="eastAsia" w:cs="Times New Roman" w:asciiTheme="minorEastAsia" w:hAnsiTheme="minorEastAsia" w:eastAsiaTheme="minorEastAsia"/>
          <w:bCs/>
          <w:sz w:val="21"/>
          <w:szCs w:val="21"/>
        </w:rPr>
        <w:t>路肩石砌筑：采用目测和尺量方法。</w:t>
      </w:r>
    </w:p>
    <w:p>
      <w:pPr>
        <w:spacing w:line="360" w:lineRule="auto"/>
        <w:ind w:firstLine="420" w:firstLineChars="200"/>
        <w:rPr>
          <w:rFonts w:hint="eastAsia" w:asciiTheme="minorEastAsia" w:hAnsiTheme="minorEastAsia" w:cstheme="minorEastAsia"/>
          <w:spacing w:val="20"/>
          <w:szCs w:val="21"/>
        </w:rPr>
      </w:pPr>
      <w:r>
        <w:rPr>
          <w:rFonts w:hint="eastAsia" w:ascii="黑体" w:hAnsi="黑体" w:eastAsia="黑体" w:cs="黑体"/>
          <w:szCs w:val="21"/>
        </w:rPr>
        <w:t>5</w:t>
      </w:r>
      <w:r>
        <w:rPr>
          <w:rFonts w:hint="eastAsia" w:ascii="黑体" w:hAnsi="黑体" w:eastAsia="黑体" w:cs="黑体"/>
          <w:color w:val="0000FF"/>
        </w:rPr>
        <w:t xml:space="preserve"> </w:t>
      </w:r>
      <w:r>
        <w:rPr>
          <w:rFonts w:hint="eastAsia" w:cs="Times New Roman" w:asciiTheme="minorEastAsia" w:hAnsiTheme="minorEastAsia"/>
          <w:bCs/>
          <w:szCs w:val="21"/>
        </w:rPr>
        <w:t xml:space="preserve"> 轮廓线、表面平整度、曲面与平面联结、排水、上堤马道等应执行SL/T 223的规定。</w:t>
      </w:r>
    </w:p>
    <w:p>
      <w:pPr>
        <w:pStyle w:val="6"/>
        <w:spacing w:line="360" w:lineRule="auto"/>
        <w:ind w:firstLine="420" w:firstLineChars="200"/>
        <w:rPr>
          <w:rFonts w:hint="eastAsia" w:asciiTheme="minorEastAsia" w:hAnsiTheme="minorEastAsia" w:eastAsiaTheme="minorEastAsia" w:cstheme="minorEastAsia"/>
          <w:color w:val="ED0000"/>
          <w:spacing w:val="20"/>
          <w:sz w:val="21"/>
          <w:szCs w:val="21"/>
        </w:rPr>
      </w:pPr>
      <w:r>
        <w:rPr>
          <w:rFonts w:hint="eastAsia" w:ascii="黑体" w:hAnsi="黑体" w:eastAsia="黑体" w:cs="黑体"/>
          <w:sz w:val="21"/>
          <w:szCs w:val="21"/>
        </w:rPr>
        <w:t>6</w:t>
      </w:r>
      <w:r>
        <w:rPr>
          <w:spacing w:val="4"/>
          <w:position w:val="-2"/>
        </w:rPr>
        <w:t xml:space="preserve"> </w:t>
      </w:r>
      <w:r>
        <w:rPr>
          <w:rFonts w:hint="eastAsia" w:cs="Times New Roman" w:asciiTheme="minorEastAsia" w:hAnsiTheme="minorEastAsia" w:eastAsiaTheme="minorEastAsia"/>
          <w:bCs/>
          <w:sz w:val="21"/>
          <w:szCs w:val="21"/>
        </w:rPr>
        <w:t xml:space="preserve"> 其他检测项目：可按本标准5.1.1条的有关要求执行。</w:t>
      </w:r>
    </w:p>
    <w:p>
      <w:pPr>
        <w:pStyle w:val="6"/>
        <w:spacing w:line="360" w:lineRule="auto"/>
        <w:rPr>
          <w:rFonts w:hint="eastAsia" w:cs="Times New Roman" w:asciiTheme="minorEastAsia" w:hAnsiTheme="minorEastAsia" w:eastAsiaTheme="minorEastAsia"/>
          <w:bCs/>
          <w:sz w:val="21"/>
          <w:szCs w:val="21"/>
        </w:rPr>
      </w:pPr>
      <w:bookmarkStart w:id="66" w:name="_Hlk193029056"/>
      <w:r>
        <w:rPr>
          <w:rFonts w:hint="eastAsia" w:ascii="黑体" w:hAnsi="黑体" w:eastAsia="黑体" w:cs="黑体"/>
          <w:sz w:val="21"/>
          <w:szCs w:val="21"/>
        </w:rPr>
        <w:t>5.3.4</w:t>
      </w:r>
      <w:r>
        <w:rPr>
          <w:color w:val="FF0000"/>
          <w:spacing w:val="19"/>
        </w:rPr>
        <w:t xml:space="preserve"> </w:t>
      </w:r>
      <w:r>
        <w:rPr>
          <w:rFonts w:hint="eastAsia" w:cs="Times New Roman" w:asciiTheme="minorEastAsia" w:hAnsiTheme="minorEastAsia" w:eastAsiaTheme="minorEastAsia"/>
          <w:bCs/>
          <w:sz w:val="21"/>
          <w:szCs w:val="21"/>
        </w:rPr>
        <w:t xml:space="preserve"> 测区(测线、测点)布置和数量应符合下列要求:</w:t>
      </w:r>
    </w:p>
    <w:p>
      <w:pPr>
        <w:pStyle w:val="6"/>
        <w:spacing w:line="360" w:lineRule="auto"/>
        <w:ind w:firstLine="423"/>
        <w:rPr>
          <w:rFonts w:hint="eastAsia" w:cs="Times New Roman" w:asciiTheme="minorEastAsia" w:hAnsiTheme="minorEastAsia" w:eastAsiaTheme="minorEastAsia"/>
          <w:bCs/>
          <w:sz w:val="21"/>
          <w:szCs w:val="21"/>
        </w:rPr>
      </w:pPr>
      <w:r>
        <w:rPr>
          <w:rFonts w:hint="eastAsia" w:ascii="黑体" w:hAnsi="黑体" w:eastAsia="黑体" w:cs="黑体"/>
          <w:sz w:val="21"/>
          <w:szCs w:val="21"/>
        </w:rPr>
        <w:t>1</w:t>
      </w:r>
      <w:r>
        <w:rPr>
          <w:spacing w:val="5"/>
          <w:position w:val="-2"/>
        </w:rPr>
        <w:t xml:space="preserve">  </w:t>
      </w:r>
      <w:r>
        <w:rPr>
          <w:rFonts w:hint="eastAsia" w:cs="Times New Roman" w:asciiTheme="minorEastAsia" w:hAnsiTheme="minorEastAsia" w:eastAsiaTheme="minorEastAsia"/>
          <w:bCs/>
          <w:sz w:val="21"/>
          <w:szCs w:val="21"/>
        </w:rPr>
        <w:t>堤身(渠身)（土料或改性土）土物理性指标、压实度或相对密度：土物理性指标分析不少于1组，压实度或相对密度不少于3组。</w:t>
      </w:r>
    </w:p>
    <w:p>
      <w:pPr>
        <w:pStyle w:val="6"/>
        <w:spacing w:line="360" w:lineRule="auto"/>
        <w:ind w:firstLine="413"/>
        <w:rPr>
          <w:rFonts w:hint="eastAsia" w:cs="Times New Roman" w:asciiTheme="minorEastAsia" w:hAnsiTheme="minorEastAsia" w:eastAsiaTheme="minorEastAsia"/>
          <w:bCs/>
          <w:sz w:val="21"/>
          <w:szCs w:val="21"/>
        </w:rPr>
      </w:pPr>
      <w:r>
        <w:rPr>
          <w:rFonts w:hint="eastAsia" w:ascii="黑体" w:hAnsi="黑体" w:eastAsia="黑体" w:cs="黑体"/>
          <w:sz w:val="21"/>
          <w:szCs w:val="21"/>
        </w:rPr>
        <w:t>2</w:t>
      </w:r>
      <w:r>
        <w:rPr>
          <w:spacing w:val="4"/>
          <w:position w:val="-2"/>
        </w:rPr>
        <w:t xml:space="preserve"> </w:t>
      </w:r>
      <w:r>
        <w:rPr>
          <w:rFonts w:hint="eastAsia" w:cs="Times New Roman" w:asciiTheme="minorEastAsia" w:hAnsiTheme="minorEastAsia" w:eastAsiaTheme="minorEastAsia"/>
          <w:bCs/>
          <w:sz w:val="21"/>
          <w:szCs w:val="21"/>
        </w:rPr>
        <w:t xml:space="preserve"> </w:t>
      </w:r>
      <w:bookmarkStart w:id="67" w:name="_Hlk183768256"/>
      <w:r>
        <w:rPr>
          <w:rFonts w:hint="eastAsia" w:cs="Times New Roman" w:asciiTheme="minorEastAsia" w:hAnsiTheme="minorEastAsia" w:eastAsiaTheme="minorEastAsia"/>
          <w:bCs/>
          <w:sz w:val="21"/>
          <w:szCs w:val="21"/>
        </w:rPr>
        <w:t>堤身(渠身)（土料或改性土）渗透系数：现场测试沿堤(渠)轴线长度每10m布置1个测区；室内测试则沿堤(渠)轴线长度每20m～30m布置1个测区进行现场取样。</w:t>
      </w:r>
    </w:p>
    <w:bookmarkEnd w:id="67"/>
    <w:p>
      <w:pPr>
        <w:pStyle w:val="6"/>
        <w:spacing w:line="360" w:lineRule="auto"/>
        <w:ind w:firstLine="420" w:firstLineChars="200"/>
        <w:rPr>
          <w:rFonts w:hint="eastAsia" w:cs="Times New Roman" w:asciiTheme="minorEastAsia" w:hAnsiTheme="minorEastAsia" w:eastAsiaTheme="minorEastAsia"/>
          <w:bCs/>
          <w:sz w:val="21"/>
          <w:szCs w:val="21"/>
        </w:rPr>
      </w:pPr>
      <w:r>
        <w:rPr>
          <w:rFonts w:hint="eastAsia" w:ascii="黑体" w:hAnsi="黑体" w:eastAsia="黑体" w:cs="黑体"/>
          <w:sz w:val="21"/>
          <w:szCs w:val="21"/>
        </w:rPr>
        <w:t xml:space="preserve">3 </w:t>
      </w:r>
      <w:r>
        <w:rPr>
          <w:rFonts w:hint="eastAsia" w:cs="Times New Roman" w:asciiTheme="minorEastAsia" w:hAnsiTheme="minorEastAsia" w:eastAsiaTheme="minorEastAsia"/>
          <w:bCs/>
          <w:sz w:val="21"/>
          <w:szCs w:val="21"/>
        </w:rPr>
        <w:t xml:space="preserve"> 内部缺陷(隐患)：测线布置应根据堤防工程宽度、走向进行规划，并确定定位结果与堤防管理桩号的对应关系。</w:t>
      </w:r>
    </w:p>
    <w:p>
      <w:pPr>
        <w:pStyle w:val="6"/>
        <w:spacing w:line="360" w:lineRule="auto"/>
        <w:ind w:firstLine="417"/>
        <w:rPr>
          <w:rFonts w:hint="eastAsia" w:cs="Times New Roman" w:asciiTheme="minorEastAsia" w:hAnsiTheme="minorEastAsia" w:eastAsiaTheme="minorEastAsia"/>
          <w:bCs/>
          <w:sz w:val="21"/>
          <w:szCs w:val="21"/>
        </w:rPr>
      </w:pPr>
      <w:r>
        <w:rPr>
          <w:rFonts w:hint="eastAsia" w:ascii="黑体" w:hAnsi="黑体" w:eastAsia="黑体" w:cs="黑体"/>
          <w:sz w:val="21"/>
          <w:szCs w:val="21"/>
        </w:rPr>
        <w:t>4</w:t>
      </w:r>
      <w:r>
        <w:rPr>
          <w:spacing w:val="2"/>
          <w:position w:val="-2"/>
        </w:rPr>
        <w:t xml:space="preserve"> </w:t>
      </w:r>
      <w:r>
        <w:rPr>
          <w:rFonts w:hint="eastAsia" w:cs="Times New Roman" w:asciiTheme="minorEastAsia" w:hAnsiTheme="minorEastAsia" w:eastAsiaTheme="minorEastAsia"/>
          <w:bCs/>
          <w:sz w:val="21"/>
          <w:szCs w:val="21"/>
        </w:rPr>
        <w:t xml:space="preserve"> 路面混凝土抗压强度、路面沥青马歇尔稳定度及流值、钢筋数量、钢筋间距：抗压强度按断面方向间距均匀布置1组3个试样；沥青马歇尔稳定度及流值取样应执行SL514的规定；钢筋数量、钢筋间距测线沿钢筋布置方向垂直设置。</w:t>
      </w:r>
    </w:p>
    <w:p>
      <w:pPr>
        <w:pStyle w:val="6"/>
        <w:spacing w:line="360" w:lineRule="auto"/>
        <w:ind w:firstLine="420" w:firstLineChars="200"/>
        <w:rPr>
          <w:rFonts w:hint="eastAsia" w:cs="Times New Roman" w:asciiTheme="minorEastAsia" w:hAnsiTheme="minorEastAsia" w:eastAsiaTheme="minorEastAsia"/>
          <w:bCs/>
          <w:sz w:val="21"/>
          <w:szCs w:val="21"/>
        </w:rPr>
      </w:pPr>
      <w:r>
        <w:rPr>
          <w:rFonts w:hint="eastAsia" w:ascii="黑体" w:hAnsi="黑体" w:eastAsia="黑体" w:cs="黑体"/>
          <w:sz w:val="21"/>
          <w:szCs w:val="21"/>
        </w:rPr>
        <w:t xml:space="preserve">5 </w:t>
      </w:r>
      <w:r>
        <w:rPr>
          <w:rFonts w:hint="eastAsia" w:cs="Times New Roman" w:asciiTheme="minorEastAsia" w:hAnsiTheme="minorEastAsia" w:eastAsiaTheme="minorEastAsia"/>
          <w:bCs/>
          <w:sz w:val="21"/>
          <w:szCs w:val="21"/>
        </w:rPr>
        <w:t xml:space="preserve"> 堤顶(渠顶)的道路宽度、面层厚度、道路平整度检测应执行SL/T 223的规定：每500m～1000m至少抽检1组，每组3个点，每个单位工程至少抽检2组。或每500m抽检一点，每个单位工程至少抽检9个点。</w:t>
      </w:r>
    </w:p>
    <w:bookmarkEnd w:id="66"/>
    <w:p>
      <w:pPr>
        <w:pStyle w:val="3"/>
        <w:snapToGrid w:val="0"/>
        <w:spacing w:afterLines="50"/>
        <w:jc w:val="center"/>
        <w:rPr>
          <w:rFonts w:ascii="黑体" w:hAnsi="黑体"/>
          <w:sz w:val="24"/>
          <w:szCs w:val="24"/>
        </w:rPr>
      </w:pPr>
      <w:bookmarkStart w:id="68" w:name="_Toc12806"/>
      <w:bookmarkStart w:id="69" w:name="_Toc27506"/>
      <w:r>
        <w:rPr>
          <w:rFonts w:ascii="黑体" w:hAnsi="黑体"/>
          <w:sz w:val="24"/>
          <w:szCs w:val="24"/>
        </w:rPr>
        <w:t>5.4  砌石</w:t>
      </w:r>
      <w:bookmarkEnd w:id="68"/>
      <w:r>
        <w:rPr>
          <w:rFonts w:ascii="黑体" w:hAnsi="黑体"/>
          <w:sz w:val="24"/>
          <w:szCs w:val="24"/>
        </w:rPr>
        <w:t>工程</w:t>
      </w:r>
      <w:bookmarkEnd w:id="69"/>
    </w:p>
    <w:p>
      <w:pPr>
        <w:pStyle w:val="6"/>
        <w:spacing w:line="360" w:lineRule="auto"/>
        <w:rPr>
          <w:rFonts w:hint="eastAsia" w:cs="Times New Roman" w:asciiTheme="minorEastAsia" w:hAnsiTheme="minorEastAsia" w:eastAsiaTheme="minorEastAsia"/>
          <w:bCs/>
          <w:sz w:val="21"/>
          <w:szCs w:val="21"/>
        </w:rPr>
      </w:pPr>
      <w:bookmarkStart w:id="70" w:name="_Hlk193029137"/>
      <w:r>
        <w:rPr>
          <w:rFonts w:hint="eastAsia" w:ascii="黑体" w:hAnsi="黑体" w:eastAsia="黑体" w:cs="黑体"/>
          <w:sz w:val="21"/>
          <w:szCs w:val="21"/>
        </w:rPr>
        <w:t xml:space="preserve">5.4.1 </w:t>
      </w:r>
      <w:r>
        <w:rPr>
          <w:rFonts w:hint="eastAsia" w:cs="Times New Roman" w:asciiTheme="minorEastAsia" w:hAnsiTheme="minorEastAsia" w:eastAsiaTheme="minorEastAsia"/>
          <w:bCs/>
          <w:sz w:val="21"/>
          <w:szCs w:val="21"/>
        </w:rPr>
        <w:t xml:space="preserve"> 检测项目宜包括下列内容：</w:t>
      </w:r>
    </w:p>
    <w:p>
      <w:pPr>
        <w:pStyle w:val="6"/>
        <w:spacing w:line="360" w:lineRule="auto"/>
        <w:ind w:firstLine="420" w:firstLineChars="200"/>
        <w:rPr>
          <w:rFonts w:hint="eastAsia" w:cs="Times New Roman" w:asciiTheme="minorEastAsia" w:hAnsiTheme="minorEastAsia" w:eastAsiaTheme="minorEastAsia"/>
          <w:bCs/>
          <w:sz w:val="21"/>
          <w:szCs w:val="21"/>
        </w:rPr>
      </w:pPr>
      <w:r>
        <w:rPr>
          <w:rFonts w:hint="eastAsia" w:ascii="黑体" w:hAnsi="黑体" w:eastAsia="黑体" w:cs="黑体"/>
          <w:sz w:val="21"/>
          <w:szCs w:val="21"/>
        </w:rPr>
        <w:t xml:space="preserve">1  </w:t>
      </w:r>
      <w:r>
        <w:rPr>
          <w:rFonts w:hint="eastAsia" w:cs="Times New Roman" w:asciiTheme="minorEastAsia" w:hAnsiTheme="minorEastAsia" w:eastAsiaTheme="minorEastAsia"/>
          <w:bCs/>
          <w:sz w:val="21"/>
          <w:szCs w:val="21"/>
        </w:rPr>
        <w:t>干砌石：抗压强度、软化系数、砌筑质量、垫层厚度、砌石厚度、表面平整度、腹石砌筑、坡度、块石尺寸。</w:t>
      </w:r>
    </w:p>
    <w:p>
      <w:pPr>
        <w:pStyle w:val="6"/>
        <w:spacing w:line="360" w:lineRule="auto"/>
        <w:ind w:firstLine="420" w:firstLineChars="200"/>
        <w:rPr>
          <w:rFonts w:hint="eastAsia" w:cs="Times New Roman" w:asciiTheme="minorEastAsia" w:hAnsiTheme="minorEastAsia" w:eastAsiaTheme="minorEastAsia"/>
          <w:bCs/>
          <w:sz w:val="21"/>
          <w:szCs w:val="21"/>
        </w:rPr>
      </w:pPr>
      <w:r>
        <w:rPr>
          <w:rFonts w:hint="eastAsia" w:ascii="黑体" w:hAnsi="黑体" w:eastAsia="黑体" w:cs="黑体"/>
          <w:sz w:val="21"/>
          <w:szCs w:val="21"/>
        </w:rPr>
        <w:t xml:space="preserve">2  </w:t>
      </w:r>
      <w:r>
        <w:rPr>
          <w:rFonts w:hint="eastAsia" w:cs="Times New Roman" w:asciiTheme="minorEastAsia" w:hAnsiTheme="minorEastAsia" w:eastAsiaTheme="minorEastAsia"/>
          <w:bCs/>
          <w:sz w:val="21"/>
          <w:szCs w:val="21"/>
        </w:rPr>
        <w:t>浆砌石：砌缝饱满度与密实度、砌缝宽度、排水孔反滤、排水孔位置，必要时可增加孔隙率检测。</w:t>
      </w:r>
    </w:p>
    <w:p>
      <w:pPr>
        <w:pStyle w:val="6"/>
        <w:spacing w:line="360" w:lineRule="auto"/>
        <w:rPr>
          <w:rFonts w:hint="eastAsia" w:cs="Times New Roman" w:asciiTheme="minorEastAsia" w:hAnsiTheme="minorEastAsia" w:eastAsiaTheme="minorEastAsia"/>
          <w:bCs/>
          <w:sz w:val="21"/>
          <w:szCs w:val="21"/>
        </w:rPr>
      </w:pPr>
      <w:r>
        <w:rPr>
          <w:rFonts w:hint="eastAsia" w:ascii="黑体" w:hAnsi="黑体" w:eastAsia="黑体" w:cs="黑体"/>
          <w:sz w:val="21"/>
          <w:szCs w:val="21"/>
        </w:rPr>
        <w:t>5.4.2</w:t>
      </w:r>
      <w:r>
        <w:rPr>
          <w:spacing w:val="20"/>
        </w:rPr>
        <w:t xml:space="preserve"> </w:t>
      </w:r>
      <w:r>
        <w:rPr>
          <w:rFonts w:hint="eastAsia" w:cs="Times New Roman" w:asciiTheme="minorEastAsia" w:hAnsiTheme="minorEastAsia" w:eastAsiaTheme="minorEastAsia"/>
          <w:bCs/>
          <w:sz w:val="21"/>
          <w:szCs w:val="21"/>
        </w:rPr>
        <w:t xml:space="preserve"> 检测单元应根据工程特点和施工情况按下列要求划分：</w:t>
      </w:r>
    </w:p>
    <w:p>
      <w:pPr>
        <w:pStyle w:val="6"/>
        <w:spacing w:line="360" w:lineRule="auto"/>
        <w:ind w:firstLine="418"/>
        <w:rPr>
          <w:rFonts w:hint="eastAsia" w:cs="Times New Roman" w:asciiTheme="minorEastAsia" w:hAnsiTheme="minorEastAsia" w:eastAsiaTheme="minorEastAsia"/>
          <w:bCs/>
          <w:sz w:val="21"/>
          <w:szCs w:val="21"/>
        </w:rPr>
      </w:pPr>
      <w:r>
        <w:rPr>
          <w:rFonts w:hint="eastAsia" w:ascii="黑体" w:hAnsi="黑体" w:eastAsia="黑体" w:cs="黑体"/>
          <w:sz w:val="21"/>
          <w:szCs w:val="21"/>
        </w:rPr>
        <w:t>1</w:t>
      </w:r>
      <w:r>
        <w:rPr>
          <w:spacing w:val="4"/>
          <w:position w:val="-2"/>
        </w:rPr>
        <w:t xml:space="preserve">  </w:t>
      </w:r>
      <w:r>
        <w:rPr>
          <w:rFonts w:hint="eastAsia" w:cs="Times New Roman" w:asciiTheme="minorEastAsia" w:hAnsiTheme="minorEastAsia" w:eastAsiaTheme="minorEastAsia"/>
          <w:bCs/>
          <w:sz w:val="21"/>
          <w:szCs w:val="21"/>
        </w:rPr>
        <w:t>可沿长度或轴线方向每10m或按面积不超过50m</w:t>
      </w:r>
      <w:r>
        <w:rPr>
          <w:rFonts w:hint="eastAsia" w:cs="Times New Roman" w:asciiTheme="minorEastAsia" w:hAnsiTheme="minorEastAsia" w:eastAsiaTheme="minorEastAsia"/>
          <w:bCs/>
          <w:sz w:val="21"/>
          <w:szCs w:val="21"/>
          <w:vertAlign w:val="superscript"/>
        </w:rPr>
        <w:t>2</w:t>
      </w:r>
      <w:r>
        <w:rPr>
          <w:rFonts w:hint="eastAsia" w:cs="Times New Roman" w:asciiTheme="minorEastAsia" w:hAnsiTheme="minorEastAsia" w:eastAsiaTheme="minorEastAsia"/>
          <w:bCs/>
          <w:sz w:val="21"/>
          <w:szCs w:val="21"/>
        </w:rPr>
        <w:t>划分为1个检测单元。</w:t>
      </w:r>
    </w:p>
    <w:p>
      <w:pPr>
        <w:pStyle w:val="6"/>
        <w:spacing w:line="360" w:lineRule="auto"/>
        <w:ind w:firstLine="414"/>
        <w:rPr>
          <w:rFonts w:hint="eastAsia" w:cs="Times New Roman" w:asciiTheme="minorEastAsia" w:hAnsiTheme="minorEastAsia" w:eastAsiaTheme="minorEastAsia"/>
          <w:bCs/>
          <w:sz w:val="21"/>
          <w:szCs w:val="21"/>
        </w:rPr>
      </w:pPr>
      <w:r>
        <w:rPr>
          <w:rFonts w:hint="eastAsia" w:ascii="黑体" w:hAnsi="黑体" w:eastAsia="黑体" w:cs="黑体"/>
          <w:sz w:val="21"/>
          <w:szCs w:val="21"/>
        </w:rPr>
        <w:t xml:space="preserve">2 </w:t>
      </w:r>
      <w:r>
        <w:rPr>
          <w:spacing w:val="5"/>
          <w:position w:val="-2"/>
        </w:rPr>
        <w:t xml:space="preserve"> </w:t>
      </w:r>
      <w:r>
        <w:rPr>
          <w:rFonts w:hint="eastAsia" w:cs="Times New Roman" w:asciiTheme="minorEastAsia" w:hAnsiTheme="minorEastAsia" w:eastAsiaTheme="minorEastAsia"/>
          <w:bCs/>
          <w:sz w:val="21"/>
          <w:szCs w:val="21"/>
        </w:rPr>
        <w:t>小于该尺寸的砌石体可独立成为1个检测单元或与相邻检测单元合并等分为2个检测单元。</w:t>
      </w:r>
    </w:p>
    <w:bookmarkEnd w:id="70"/>
    <w:p>
      <w:pPr>
        <w:pStyle w:val="6"/>
        <w:spacing w:line="360" w:lineRule="auto"/>
        <w:rPr>
          <w:rFonts w:hint="eastAsia" w:cs="Times New Roman" w:asciiTheme="minorEastAsia" w:hAnsiTheme="minorEastAsia" w:eastAsiaTheme="minorEastAsia"/>
          <w:bCs/>
          <w:sz w:val="21"/>
          <w:szCs w:val="21"/>
        </w:rPr>
      </w:pPr>
      <w:r>
        <w:rPr>
          <w:rFonts w:hint="eastAsia" w:ascii="黑体" w:hAnsi="黑体" w:eastAsia="黑体" w:cs="黑体"/>
          <w:sz w:val="21"/>
          <w:szCs w:val="21"/>
        </w:rPr>
        <w:t>5.4.3</w:t>
      </w:r>
      <w:r>
        <w:rPr>
          <w:rFonts w:hint="eastAsia" w:cs="Times New Roman" w:asciiTheme="minorEastAsia" w:hAnsiTheme="minorEastAsia" w:eastAsiaTheme="minorEastAsia"/>
          <w:bCs/>
          <w:sz w:val="21"/>
          <w:szCs w:val="21"/>
        </w:rPr>
        <w:t xml:space="preserve">  检测方法应符合下列要求：</w:t>
      </w:r>
    </w:p>
    <w:p>
      <w:pPr>
        <w:pStyle w:val="6"/>
        <w:spacing w:line="360" w:lineRule="auto"/>
        <w:ind w:firstLine="423"/>
        <w:rPr>
          <w:rFonts w:hint="eastAsia" w:cs="Times New Roman" w:asciiTheme="minorEastAsia" w:hAnsiTheme="minorEastAsia" w:eastAsiaTheme="minorEastAsia"/>
          <w:bCs/>
          <w:sz w:val="21"/>
          <w:szCs w:val="21"/>
        </w:rPr>
      </w:pPr>
      <w:r>
        <w:rPr>
          <w:rFonts w:hint="eastAsia" w:ascii="黑体" w:hAnsi="黑体" w:eastAsia="黑体" w:cs="黑体"/>
          <w:sz w:val="21"/>
          <w:szCs w:val="21"/>
        </w:rPr>
        <w:t>1</w:t>
      </w:r>
      <w:r>
        <w:rPr>
          <w:spacing w:val="8"/>
          <w:position w:val="-2"/>
        </w:rPr>
        <w:t xml:space="preserve"> </w:t>
      </w:r>
      <w:r>
        <w:rPr>
          <w:rFonts w:hint="eastAsia" w:cs="Times New Roman" w:asciiTheme="minorEastAsia" w:hAnsiTheme="minorEastAsia" w:eastAsiaTheme="minorEastAsia"/>
          <w:bCs/>
          <w:sz w:val="21"/>
          <w:szCs w:val="21"/>
        </w:rPr>
        <w:t xml:space="preserve"> 抗压强度、软化系数：采用的检测方法应执行SL/T 264的规定。</w:t>
      </w:r>
    </w:p>
    <w:p>
      <w:pPr>
        <w:pStyle w:val="6"/>
        <w:spacing w:line="360" w:lineRule="auto"/>
        <w:ind w:firstLine="415"/>
        <w:rPr>
          <w:rFonts w:hint="eastAsia" w:cs="Times New Roman" w:asciiTheme="minorEastAsia" w:hAnsiTheme="minorEastAsia" w:eastAsiaTheme="minorEastAsia"/>
          <w:bCs/>
          <w:sz w:val="21"/>
          <w:szCs w:val="21"/>
        </w:rPr>
      </w:pPr>
      <w:r>
        <w:rPr>
          <w:rFonts w:hint="eastAsia" w:ascii="黑体" w:hAnsi="黑体" w:eastAsia="黑体" w:cs="黑体"/>
          <w:sz w:val="21"/>
          <w:szCs w:val="21"/>
        </w:rPr>
        <w:t>2</w:t>
      </w:r>
      <w:r>
        <w:rPr>
          <w:spacing w:val="4"/>
          <w:position w:val="-2"/>
        </w:rPr>
        <w:t xml:space="preserve"> </w:t>
      </w:r>
      <w:r>
        <w:rPr>
          <w:rFonts w:hint="eastAsia" w:cs="Times New Roman" w:asciiTheme="minorEastAsia" w:hAnsiTheme="minorEastAsia" w:eastAsiaTheme="minorEastAsia"/>
          <w:bCs/>
          <w:sz w:val="21"/>
          <w:szCs w:val="21"/>
        </w:rPr>
        <w:t xml:space="preserve"> 砌筑质量、垫层厚度、砌石厚度、表面平整度、腹石砌筑、坡度、砌缝饱满度与密实度、砌缝宽度、排水孔反滤、排水孔位置：采用目测、尺量检测,应执行SL/T 631.1、GB 50203的规定。</w:t>
      </w:r>
    </w:p>
    <w:p>
      <w:pPr>
        <w:pStyle w:val="6"/>
        <w:spacing w:line="360" w:lineRule="auto"/>
        <w:ind w:left="210" w:leftChars="100" w:firstLine="207" w:firstLineChars="99"/>
        <w:rPr>
          <w:rFonts w:hint="eastAsia" w:asciiTheme="minorEastAsia" w:hAnsiTheme="minorEastAsia" w:eastAsiaTheme="minorEastAsia" w:cstheme="minorEastAsia"/>
          <w:spacing w:val="20"/>
          <w:sz w:val="21"/>
          <w:szCs w:val="21"/>
        </w:rPr>
      </w:pPr>
      <w:r>
        <w:rPr>
          <w:rFonts w:hint="eastAsia" w:ascii="黑体" w:hAnsi="黑体" w:eastAsia="黑体" w:cs="黑体"/>
          <w:sz w:val="21"/>
          <w:szCs w:val="21"/>
        </w:rPr>
        <w:t>3</w:t>
      </w:r>
      <w:r>
        <w:rPr>
          <w:spacing w:val="8"/>
          <w:position w:val="-2"/>
        </w:rPr>
        <w:t xml:space="preserve"> </w:t>
      </w:r>
      <w:r>
        <w:rPr>
          <w:rFonts w:hint="eastAsia" w:cs="Times New Roman" w:asciiTheme="minorEastAsia" w:hAnsiTheme="minorEastAsia" w:eastAsiaTheme="minorEastAsia"/>
          <w:bCs/>
          <w:sz w:val="21"/>
          <w:szCs w:val="21"/>
        </w:rPr>
        <w:t xml:space="preserve"> 块石尺寸：采用钢直尺量测块石各边长及最小边长。</w:t>
      </w:r>
    </w:p>
    <w:p>
      <w:pPr>
        <w:pStyle w:val="6"/>
        <w:spacing w:line="360" w:lineRule="auto"/>
        <w:ind w:left="210" w:leftChars="100" w:firstLine="207" w:firstLineChars="99"/>
        <w:rPr>
          <w:rFonts w:hint="eastAsia" w:cs="Times New Roman" w:asciiTheme="minorEastAsia" w:hAnsiTheme="minorEastAsia" w:eastAsiaTheme="minorEastAsia"/>
          <w:bCs/>
          <w:sz w:val="21"/>
          <w:szCs w:val="21"/>
        </w:rPr>
      </w:pPr>
      <w:r>
        <w:rPr>
          <w:rFonts w:hint="eastAsia" w:ascii="黑体" w:hAnsi="黑体" w:eastAsia="黑体" w:cs="黑体"/>
          <w:sz w:val="21"/>
          <w:szCs w:val="21"/>
        </w:rPr>
        <w:t xml:space="preserve">4 </w:t>
      </w:r>
      <w:r>
        <w:rPr>
          <w:rFonts w:hint="eastAsia" w:cs="Times New Roman" w:asciiTheme="minorEastAsia" w:hAnsiTheme="minorEastAsia" w:eastAsiaTheme="minorEastAsia"/>
          <w:bCs/>
          <w:sz w:val="21"/>
          <w:szCs w:val="21"/>
        </w:rPr>
        <w:t xml:space="preserve"> 孔隙率：采用试坑法检测,应执行GB/T 50123的规定。</w:t>
      </w:r>
    </w:p>
    <w:p>
      <w:pPr>
        <w:pStyle w:val="6"/>
        <w:spacing w:line="360" w:lineRule="auto"/>
        <w:rPr>
          <w:rFonts w:hint="eastAsia" w:cs="Times New Roman" w:asciiTheme="minorEastAsia" w:hAnsiTheme="minorEastAsia" w:eastAsiaTheme="minorEastAsia"/>
          <w:bCs/>
          <w:sz w:val="21"/>
          <w:szCs w:val="21"/>
        </w:rPr>
      </w:pPr>
      <w:r>
        <w:rPr>
          <w:rFonts w:hint="eastAsia" w:ascii="黑体" w:hAnsi="黑体" w:eastAsia="黑体" w:cs="黑体"/>
          <w:sz w:val="21"/>
          <w:szCs w:val="21"/>
        </w:rPr>
        <w:t>5.4.4</w:t>
      </w:r>
      <w:r>
        <w:rPr>
          <w:spacing w:val="4"/>
          <w:position w:val="-2"/>
        </w:rPr>
        <w:t xml:space="preserve"> </w:t>
      </w:r>
      <w:r>
        <w:rPr>
          <w:rFonts w:hint="eastAsia" w:cs="Times New Roman" w:asciiTheme="minorEastAsia" w:hAnsiTheme="minorEastAsia" w:eastAsiaTheme="minorEastAsia"/>
          <w:bCs/>
          <w:sz w:val="21"/>
          <w:szCs w:val="21"/>
        </w:rPr>
        <w:t xml:space="preserve"> 测区(测线、测点)布置和数量应符合下列要求：</w:t>
      </w:r>
    </w:p>
    <w:p>
      <w:pPr>
        <w:pStyle w:val="6"/>
        <w:spacing w:line="360" w:lineRule="auto"/>
        <w:ind w:firstLine="425"/>
        <w:rPr>
          <w:rFonts w:hint="eastAsia" w:cs="Times New Roman" w:asciiTheme="minorEastAsia" w:hAnsiTheme="minorEastAsia" w:eastAsiaTheme="minorEastAsia"/>
          <w:bCs/>
          <w:sz w:val="21"/>
          <w:szCs w:val="21"/>
        </w:rPr>
      </w:pPr>
      <w:r>
        <w:rPr>
          <w:rFonts w:hint="eastAsia" w:ascii="黑体" w:hAnsi="黑体" w:eastAsia="黑体" w:cs="黑体"/>
          <w:sz w:val="21"/>
          <w:szCs w:val="21"/>
        </w:rPr>
        <w:t>1</w:t>
      </w:r>
      <w:r>
        <w:rPr>
          <w:spacing w:val="4"/>
          <w:position w:val="-2"/>
        </w:rPr>
        <w:t xml:space="preserve"> </w:t>
      </w:r>
      <w:r>
        <w:rPr>
          <w:rFonts w:hint="eastAsia" w:cs="Times New Roman" w:asciiTheme="minorEastAsia" w:hAnsiTheme="minorEastAsia" w:eastAsiaTheme="minorEastAsia"/>
          <w:bCs/>
          <w:sz w:val="21"/>
          <w:szCs w:val="21"/>
        </w:rPr>
        <w:t xml:space="preserve"> 抗压强度、软化系数、块石尺寸、坡度：布置不少于3个测点，每点取样数量应满足有关技术标准规定。</w:t>
      </w:r>
    </w:p>
    <w:p>
      <w:pPr>
        <w:spacing w:line="360" w:lineRule="auto"/>
        <w:ind w:firstLine="420" w:firstLineChars="200"/>
        <w:rPr>
          <w:rFonts w:hint="eastAsia" w:cs="Times New Roman" w:asciiTheme="minorEastAsia" w:hAnsiTheme="minorEastAsia"/>
          <w:bCs/>
          <w:szCs w:val="21"/>
        </w:rPr>
      </w:pPr>
      <w:r>
        <w:rPr>
          <w:rFonts w:hint="eastAsia" w:ascii="黑体" w:hAnsi="黑体" w:eastAsia="黑体" w:cs="黑体"/>
          <w:szCs w:val="21"/>
        </w:rPr>
        <w:t>2</w:t>
      </w:r>
      <w:r>
        <w:rPr>
          <w:spacing w:val="4"/>
          <w:position w:val="-2"/>
        </w:rPr>
        <w:t xml:space="preserve"> </w:t>
      </w:r>
      <w:r>
        <w:rPr>
          <w:rFonts w:hint="eastAsia" w:cs="Times New Roman" w:asciiTheme="minorEastAsia" w:hAnsiTheme="minorEastAsia"/>
          <w:bCs/>
          <w:szCs w:val="21"/>
        </w:rPr>
        <w:t xml:space="preserve"> 砌筑质量、垫层厚度、砌石厚度、表面平整度、腹石砌筑、砌缝饱满度与密实度、砌缝宽度：采用网格法布置测点，每检验批抽查不应少于5处。</w:t>
      </w:r>
    </w:p>
    <w:p>
      <w:pPr>
        <w:pStyle w:val="6"/>
        <w:spacing w:line="360" w:lineRule="auto"/>
        <w:ind w:firstLine="414"/>
        <w:rPr>
          <w:rFonts w:hint="eastAsia" w:cs="Times New Roman" w:asciiTheme="minorEastAsia" w:hAnsiTheme="minorEastAsia" w:eastAsiaTheme="minorEastAsia"/>
          <w:bCs/>
          <w:sz w:val="21"/>
          <w:szCs w:val="21"/>
        </w:rPr>
      </w:pPr>
      <w:r>
        <w:rPr>
          <w:rFonts w:hint="eastAsia" w:ascii="黑体" w:hAnsi="黑体" w:eastAsia="黑体" w:cs="黑体"/>
          <w:sz w:val="21"/>
          <w:szCs w:val="21"/>
        </w:rPr>
        <w:t xml:space="preserve">3 </w:t>
      </w:r>
      <w:r>
        <w:rPr>
          <w:rFonts w:hint="eastAsia" w:cs="Times New Roman" w:asciiTheme="minorEastAsia" w:hAnsiTheme="minorEastAsia" w:eastAsiaTheme="minorEastAsia"/>
          <w:bCs/>
          <w:sz w:val="21"/>
          <w:szCs w:val="21"/>
        </w:rPr>
        <w:t xml:space="preserve"> 排水孔反滤、排水孔位置：应不少于2个测点。</w:t>
      </w:r>
    </w:p>
    <w:p>
      <w:pPr>
        <w:pStyle w:val="6"/>
        <w:spacing w:line="360" w:lineRule="auto"/>
        <w:ind w:firstLine="414"/>
        <w:rPr>
          <w:rFonts w:hint="eastAsia" w:cs="Times New Roman" w:asciiTheme="minorEastAsia" w:hAnsiTheme="minorEastAsia" w:eastAsiaTheme="minorEastAsia"/>
          <w:bCs/>
          <w:sz w:val="21"/>
          <w:szCs w:val="21"/>
        </w:rPr>
      </w:pPr>
      <w:r>
        <w:rPr>
          <w:rFonts w:hint="eastAsia" w:ascii="黑体" w:hAnsi="黑体" w:eastAsia="黑体" w:cs="黑体"/>
          <w:sz w:val="21"/>
          <w:szCs w:val="21"/>
        </w:rPr>
        <w:t>4</w:t>
      </w:r>
      <w:r>
        <w:rPr>
          <w:spacing w:val="17"/>
        </w:rPr>
        <w:t xml:space="preserve"> </w:t>
      </w:r>
      <w:r>
        <w:rPr>
          <w:rFonts w:hint="eastAsia" w:cs="Times New Roman" w:asciiTheme="minorEastAsia" w:hAnsiTheme="minorEastAsia" w:eastAsiaTheme="minorEastAsia"/>
          <w:bCs/>
          <w:sz w:val="21"/>
          <w:szCs w:val="21"/>
        </w:rPr>
        <w:t xml:space="preserve"> 孔隙率：应不少于1个测点。</w:t>
      </w:r>
    </w:p>
    <w:p>
      <w:pPr>
        <w:ind w:firstLine="210" w:firstLineChars="100"/>
        <w:rPr>
          <w:rFonts w:hint="eastAsia" w:ascii="黑体" w:hAnsi="黑体" w:eastAsia="黑体" w:cs="黑体"/>
          <w:b/>
          <w:bCs/>
          <w:sz w:val="28"/>
          <w:szCs w:val="28"/>
        </w:rPr>
      </w:pPr>
      <w:r>
        <w:br w:type="page"/>
      </w:r>
    </w:p>
    <w:p>
      <w:pPr>
        <w:pStyle w:val="2"/>
        <w:rPr>
          <w:rFonts w:hint="eastAsia" w:ascii="黑体" w:hAnsi="黑体" w:eastAsia="黑体" w:cs="黑体"/>
          <w:b w:val="0"/>
          <w:bCs w:val="0"/>
          <w:sz w:val="28"/>
          <w:szCs w:val="28"/>
        </w:rPr>
      </w:pPr>
      <w:bookmarkStart w:id="71" w:name="_Toc26161"/>
      <w:r>
        <w:rPr>
          <w:rFonts w:hint="eastAsia" w:ascii="黑体" w:hAnsi="黑体" w:eastAsia="黑体" w:cs="黑体"/>
          <w:b w:val="0"/>
          <w:bCs w:val="0"/>
          <w:sz w:val="28"/>
          <w:szCs w:val="28"/>
        </w:rPr>
        <w:t>6  混凝土工程</w:t>
      </w:r>
      <w:bookmarkEnd w:id="71"/>
    </w:p>
    <w:p>
      <w:pPr>
        <w:pStyle w:val="3"/>
        <w:snapToGrid w:val="0"/>
        <w:spacing w:afterLines="50"/>
        <w:jc w:val="center"/>
        <w:rPr>
          <w:rFonts w:ascii="黑体" w:hAnsi="黑体"/>
          <w:sz w:val="24"/>
          <w:szCs w:val="24"/>
        </w:rPr>
      </w:pPr>
      <w:bookmarkStart w:id="72" w:name="_Toc14763"/>
      <w:r>
        <w:rPr>
          <w:rFonts w:ascii="黑体" w:hAnsi="黑体"/>
          <w:sz w:val="24"/>
          <w:szCs w:val="24"/>
        </w:rPr>
        <w:t>6.1  一般规定</w:t>
      </w:r>
      <w:bookmarkEnd w:id="72"/>
    </w:p>
    <w:p/>
    <w:p>
      <w:pPr>
        <w:pStyle w:val="6"/>
        <w:spacing w:line="360" w:lineRule="auto"/>
        <w:rPr>
          <w:rFonts w:hint="eastAsia" w:asciiTheme="minorEastAsia" w:hAnsiTheme="minorEastAsia" w:eastAsiaTheme="minorEastAsia" w:cstheme="minorEastAsia"/>
          <w:sz w:val="21"/>
          <w:szCs w:val="21"/>
        </w:rPr>
      </w:pPr>
      <w:r>
        <w:rPr>
          <w:rFonts w:hint="eastAsia" w:ascii="黑体" w:hAnsi="黑体" w:eastAsia="黑体" w:cs="黑体"/>
          <w:sz w:val="21"/>
          <w:szCs w:val="22"/>
        </w:rPr>
        <w:t>6.1.1</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混凝土工程相关检测项目的检测方法应符合下列要求：</w:t>
      </w:r>
      <w:r>
        <w:rPr>
          <w:rFonts w:asciiTheme="minorEastAsia" w:hAnsiTheme="minorEastAsia" w:eastAsiaTheme="minorEastAsia" w:cstheme="minorEastAsia"/>
          <w:sz w:val="21"/>
          <w:szCs w:val="21"/>
        </w:rPr>
        <w:t xml:space="preserve"> </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1</w:t>
      </w:r>
      <w:r>
        <w:rPr>
          <w:rFonts w:hint="eastAsia" w:asciiTheme="minorEastAsia" w:hAnsiTheme="minorEastAsia" w:eastAsiaTheme="minorEastAsia" w:cstheme="minorEastAsia"/>
          <w:position w:val="-2"/>
          <w:sz w:val="21"/>
          <w:szCs w:val="21"/>
        </w:rPr>
        <w:t xml:space="preserve">  抗压强度：采用回弹法，应执行SL/T 352、JGJ/T 23的规定；采用超声回弹综合法，应执行附录C的规定；采用钻芯法，应执行SL/T 352的规定。</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2</w:t>
      </w:r>
      <w:r>
        <w:rPr>
          <w:rFonts w:hint="eastAsia" w:asciiTheme="minorEastAsia" w:hAnsiTheme="minorEastAsia" w:eastAsiaTheme="minorEastAsia" w:cstheme="minorEastAsia"/>
          <w:position w:val="-2"/>
          <w:sz w:val="21"/>
          <w:szCs w:val="21"/>
        </w:rPr>
        <w:t xml:space="preserve">  抗渗性能：应执行SL/T 352的规定。</w:t>
      </w:r>
    </w:p>
    <w:p>
      <w:pPr>
        <w:spacing w:line="360" w:lineRule="auto"/>
        <w:ind w:firstLine="420" w:firstLineChars="200"/>
        <w:rPr>
          <w:rFonts w:hint="eastAsia" w:asciiTheme="minorEastAsia" w:hAnsiTheme="minorEastAsia" w:cstheme="minorEastAsia"/>
          <w:position w:val="-2"/>
          <w:szCs w:val="21"/>
        </w:rPr>
      </w:pPr>
      <w:r>
        <w:rPr>
          <w:rFonts w:hint="eastAsia" w:ascii="黑体" w:hAnsi="黑体" w:eastAsia="黑体" w:cs="黑体"/>
        </w:rPr>
        <w:t>3</w:t>
      </w:r>
      <w:r>
        <w:rPr>
          <w:rFonts w:hint="eastAsia" w:asciiTheme="minorEastAsia" w:hAnsiTheme="minorEastAsia" w:cstheme="minorEastAsia"/>
          <w:position w:val="-2"/>
          <w:szCs w:val="21"/>
        </w:rPr>
        <w:t xml:space="preserve">  </w:t>
      </w:r>
      <w:r>
        <w:rPr>
          <w:rFonts w:hint="eastAsia" w:asciiTheme="minorEastAsia" w:hAnsiTheme="minorEastAsia" w:cstheme="minorEastAsia"/>
          <w:szCs w:val="21"/>
        </w:rPr>
        <w:t>抗冻性能：</w:t>
      </w:r>
      <w:r>
        <w:rPr>
          <w:rFonts w:hint="eastAsia" w:asciiTheme="minorEastAsia" w:hAnsiTheme="minorEastAsia" w:cstheme="minorEastAsia"/>
          <w:position w:val="-2"/>
          <w:szCs w:val="21"/>
        </w:rPr>
        <w:t>应执行SL/T 352的规定。</w:t>
      </w:r>
    </w:p>
    <w:p>
      <w:pPr>
        <w:spacing w:line="360" w:lineRule="auto"/>
        <w:ind w:firstLine="420" w:firstLineChars="200"/>
        <w:rPr>
          <w:rFonts w:hint="eastAsia" w:asciiTheme="minorEastAsia" w:hAnsiTheme="minorEastAsia" w:cstheme="minorEastAsia"/>
          <w:position w:val="-2"/>
          <w:szCs w:val="21"/>
        </w:rPr>
      </w:pPr>
      <w:r>
        <w:rPr>
          <w:rFonts w:hint="eastAsia" w:ascii="黑体" w:hAnsi="黑体" w:eastAsia="黑体" w:cs="黑体"/>
        </w:rPr>
        <w:t xml:space="preserve">4 </w:t>
      </w:r>
      <w:r>
        <w:rPr>
          <w:rFonts w:hint="eastAsia" w:asciiTheme="minorEastAsia" w:hAnsiTheme="minorEastAsia" w:cstheme="minorEastAsia"/>
          <w:position w:val="-2"/>
          <w:szCs w:val="21"/>
        </w:rPr>
        <w:t xml:space="preserve"> 钢筋间距和保护层厚度：采用电磁感应法、雷达法，应执行JGJ/T 152的规定。</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 xml:space="preserve">5 </w:t>
      </w:r>
      <w:r>
        <w:rPr>
          <w:rFonts w:hint="eastAsia" w:asciiTheme="minorEastAsia" w:hAnsiTheme="minorEastAsia" w:eastAsiaTheme="minorEastAsia" w:cstheme="minorEastAsia"/>
          <w:position w:val="-2"/>
          <w:sz w:val="21"/>
          <w:szCs w:val="21"/>
        </w:rPr>
        <w:t xml:space="preserve"> 裂缝：长度、宽度检测采用尺量方法；深度检测采用超声波法、冲击-回波法。采用超声波法，应执行SL/T 352的规定；采用冲击-回波法，应执行附录</w:t>
      </w:r>
      <w:r>
        <w:rPr>
          <w:rFonts w:asciiTheme="minorEastAsia" w:hAnsiTheme="minorEastAsia" w:eastAsiaTheme="minorEastAsia" w:cstheme="minorEastAsia"/>
          <w:position w:val="-2"/>
          <w:sz w:val="21"/>
          <w:szCs w:val="21"/>
        </w:rPr>
        <w:t>D.1</w:t>
      </w:r>
      <w:r>
        <w:rPr>
          <w:rFonts w:hint="eastAsia" w:asciiTheme="minorEastAsia" w:hAnsiTheme="minorEastAsia" w:eastAsiaTheme="minorEastAsia" w:cstheme="minorEastAsia"/>
          <w:position w:val="-2"/>
          <w:sz w:val="21"/>
          <w:szCs w:val="21"/>
        </w:rPr>
        <w:t>的规定。</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 xml:space="preserve">6 </w:t>
      </w:r>
      <w:r>
        <w:rPr>
          <w:rFonts w:hint="eastAsia" w:asciiTheme="minorEastAsia" w:hAnsiTheme="minorEastAsia" w:eastAsiaTheme="minorEastAsia" w:cstheme="minorEastAsia"/>
          <w:position w:val="-2"/>
          <w:sz w:val="21"/>
          <w:szCs w:val="21"/>
        </w:rPr>
        <w:t xml:space="preserve"> 连接缝止水：应进行外观检测。</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 xml:space="preserve">7  </w:t>
      </w:r>
      <w:r>
        <w:rPr>
          <w:rFonts w:hint="eastAsia" w:asciiTheme="minorEastAsia" w:hAnsiTheme="minorEastAsia" w:eastAsiaTheme="minorEastAsia" w:cstheme="minorEastAsia"/>
          <w:position w:val="-2"/>
          <w:sz w:val="21"/>
          <w:szCs w:val="21"/>
        </w:rPr>
        <w:t>内部缺陷：采用超声波法，应执行SL/T 352的规定；采用冲击-回波法，应执行附录C的规定；采用雷达法，应执行附录E.1的规定。</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8</w:t>
      </w:r>
      <w:r>
        <w:rPr>
          <w:rFonts w:hint="eastAsia" w:asciiTheme="minorEastAsia" w:hAnsiTheme="minorEastAsia" w:eastAsiaTheme="minorEastAsia" w:cstheme="minorEastAsia"/>
          <w:position w:val="-2"/>
          <w:sz w:val="21"/>
          <w:szCs w:val="21"/>
        </w:rPr>
        <w:t xml:space="preserve">  抗拉强度、弹性模量、表观密度、抗弯性能、抗剪性能、抗冲耐磨性能：应执行SL/T 352的规定。</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position w:val="-2"/>
          <w:sz w:val="21"/>
          <w:szCs w:val="21"/>
        </w:rPr>
        <w:t>9</w:t>
      </w:r>
      <w:r>
        <w:rPr>
          <w:rFonts w:hint="eastAsia" w:asciiTheme="minorEastAsia" w:hAnsiTheme="minorEastAsia" w:eastAsiaTheme="minorEastAsia" w:cstheme="minorEastAsia"/>
          <w:position w:val="-2"/>
          <w:sz w:val="21"/>
          <w:szCs w:val="21"/>
        </w:rPr>
        <w:t xml:space="preserve">  透水率：碾压混凝土采用钻孔压水检测，应执行SL 31的规定；涵、管、倒虹吸采用水压或压注水检测，应执行GB/T 15345的规定。</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position w:val="-2"/>
          <w:sz w:val="21"/>
          <w:szCs w:val="21"/>
        </w:rPr>
        <w:t>10</w:t>
      </w:r>
      <w:r>
        <w:rPr>
          <w:rFonts w:hint="eastAsia" w:asciiTheme="minorEastAsia" w:hAnsiTheme="minorEastAsia" w:eastAsiaTheme="minorEastAsia" w:cstheme="minorEastAsia"/>
          <w:position w:val="-2"/>
          <w:sz w:val="21"/>
          <w:szCs w:val="21"/>
        </w:rPr>
        <w:t xml:space="preserve">  碾压混凝土表观密度：应执行SL/T 352的规定。</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11</w:t>
      </w:r>
      <w:r>
        <w:rPr>
          <w:rFonts w:hint="eastAsia" w:asciiTheme="minorEastAsia" w:hAnsiTheme="minorEastAsia" w:eastAsiaTheme="minorEastAsia" w:cstheme="minorEastAsia"/>
          <w:position w:val="-2"/>
          <w:sz w:val="21"/>
          <w:szCs w:val="21"/>
        </w:rPr>
        <w:t xml:space="preserve">  脱空：采用雷达法，应执行SLT 291.1的规定；采用冲击-回波法，应执行附录D的规定。</w:t>
      </w:r>
    </w:p>
    <w:p>
      <w:pPr>
        <w:spacing w:line="360" w:lineRule="auto"/>
        <w:ind w:firstLine="420" w:firstLineChars="200"/>
        <w:rPr>
          <w:rFonts w:hint="eastAsia" w:asciiTheme="minorEastAsia" w:hAnsiTheme="minorEastAsia" w:cstheme="minorEastAsia"/>
          <w:position w:val="-2"/>
          <w:szCs w:val="21"/>
        </w:rPr>
      </w:pPr>
      <w:bookmarkStart w:id="73" w:name="bookmark23"/>
      <w:bookmarkEnd w:id="73"/>
      <w:r>
        <w:rPr>
          <w:rFonts w:hint="eastAsia" w:ascii="黑体" w:hAnsi="黑体" w:eastAsia="黑体" w:cs="黑体"/>
        </w:rPr>
        <w:t>12</w:t>
      </w:r>
      <w:r>
        <w:rPr>
          <w:rFonts w:hint="eastAsia" w:asciiTheme="minorEastAsia" w:hAnsiTheme="minorEastAsia" w:cstheme="minorEastAsia"/>
          <w:position w:val="-2"/>
          <w:szCs w:val="21"/>
        </w:rPr>
        <w:t xml:space="preserve">  承载力、挠度、抗裂度：应执行GB/T 50152的规定。</w:t>
      </w:r>
    </w:p>
    <w:p>
      <w:pPr>
        <w:spacing w:line="360" w:lineRule="auto"/>
        <w:ind w:firstLine="420" w:firstLineChars="200"/>
        <w:rPr>
          <w:rFonts w:hint="eastAsia" w:asciiTheme="minorEastAsia" w:hAnsiTheme="minorEastAsia" w:cstheme="minorEastAsia"/>
          <w:position w:val="-2"/>
          <w:szCs w:val="21"/>
        </w:rPr>
      </w:pPr>
      <w:r>
        <w:rPr>
          <w:rFonts w:hint="eastAsia" w:ascii="黑体" w:hAnsi="黑体" w:eastAsia="黑体" w:cs="黑体"/>
        </w:rPr>
        <w:t>13</w:t>
      </w:r>
      <w:r>
        <w:rPr>
          <w:rFonts w:hint="eastAsia" w:asciiTheme="minorEastAsia" w:hAnsiTheme="minorEastAsia" w:cstheme="minorEastAsia"/>
          <w:position w:val="-2"/>
          <w:szCs w:val="21"/>
        </w:rPr>
        <w:t xml:space="preserve">  预应力筋(索)张拉力：应执行SL 46的规定。</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14</w:t>
      </w:r>
      <w:r>
        <w:rPr>
          <w:rFonts w:hint="eastAsia" w:asciiTheme="minorEastAsia" w:hAnsiTheme="minorEastAsia" w:eastAsiaTheme="minorEastAsia" w:cstheme="minorEastAsia"/>
          <w:position w:val="-2"/>
          <w:sz w:val="21"/>
          <w:szCs w:val="21"/>
        </w:rPr>
        <w:t xml:space="preserve">  结构尺寸：采用尺量方法。</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15</w:t>
      </w:r>
      <w:r>
        <w:rPr>
          <w:rFonts w:hint="eastAsia" w:asciiTheme="minorEastAsia" w:hAnsiTheme="minorEastAsia" w:eastAsiaTheme="minorEastAsia" w:cstheme="minorEastAsia"/>
          <w:position w:val="-2"/>
          <w:sz w:val="21"/>
          <w:szCs w:val="21"/>
        </w:rPr>
        <w:t xml:space="preserve">  墙体完整性：应执行4.3节规定，墙体有临空面时，可在临空面布设测线，采用雷达法，应执行SL/T 291.1的规定；采用冲击-回波法，应执行附录D的规定。</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16</w:t>
      </w:r>
      <w:r>
        <w:rPr>
          <w:rFonts w:hint="eastAsia" w:asciiTheme="minorEastAsia" w:hAnsiTheme="minorEastAsia" w:eastAsiaTheme="minorEastAsia" w:cstheme="minorEastAsia"/>
          <w:position w:val="-2"/>
          <w:sz w:val="21"/>
          <w:szCs w:val="21"/>
        </w:rPr>
        <w:t xml:space="preserve">  平整度：采用直尺和2m靠尺测量。</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 xml:space="preserve">17 </w:t>
      </w:r>
      <w:r>
        <w:rPr>
          <w:rFonts w:hint="eastAsia" w:asciiTheme="minorEastAsia" w:hAnsiTheme="minorEastAsia" w:eastAsiaTheme="minorEastAsia" w:cstheme="minorEastAsia"/>
          <w:position w:val="-2"/>
          <w:sz w:val="21"/>
          <w:szCs w:val="21"/>
        </w:rPr>
        <w:t xml:space="preserve"> 厚度：采用钻孔法，钻孔不少于3孔；采用冲击-回波法，应执行附录D.3的规定；采用雷达法，应执行附录E.2的规定。</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18</w:t>
      </w:r>
      <w:r>
        <w:rPr>
          <w:rFonts w:hint="eastAsia" w:asciiTheme="minorEastAsia" w:hAnsiTheme="minorEastAsia" w:eastAsiaTheme="minorEastAsia" w:cstheme="minorEastAsia"/>
          <w:position w:val="-2"/>
          <w:sz w:val="21"/>
          <w:szCs w:val="21"/>
        </w:rPr>
        <w:t xml:space="preserve">  搭接和固定方式：采用目测、尺量方法。</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 xml:space="preserve">19 </w:t>
      </w:r>
      <w:r>
        <w:rPr>
          <w:rFonts w:hint="eastAsia" w:asciiTheme="minorEastAsia" w:hAnsiTheme="minorEastAsia" w:eastAsiaTheme="minorEastAsia" w:cstheme="minorEastAsia"/>
          <w:position w:val="-2"/>
          <w:sz w:val="21"/>
          <w:szCs w:val="21"/>
        </w:rPr>
        <w:t xml:space="preserve"> 外观缺陷：外观缺陷检查宜包括蜂窝、麻面、孔洞、露筋、裂缝、疏松区的分布情况，裂缝性状，混凝土的剥蚀及冲蚀程度，混凝土渗漏情况，伸缩缝的状态及变形情况等内容。应根据缺陷的性态、范围、数量做好详细检查记录，绘制缺陷分布图。</w:t>
      </w:r>
    </w:p>
    <w:p>
      <w:pPr>
        <w:pStyle w:val="6"/>
        <w:numPr>
          <w:ilvl w:val="0"/>
          <w:numId w:val="22"/>
        </w:numPr>
        <w:spacing w:line="360" w:lineRule="auto"/>
        <w:ind w:firstLine="630" w:firstLineChars="3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蜂窝、麻面、孔洞、露筋、疏松区等外观质量缺陷的检查内容见表6.1.1。</w:t>
      </w:r>
    </w:p>
    <w:p>
      <w:pPr>
        <w:jc w:val="center"/>
        <w:rPr>
          <w:rFonts w:hint="eastAsia" w:ascii="黑体" w:hAnsi="黑体" w:eastAsia="黑体" w:cs="黑体"/>
          <w:szCs w:val="21"/>
        </w:rPr>
      </w:pPr>
      <w:r>
        <w:rPr>
          <w:rFonts w:hint="eastAsia" w:ascii="黑体" w:hAnsi="黑体" w:eastAsia="黑体" w:cs="黑体"/>
          <w:sz w:val="18"/>
          <w:szCs w:val="18"/>
        </w:rPr>
        <w:t>表6.1.1 外观缺陷检查内容</w:t>
      </w:r>
    </w:p>
    <w:tbl>
      <w:tblPr>
        <w:tblStyle w:val="2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42"/>
        <w:gridCol w:w="49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2"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缺陷类别</w:t>
            </w:r>
          </w:p>
        </w:tc>
        <w:tc>
          <w:tcPr>
            <w:tcW w:w="4906"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检查内容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40" w:hRule="atLeast"/>
          <w:jc w:val="center"/>
        </w:trPr>
        <w:tc>
          <w:tcPr>
            <w:tcW w:w="1242"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蜂窝、麻面</w:t>
            </w:r>
          </w:p>
        </w:tc>
        <w:tc>
          <w:tcPr>
            <w:tcW w:w="4906"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结构部位，蜂窝、麻面面积等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2"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孔洞</w:t>
            </w:r>
          </w:p>
        </w:tc>
        <w:tc>
          <w:tcPr>
            <w:tcW w:w="4906"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结构部位，孔洞深度、大小等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2"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露筋</w:t>
            </w:r>
          </w:p>
        </w:tc>
        <w:tc>
          <w:tcPr>
            <w:tcW w:w="4906"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结构部位、钢筋分布，外露钢筋数量、状态、锈蚀情况等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42"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疏松</w:t>
            </w:r>
          </w:p>
        </w:tc>
        <w:tc>
          <w:tcPr>
            <w:tcW w:w="4906"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结构部位，疏松面积等</w:t>
            </w:r>
          </w:p>
        </w:tc>
      </w:tr>
    </w:tbl>
    <w:p>
      <w:pPr>
        <w:pStyle w:val="6"/>
        <w:numPr>
          <w:ilvl w:val="0"/>
          <w:numId w:val="22"/>
        </w:numPr>
        <w:spacing w:line="360" w:lineRule="auto"/>
        <w:ind w:firstLine="630" w:firstLineChars="3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裂缝检查应包括裂缝宽度、长度、表面析出物等。</w:t>
      </w:r>
    </w:p>
    <w:p>
      <w:pPr>
        <w:pStyle w:val="6"/>
        <w:numPr>
          <w:ilvl w:val="0"/>
          <w:numId w:val="22"/>
        </w:numPr>
        <w:spacing w:line="360" w:lineRule="auto"/>
        <w:ind w:firstLine="630" w:firstLineChars="3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混凝土剥蚀及冲蚀检查应包括面积、深度等。</w:t>
      </w:r>
    </w:p>
    <w:p>
      <w:pPr>
        <w:pStyle w:val="6"/>
        <w:numPr>
          <w:ilvl w:val="0"/>
          <w:numId w:val="22"/>
        </w:numPr>
        <w:spacing w:line="360" w:lineRule="auto"/>
        <w:ind w:firstLine="630" w:firstLineChars="3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渗漏检查应包括渗漏位置、形态、渗漏量等。</w:t>
      </w:r>
    </w:p>
    <w:p>
      <w:pPr>
        <w:pStyle w:val="6"/>
        <w:spacing w:line="360" w:lineRule="auto"/>
        <w:ind w:firstLine="630" w:firstLineChars="300"/>
        <w:rPr>
          <w:rFonts w:hint="eastAsia" w:asciiTheme="minorEastAsia" w:hAnsiTheme="minorEastAsia" w:eastAsiaTheme="minorEastAsia" w:cstheme="minorEastAsia"/>
          <w:sz w:val="21"/>
          <w:szCs w:val="21"/>
          <w:highlight w:val="yellow"/>
        </w:rPr>
      </w:pPr>
      <w:r>
        <w:rPr>
          <w:rFonts w:hint="eastAsia" w:ascii="黑体" w:hAnsi="黑体" w:eastAsia="黑体" w:cs="黑体"/>
          <w:sz w:val="21"/>
          <w:szCs w:val="22"/>
        </w:rPr>
        <w:t xml:space="preserve">5） </w:t>
      </w:r>
      <w:r>
        <w:rPr>
          <w:rFonts w:hint="eastAsia" w:asciiTheme="minorEastAsia" w:hAnsiTheme="minorEastAsia" w:eastAsiaTheme="minorEastAsia" w:cstheme="minorEastAsia"/>
          <w:sz w:val="21"/>
          <w:szCs w:val="21"/>
        </w:rPr>
        <w:t>伸缩缝检查内容应包括接缝处错位、嵌缝材料性状、渗漏等。</w:t>
      </w:r>
    </w:p>
    <w:p>
      <w:pPr>
        <w:pStyle w:val="6"/>
        <w:spacing w:line="360" w:lineRule="auto"/>
        <w:ind w:firstLine="420" w:firstLineChars="200"/>
        <w:rPr>
          <w:rFonts w:hint="eastAsia" w:asciiTheme="minorEastAsia" w:hAnsiTheme="minorEastAsia" w:cstheme="minorEastAsia"/>
          <w:bCs/>
          <w:sz w:val="21"/>
          <w:szCs w:val="21"/>
        </w:rPr>
      </w:pPr>
      <w:r>
        <w:rPr>
          <w:rFonts w:hint="eastAsia" w:ascii="黑体" w:hAnsi="黑体" w:eastAsia="黑体" w:cstheme="minorEastAsia"/>
          <w:bCs/>
          <w:sz w:val="21"/>
          <w:szCs w:val="21"/>
        </w:rPr>
        <w:t xml:space="preserve">20 </w:t>
      </w:r>
      <w:r>
        <w:rPr>
          <w:rFonts w:hint="eastAsia" w:asciiTheme="minorEastAsia" w:hAnsiTheme="minorEastAsia" w:cstheme="minorEastAsia"/>
          <w:bCs/>
          <w:sz w:val="21"/>
          <w:szCs w:val="21"/>
        </w:rPr>
        <w:t xml:space="preserve"> </w:t>
      </w:r>
      <w:r>
        <w:rPr>
          <w:rFonts w:hint="eastAsia" w:asciiTheme="minorEastAsia" w:hAnsiTheme="minorEastAsia" w:eastAsiaTheme="minorEastAsia" w:cstheme="minorEastAsia"/>
          <w:bCs/>
          <w:sz w:val="21"/>
          <w:szCs w:val="21"/>
        </w:rPr>
        <w:t>混凝土损伤层厚度检测宜采用超声波法，应执行附录F的规定。</w:t>
      </w:r>
    </w:p>
    <w:p>
      <w:pPr>
        <w:pStyle w:val="6"/>
        <w:spacing w:line="360" w:lineRule="auto"/>
        <w:rPr>
          <w:rFonts w:hint="eastAsia" w:asciiTheme="minorEastAsia" w:hAnsiTheme="minorEastAsia" w:eastAsiaTheme="minorEastAsia" w:cstheme="minorEastAsia"/>
          <w:sz w:val="21"/>
          <w:szCs w:val="21"/>
        </w:rPr>
      </w:pPr>
      <w:r>
        <w:rPr>
          <w:rFonts w:hint="eastAsia" w:ascii="黑体" w:hAnsi="黑体" w:eastAsia="黑体" w:cs="黑体"/>
          <w:sz w:val="21"/>
          <w:szCs w:val="22"/>
        </w:rPr>
        <w:t xml:space="preserve">6.1.2 </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检测项目满足下列要求的，质量检测结果评价为合格：</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黑体" w:hAnsi="黑体" w:eastAsia="黑体" w:cs="黑体"/>
          <w:sz w:val="21"/>
          <w:szCs w:val="22"/>
        </w:rPr>
        <w:t xml:space="preserve">1 </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抗压强度：</w:t>
      </w:r>
      <w:r>
        <w:rPr>
          <w:rFonts w:hint="eastAsia" w:cs="方正大黑简体" w:asciiTheme="minorEastAsia" w:hAnsiTheme="minorEastAsia" w:eastAsiaTheme="minorEastAsia"/>
          <w:sz w:val="21"/>
          <w:szCs w:val="21"/>
        </w:rPr>
        <w:t>构件或批混凝土强度推定值</w:t>
      </w:r>
      <w:r>
        <w:rPr>
          <w:rFonts w:hint="eastAsia" w:asciiTheme="minorEastAsia" w:hAnsiTheme="minorEastAsia" w:eastAsiaTheme="minorEastAsia" w:cstheme="minorEastAsia"/>
          <w:sz w:val="21"/>
          <w:szCs w:val="21"/>
        </w:rPr>
        <w:t>不小于设计要求。</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 xml:space="preserve">2 </w:t>
      </w:r>
      <w:r>
        <w:rPr>
          <w:rFonts w:hint="eastAsia" w:asciiTheme="minorEastAsia" w:hAnsiTheme="minorEastAsia" w:eastAsiaTheme="minorEastAsia" w:cstheme="minorEastAsia"/>
          <w:position w:val="-2"/>
          <w:sz w:val="21"/>
          <w:szCs w:val="21"/>
        </w:rPr>
        <w:t xml:space="preserve"> 抗渗性能、抗冻性能：检测结果达到设计要求。</w:t>
      </w:r>
    </w:p>
    <w:p>
      <w:pPr>
        <w:spacing w:line="360" w:lineRule="auto"/>
        <w:ind w:firstLine="420" w:firstLineChars="200"/>
        <w:rPr>
          <w:rFonts w:hint="eastAsia" w:asciiTheme="minorEastAsia" w:hAnsiTheme="minorEastAsia" w:cstheme="minorEastAsia"/>
          <w:szCs w:val="21"/>
        </w:rPr>
      </w:pPr>
      <w:r>
        <w:rPr>
          <w:rFonts w:hint="eastAsia" w:ascii="黑体" w:hAnsi="黑体" w:eastAsia="黑体" w:cs="黑体"/>
        </w:rPr>
        <w:t>3</w:t>
      </w:r>
      <w:r>
        <w:rPr>
          <w:rFonts w:hint="eastAsia" w:asciiTheme="minorEastAsia" w:hAnsiTheme="minorEastAsia" w:cstheme="minorEastAsia"/>
          <w:szCs w:val="21"/>
        </w:rPr>
        <w:t xml:space="preserve">  钢筋间距：主筋间距允许偏差±10mm，箍筋间距允许偏差±20mm；保护层厚度不小于50mm，允许偏差±15mm；保护层厚度小于50mm，允许偏差±10mm，其中最小保护层厚度不小于10mm。</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 xml:space="preserve">4 </w:t>
      </w:r>
      <w:r>
        <w:rPr>
          <w:rFonts w:hint="eastAsia" w:asciiTheme="minorEastAsia" w:hAnsiTheme="minorEastAsia" w:eastAsiaTheme="minorEastAsia" w:cstheme="minorEastAsia"/>
          <w:position w:val="-2"/>
          <w:sz w:val="21"/>
          <w:szCs w:val="21"/>
        </w:rPr>
        <w:t xml:space="preserve"> 裂缝长度、宽度、深度：检测结果无贯穿裂缝，符合SL/T 631.2要求。</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 xml:space="preserve">5 </w:t>
      </w:r>
      <w:r>
        <w:rPr>
          <w:rFonts w:hint="eastAsia" w:asciiTheme="minorEastAsia" w:hAnsiTheme="minorEastAsia" w:eastAsiaTheme="minorEastAsia" w:cstheme="minorEastAsia"/>
          <w:position w:val="-2"/>
          <w:sz w:val="21"/>
          <w:szCs w:val="21"/>
        </w:rPr>
        <w:t xml:space="preserve"> 连接缝止水：检测结果达到技术标准要求。</w:t>
      </w:r>
    </w:p>
    <w:p>
      <w:pPr>
        <w:pStyle w:val="6"/>
        <w:spacing w:line="360" w:lineRule="auto"/>
        <w:ind w:firstLine="420" w:firstLineChars="200"/>
        <w:rPr>
          <w:rFonts w:hint="eastAsia" w:ascii="黑体" w:hAnsi="黑体" w:eastAsia="黑体" w:cs="黑体"/>
          <w:sz w:val="21"/>
          <w:szCs w:val="22"/>
        </w:rPr>
      </w:pPr>
      <w:r>
        <w:rPr>
          <w:rFonts w:hint="eastAsia" w:ascii="黑体" w:hAnsi="黑体" w:eastAsia="黑体" w:cs="黑体"/>
          <w:sz w:val="21"/>
          <w:szCs w:val="22"/>
        </w:rPr>
        <w:t xml:space="preserve">6  </w:t>
      </w:r>
      <w:r>
        <w:rPr>
          <w:rFonts w:hint="eastAsia" w:asciiTheme="minorEastAsia" w:hAnsiTheme="minorEastAsia" w:eastAsiaTheme="minorEastAsia" w:cstheme="minorEastAsia"/>
          <w:position w:val="-2"/>
          <w:sz w:val="21"/>
          <w:szCs w:val="21"/>
        </w:rPr>
        <w:t>内部缺陷：检测结果无明显不密实区和空洞。</w:t>
      </w:r>
    </w:p>
    <w:p>
      <w:pPr>
        <w:spacing w:line="360" w:lineRule="auto"/>
        <w:ind w:firstLine="420" w:firstLineChars="200"/>
        <w:rPr>
          <w:rFonts w:hint="eastAsia" w:asciiTheme="minorEastAsia" w:hAnsiTheme="minorEastAsia" w:cstheme="minorEastAsia"/>
          <w:position w:val="-2"/>
          <w:szCs w:val="21"/>
        </w:rPr>
      </w:pPr>
      <w:r>
        <w:rPr>
          <w:rFonts w:hint="eastAsia" w:ascii="黑体" w:hAnsi="黑体" w:eastAsia="黑体" w:cs="黑体"/>
        </w:rPr>
        <w:t xml:space="preserve">7 </w:t>
      </w:r>
      <w:r>
        <w:rPr>
          <w:rFonts w:hint="eastAsia" w:asciiTheme="minorEastAsia" w:hAnsiTheme="minorEastAsia" w:cstheme="minorEastAsia"/>
          <w:position w:val="-2"/>
          <w:szCs w:val="21"/>
        </w:rPr>
        <w:t xml:space="preserve"> 抗拉强度、抗弯性能、抗剪性能、弹性模量：检测结果达到设计要求。</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 xml:space="preserve">8  </w:t>
      </w:r>
      <w:r>
        <w:rPr>
          <w:rFonts w:hint="eastAsia" w:asciiTheme="minorEastAsia" w:hAnsiTheme="minorEastAsia" w:eastAsiaTheme="minorEastAsia" w:cstheme="minorEastAsia"/>
          <w:position w:val="-2"/>
          <w:sz w:val="21"/>
          <w:szCs w:val="21"/>
        </w:rPr>
        <w:t>碾压混凝土：表观密度不小于配合比设计值的97%，轴向拉伸、层间抗剪性能不小于设计要求；透水率不大于设计要求；层间结合质量达到技术标准要求。</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黑体" w:hAnsi="黑体" w:eastAsia="黑体" w:cs="黑体"/>
          <w:sz w:val="21"/>
          <w:szCs w:val="22"/>
        </w:rPr>
        <w:t>9</w:t>
      </w:r>
      <w:r>
        <w:rPr>
          <w:rFonts w:hint="eastAsia" w:asciiTheme="minorEastAsia" w:hAnsiTheme="minorEastAsia" w:eastAsiaTheme="minorEastAsia" w:cstheme="minorEastAsia"/>
          <w:sz w:val="21"/>
          <w:szCs w:val="21"/>
        </w:rPr>
        <w:t xml:space="preserve">  脱空：检测结果无脱空。</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黑体" w:hAnsi="黑体" w:eastAsia="黑体" w:cs="黑体"/>
          <w:sz w:val="21"/>
          <w:szCs w:val="22"/>
        </w:rPr>
        <w:t>10</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抗冲耐磨性能：检测结果达到设计和技术标准要求。</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黑体" w:hAnsi="黑体" w:eastAsia="黑体" w:cs="黑体"/>
          <w:sz w:val="21"/>
          <w:szCs w:val="22"/>
        </w:rPr>
        <w:t>11</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承载力、预应力筋(索)张拉力、挠度、抗裂度：检测结果达到设计和技术标准要求。</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黑体" w:hAnsi="黑体" w:eastAsia="黑体" w:cs="黑体"/>
          <w:sz w:val="21"/>
          <w:szCs w:val="22"/>
        </w:rPr>
        <w:t>12</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接缝止水、连接装置：检测结果达到技术标准要求，且无爆裂、局部凸起、渗漏或变形超标等缺陷。</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黑体" w:hAnsi="黑体" w:eastAsia="黑体" w:cs="黑体"/>
          <w:sz w:val="21"/>
          <w:szCs w:val="22"/>
        </w:rPr>
        <w:t>13</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平整度、排水孔反滤、排水孔位置、搭接和固定方式：检测结果达到设计和技术标准要求。</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黑体" w:hAnsi="黑体" w:eastAsia="黑体" w:cs="黑体"/>
          <w:sz w:val="21"/>
          <w:szCs w:val="22"/>
        </w:rPr>
        <w:t>14</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厚度：检测结果不小于设计要求。</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黑体" w:hAnsi="黑体" w:eastAsia="黑体" w:cs="黑体"/>
          <w:sz w:val="21"/>
          <w:szCs w:val="22"/>
        </w:rPr>
        <w:t>15</w:t>
      </w:r>
      <w:r>
        <w:rPr>
          <w:rFonts w:hint="eastAsia" w:asciiTheme="minorEastAsia" w:hAnsiTheme="minorEastAsia" w:eastAsiaTheme="minorEastAsia" w:cstheme="minorEastAsia"/>
          <w:sz w:val="21"/>
          <w:szCs w:val="21"/>
        </w:rPr>
        <w:t xml:space="preserve">  外观质量评定：检测结果达到设计和技术标准要求。</w:t>
      </w:r>
    </w:p>
    <w:p>
      <w:pPr>
        <w:spacing w:line="360" w:lineRule="auto"/>
      </w:pPr>
      <w:bookmarkStart w:id="74" w:name="_Toc27469"/>
      <w:r>
        <w:rPr>
          <w:rFonts w:hint="eastAsia" w:ascii="黑体" w:hAnsi="黑体" w:eastAsia="黑体" w:cs="黑体"/>
        </w:rPr>
        <w:t xml:space="preserve">6.1.3  </w:t>
      </w:r>
      <w:r>
        <w:rPr>
          <w:rFonts w:hint="eastAsia"/>
        </w:rPr>
        <w:t>护坡、挡墙的检测应符合下列规定。</w:t>
      </w:r>
      <w:bookmarkEnd w:id="74"/>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黑体" w:hAnsi="黑体" w:eastAsia="黑体" w:cs="黑体"/>
          <w:sz w:val="21"/>
          <w:szCs w:val="22"/>
        </w:rPr>
        <w:t xml:space="preserve">1 </w:t>
      </w:r>
      <w:r>
        <w:rPr>
          <w:rFonts w:hint="eastAsia" w:asciiTheme="minorEastAsia" w:hAnsiTheme="minorEastAsia" w:eastAsiaTheme="minorEastAsia" w:cstheme="minorEastAsia"/>
          <w:sz w:val="21"/>
          <w:szCs w:val="21"/>
        </w:rPr>
        <w:t xml:space="preserve"> 检测项目宜包括：抗压强度、墙体完整性、坡面平整度、厚度、排水孔反滤、排水孔位置，钢筋间距、保护层厚度，内部缺陷、外观缺陷。其中混凝土预制块、模袋混凝土、预制连锁板护坡应增加检测搭接和固定方式。</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黑体" w:hAnsi="黑体" w:eastAsia="黑体" w:cs="黑体"/>
          <w:sz w:val="21"/>
          <w:szCs w:val="22"/>
        </w:rPr>
        <w:t>2</w:t>
      </w:r>
      <w:r>
        <w:rPr>
          <w:rFonts w:hint="eastAsia" w:asciiTheme="minorEastAsia" w:hAnsiTheme="minorEastAsia" w:eastAsiaTheme="minorEastAsia" w:cstheme="minorEastAsia"/>
          <w:sz w:val="21"/>
          <w:szCs w:val="21"/>
        </w:rPr>
        <w:t xml:space="preserve"> 检测单元应根据工程特点和施工情况，以不大于20m长或50m</w:t>
      </w:r>
      <w:r>
        <w:rPr>
          <w:rFonts w:hint="eastAsia" w:asciiTheme="minorEastAsia" w:hAnsiTheme="minorEastAsia" w:eastAsiaTheme="minorEastAsia" w:cstheme="minorEastAsia"/>
          <w:sz w:val="21"/>
          <w:szCs w:val="21"/>
          <w:vertAlign w:val="superscript"/>
        </w:rPr>
        <w:t>2</w:t>
      </w:r>
      <w:r>
        <w:rPr>
          <w:rFonts w:hint="eastAsia" w:asciiTheme="minorEastAsia" w:hAnsiTheme="minorEastAsia" w:eastAsiaTheme="minorEastAsia" w:cstheme="minorEastAsia"/>
          <w:sz w:val="21"/>
          <w:szCs w:val="21"/>
        </w:rPr>
        <w:t>面积的墙体划分为1个检测单元。</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黑体" w:hAnsi="黑体" w:eastAsia="黑体" w:cs="黑体"/>
          <w:sz w:val="21"/>
          <w:szCs w:val="22"/>
        </w:rPr>
        <w:t>3</w:t>
      </w:r>
      <w:r>
        <w:rPr>
          <w:rFonts w:hint="eastAsia" w:asciiTheme="minorEastAsia" w:hAnsiTheme="minorEastAsia" w:eastAsiaTheme="minorEastAsia" w:cstheme="minorEastAsia"/>
          <w:sz w:val="21"/>
          <w:szCs w:val="21"/>
        </w:rPr>
        <w:t xml:space="preserve">  测区(测线、测点)布置和数量应符合下列要求： </w:t>
      </w:r>
    </w:p>
    <w:p>
      <w:pPr>
        <w:pStyle w:val="6"/>
        <w:numPr>
          <w:ilvl w:val="0"/>
          <w:numId w:val="23"/>
        </w:numPr>
        <w:spacing w:line="360" w:lineRule="auto"/>
        <w:ind w:left="1058" w:leftChars="300" w:hanging="428" w:hangingChars="204"/>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抗压强度：现浇混凝土板护坡、挡墙，采用回弹法</w:t>
      </w:r>
      <w:r>
        <w:rPr>
          <w:rFonts w:hint="eastAsia" w:asciiTheme="minorEastAsia" w:hAnsiTheme="minorEastAsia" w:eastAsiaTheme="minorEastAsia" w:cstheme="minorEastAsia"/>
          <w:b/>
          <w:color w:val="FF0000"/>
          <w:sz w:val="21"/>
          <w:szCs w:val="21"/>
        </w:rPr>
        <w:t>、</w:t>
      </w:r>
      <w:r>
        <w:rPr>
          <w:rFonts w:hint="eastAsia" w:asciiTheme="minorEastAsia" w:hAnsiTheme="minorEastAsia" w:eastAsiaTheme="minorEastAsia" w:cstheme="minorEastAsia"/>
          <w:sz w:val="21"/>
          <w:szCs w:val="21"/>
        </w:rPr>
        <w:t>超声回弹综合法，每构件或检测段不少于10个测区，应均匀布置，测区间距不宜大于1.0m；钻</w:t>
      </w:r>
      <w:r>
        <w:rPr>
          <w:rFonts w:hint="eastAsia" w:asciiTheme="minorEastAsia" w:hAnsiTheme="minorEastAsia" w:eastAsiaTheme="minorEastAsia" w:cstheme="minorEastAsia"/>
          <w:position w:val="-2"/>
          <w:sz w:val="21"/>
          <w:szCs w:val="21"/>
        </w:rPr>
        <w:t>芯取样检测</w:t>
      </w:r>
      <w:r>
        <w:rPr>
          <w:rFonts w:hint="eastAsia" w:asciiTheme="minorEastAsia" w:hAnsiTheme="minorEastAsia" w:eastAsiaTheme="minorEastAsia" w:cstheme="minorEastAsia"/>
          <w:sz w:val="21"/>
          <w:szCs w:val="21"/>
        </w:rPr>
        <w:t>1组3件。</w:t>
      </w:r>
    </w:p>
    <w:p>
      <w:pPr>
        <w:pStyle w:val="6"/>
        <w:numPr>
          <w:ilvl w:val="0"/>
          <w:numId w:val="23"/>
        </w:numPr>
        <w:spacing w:line="360" w:lineRule="auto"/>
        <w:ind w:left="1058" w:leftChars="300" w:hanging="428" w:hangingChars="204"/>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墙体完整性应全部检测。</w:t>
      </w:r>
    </w:p>
    <w:p>
      <w:pPr>
        <w:pStyle w:val="6"/>
        <w:numPr>
          <w:ilvl w:val="0"/>
          <w:numId w:val="23"/>
        </w:numPr>
        <w:spacing w:line="360" w:lineRule="auto"/>
        <w:ind w:left="1058" w:leftChars="300" w:hanging="428" w:hangingChars="204"/>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坡面平整度、厚度：每构件或检测段应不少于3个测点。</w:t>
      </w:r>
    </w:p>
    <w:p>
      <w:pPr>
        <w:pStyle w:val="6"/>
        <w:numPr>
          <w:ilvl w:val="0"/>
          <w:numId w:val="23"/>
        </w:numPr>
        <w:spacing w:line="360" w:lineRule="auto"/>
        <w:ind w:left="1058" w:leftChars="300" w:hanging="428" w:hangingChars="204"/>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排水孔反滤、排水孔位置：应不少于2个测点。</w:t>
      </w:r>
    </w:p>
    <w:p>
      <w:pPr>
        <w:pStyle w:val="6"/>
        <w:numPr>
          <w:ilvl w:val="0"/>
          <w:numId w:val="23"/>
        </w:numPr>
        <w:spacing w:line="360" w:lineRule="auto"/>
        <w:ind w:left="1058" w:leftChars="300" w:hanging="428" w:hangingChars="204"/>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钢筋间距、保护层厚度：每构件或检测段应不少于2个测区。</w:t>
      </w:r>
    </w:p>
    <w:p>
      <w:pPr>
        <w:pStyle w:val="6"/>
        <w:numPr>
          <w:ilvl w:val="0"/>
          <w:numId w:val="23"/>
        </w:numPr>
        <w:spacing w:line="360" w:lineRule="auto"/>
        <w:ind w:left="1058" w:leftChars="300" w:hanging="428" w:hangingChars="204"/>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内部缺陷：沿墙体长度方向布置3条测线。</w:t>
      </w:r>
    </w:p>
    <w:p>
      <w:pPr>
        <w:pStyle w:val="6"/>
        <w:numPr>
          <w:ilvl w:val="0"/>
          <w:numId w:val="23"/>
        </w:numPr>
        <w:spacing w:line="360" w:lineRule="auto"/>
        <w:ind w:left="1058" w:leftChars="300" w:hanging="428" w:hangingChars="204"/>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搭接和固定方式应全部检测。</w:t>
      </w:r>
    </w:p>
    <w:p>
      <w:pPr>
        <w:pStyle w:val="3"/>
        <w:snapToGrid w:val="0"/>
        <w:spacing w:afterLines="50"/>
        <w:jc w:val="center"/>
        <w:rPr>
          <w:rFonts w:ascii="黑体" w:hAnsi="黑体"/>
          <w:sz w:val="24"/>
          <w:szCs w:val="24"/>
        </w:rPr>
      </w:pPr>
      <w:bookmarkStart w:id="75" w:name="_Toc777"/>
      <w:r>
        <w:rPr>
          <w:rFonts w:ascii="黑体" w:hAnsi="黑体"/>
          <w:sz w:val="24"/>
          <w:szCs w:val="24"/>
        </w:rPr>
        <w:t>6.2  混凝土坝</w:t>
      </w:r>
      <w:bookmarkEnd w:id="75"/>
    </w:p>
    <w:p>
      <w:pPr>
        <w:spacing w:line="360" w:lineRule="auto"/>
      </w:pPr>
      <w:bookmarkStart w:id="76" w:name="_Toc28339"/>
      <w:r>
        <w:rPr>
          <w:rFonts w:hint="eastAsia" w:ascii="黑体" w:hAnsi="黑体" w:eastAsia="黑体" w:cs="黑体"/>
        </w:rPr>
        <w:t xml:space="preserve">6.2.1 </w:t>
      </w:r>
      <w:r>
        <w:rPr>
          <w:rFonts w:hint="eastAsia"/>
        </w:rPr>
        <w:t xml:space="preserve"> 检测项目宜包括下列内容：</w:t>
      </w:r>
      <w:bookmarkEnd w:id="76"/>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1</w:t>
      </w:r>
      <w:r>
        <w:rPr>
          <w:rFonts w:hint="eastAsia" w:asciiTheme="minorEastAsia" w:hAnsiTheme="minorEastAsia" w:eastAsiaTheme="minorEastAsia" w:cstheme="minorEastAsia"/>
          <w:position w:val="-2"/>
          <w:sz w:val="21"/>
          <w:szCs w:val="21"/>
        </w:rPr>
        <w:t xml:space="preserve">  各类混凝土坝：抗压强度、抗渗性能、抗冻性能，钢筋间距和保护层厚度，裂缝、连接缝止水、内部缺陷、外观缺陷。</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 xml:space="preserve">2 </w:t>
      </w:r>
      <w:r>
        <w:rPr>
          <w:rFonts w:hint="eastAsia" w:asciiTheme="minorEastAsia" w:hAnsiTheme="minorEastAsia" w:eastAsiaTheme="minorEastAsia" w:cstheme="minorEastAsia"/>
          <w:color w:val="FF0000"/>
          <w:position w:val="-2"/>
          <w:sz w:val="21"/>
          <w:szCs w:val="21"/>
        </w:rPr>
        <w:t xml:space="preserve"> </w:t>
      </w:r>
      <w:r>
        <w:rPr>
          <w:rFonts w:hint="eastAsia" w:asciiTheme="minorEastAsia" w:hAnsiTheme="minorEastAsia" w:eastAsiaTheme="minorEastAsia" w:cstheme="minorEastAsia"/>
          <w:position w:val="-2"/>
          <w:sz w:val="21"/>
          <w:szCs w:val="21"/>
        </w:rPr>
        <w:t>拱坝坝体：除1检测项目外，宜增加抗拉强度、抗弯性能、弹性模量。</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 xml:space="preserve">3 </w:t>
      </w:r>
      <w:r>
        <w:rPr>
          <w:rFonts w:hint="eastAsia" w:asciiTheme="minorEastAsia" w:hAnsiTheme="minorEastAsia" w:eastAsiaTheme="minorEastAsia" w:cstheme="minorEastAsia"/>
          <w:position w:val="-2"/>
          <w:sz w:val="21"/>
          <w:szCs w:val="21"/>
        </w:rPr>
        <w:t xml:space="preserve"> 碾压混凝土坝：除1检测项目外，宜增加表观密度、抗拉强度、抗剪性能、透水率、层间结合质量。</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4</w:t>
      </w:r>
      <w:r>
        <w:rPr>
          <w:rFonts w:hint="eastAsia" w:asciiTheme="minorEastAsia" w:hAnsiTheme="minorEastAsia" w:eastAsiaTheme="minorEastAsia" w:cstheme="minorEastAsia"/>
          <w:position w:val="-2"/>
          <w:sz w:val="21"/>
          <w:szCs w:val="21"/>
        </w:rPr>
        <w:t xml:space="preserve">  混凝土面板坝：除1检测项目外，宜增加面板厚度、脱空。</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 xml:space="preserve">5 </w:t>
      </w:r>
      <w:r>
        <w:rPr>
          <w:rFonts w:hint="eastAsia" w:asciiTheme="minorEastAsia" w:hAnsiTheme="minorEastAsia" w:eastAsiaTheme="minorEastAsia" w:cstheme="minorEastAsia"/>
          <w:position w:val="-2"/>
          <w:sz w:val="21"/>
          <w:szCs w:val="21"/>
        </w:rPr>
        <w:t xml:space="preserve"> 过水建筑物结构体：除1检测项目外，可增加抗冲耐磨性能。</w:t>
      </w:r>
    </w:p>
    <w:p>
      <w:pPr>
        <w:spacing w:line="360" w:lineRule="auto"/>
      </w:pPr>
      <w:bookmarkStart w:id="77" w:name="_Toc280"/>
      <w:r>
        <w:rPr>
          <w:rFonts w:hint="eastAsia" w:ascii="黑体" w:hAnsi="黑体" w:eastAsia="黑体" w:cs="黑体"/>
        </w:rPr>
        <w:t xml:space="preserve">6.2.2  </w:t>
      </w:r>
      <w:r>
        <w:rPr>
          <w:rFonts w:hint="eastAsia"/>
        </w:rPr>
        <w:t>检测单元应根据工程特点和施工情况按下列要求划分：</w:t>
      </w:r>
      <w:bookmarkEnd w:id="77"/>
    </w:p>
    <w:p>
      <w:pPr>
        <w:pStyle w:val="6"/>
        <w:spacing w:line="360" w:lineRule="auto"/>
        <w:ind w:firstLine="423"/>
        <w:rPr>
          <w:rFonts w:hint="eastAsia" w:asciiTheme="minorEastAsia" w:hAnsiTheme="minorEastAsia" w:eastAsiaTheme="minorEastAsia" w:cstheme="minorEastAsia"/>
          <w:sz w:val="21"/>
          <w:szCs w:val="21"/>
        </w:rPr>
      </w:pPr>
      <w:r>
        <w:rPr>
          <w:rFonts w:hint="eastAsia" w:ascii="黑体" w:hAnsi="黑体" w:eastAsia="黑体" w:cs="黑体"/>
          <w:position w:val="-2"/>
          <w:sz w:val="21"/>
          <w:szCs w:val="21"/>
        </w:rPr>
        <w:t>1</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重力坝、拱坝和碾压混凝土坝可按坝体段结构体和过水建筑物结构体两部分分别进行划分。</w:t>
      </w:r>
    </w:p>
    <w:p>
      <w:pPr>
        <w:pStyle w:val="6"/>
        <w:spacing w:line="360" w:lineRule="auto"/>
        <w:ind w:left="1052" w:leftChars="300" w:hanging="422" w:hangingChars="201"/>
        <w:rPr>
          <w:rFonts w:hint="eastAsia" w:asciiTheme="minorEastAsia" w:hAnsiTheme="minorEastAsia" w:eastAsiaTheme="minorEastAsia" w:cstheme="minorEastAsia"/>
          <w:sz w:val="21"/>
          <w:szCs w:val="21"/>
        </w:rPr>
      </w:pPr>
      <w:r>
        <w:rPr>
          <w:rFonts w:hint="eastAsia" w:ascii="黑体" w:hAnsi="黑体" w:eastAsia="黑体" w:cstheme="minorEastAsia"/>
          <w:sz w:val="21"/>
          <w:szCs w:val="21"/>
        </w:rPr>
        <w:t>1）</w:t>
      </w:r>
      <w:r>
        <w:rPr>
          <w:rFonts w:hint="eastAsia" w:asciiTheme="minorEastAsia" w:hAnsiTheme="minorEastAsia" w:eastAsiaTheme="minorEastAsia" w:cstheme="minorEastAsia"/>
          <w:sz w:val="21"/>
          <w:szCs w:val="21"/>
        </w:rPr>
        <w:t>坝体段结构体可沿大坝轴线方向30m长、50m高及相应位置断面宽度划分为1个检测单元；坝体高度不足50m，可按实际高度划分为1个检测单元。</w:t>
      </w:r>
    </w:p>
    <w:p>
      <w:pPr>
        <w:pStyle w:val="6"/>
        <w:spacing w:line="360" w:lineRule="auto"/>
        <w:ind w:left="1058" w:leftChars="300" w:hanging="428" w:hangingChars="204"/>
        <w:rPr>
          <w:rFonts w:hint="eastAsia" w:asciiTheme="minorEastAsia" w:hAnsiTheme="minorEastAsia" w:eastAsiaTheme="minorEastAsia" w:cstheme="minorEastAsia"/>
          <w:sz w:val="21"/>
          <w:szCs w:val="21"/>
        </w:rPr>
      </w:pPr>
      <w:r>
        <w:rPr>
          <w:rFonts w:hint="eastAsia" w:ascii="黑体" w:hAnsi="黑体" w:eastAsia="黑体" w:cstheme="minorEastAsia"/>
          <w:sz w:val="21"/>
          <w:szCs w:val="21"/>
        </w:rPr>
        <w:t>2）</w:t>
      </w:r>
      <w:r>
        <w:rPr>
          <w:rFonts w:hint="eastAsia" w:asciiTheme="minorEastAsia" w:hAnsiTheme="minorEastAsia" w:eastAsiaTheme="minorEastAsia" w:cstheme="minorEastAsia"/>
          <w:sz w:val="21"/>
          <w:szCs w:val="21"/>
        </w:rPr>
        <w:t>坝体溢流面部位、引输水建筑物导(侧)墙等过水建筑物结构体，可按顶或侧表面不超过200m</w:t>
      </w:r>
      <w:r>
        <w:rPr>
          <w:rFonts w:hint="eastAsia" w:asciiTheme="minorEastAsia" w:hAnsiTheme="minorEastAsia" w:eastAsiaTheme="minorEastAsia" w:cstheme="minorEastAsia"/>
          <w:sz w:val="21"/>
          <w:szCs w:val="21"/>
          <w:vertAlign w:val="superscript"/>
        </w:rPr>
        <w:t>2</w:t>
      </w:r>
      <w:r>
        <w:rPr>
          <w:rFonts w:hint="eastAsia" w:asciiTheme="minorEastAsia" w:hAnsiTheme="minorEastAsia" w:eastAsiaTheme="minorEastAsia" w:cstheme="minorEastAsia"/>
          <w:sz w:val="21"/>
          <w:szCs w:val="21"/>
        </w:rPr>
        <w:t>划分为1个检测单元。</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position w:val="-2"/>
          <w:sz w:val="21"/>
          <w:szCs w:val="21"/>
        </w:rPr>
        <w:t>2</w:t>
      </w:r>
      <w:r>
        <w:rPr>
          <w:rFonts w:hint="eastAsia" w:asciiTheme="minorEastAsia" w:hAnsiTheme="minorEastAsia" w:eastAsiaTheme="minorEastAsia" w:cstheme="minorEastAsia"/>
          <w:position w:val="-2"/>
          <w:sz w:val="21"/>
          <w:szCs w:val="21"/>
        </w:rPr>
        <w:t xml:space="preserve">  混凝土面板坝可沿面板拉模方向按滑模宽度每12m长划分为1个检测单元。</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position w:val="-2"/>
          <w:sz w:val="21"/>
          <w:szCs w:val="21"/>
        </w:rPr>
        <w:t>3</w:t>
      </w:r>
      <w:r>
        <w:rPr>
          <w:rFonts w:hint="eastAsia" w:asciiTheme="minorEastAsia" w:hAnsiTheme="minorEastAsia" w:eastAsiaTheme="minorEastAsia" w:cstheme="minorEastAsia"/>
          <w:position w:val="-2"/>
          <w:sz w:val="21"/>
          <w:szCs w:val="21"/>
        </w:rPr>
        <w:t xml:space="preserve">  与坝体连接的厂房，其混凝土结构体的检测单元可按6.4节进行划分。</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position w:val="-2"/>
          <w:sz w:val="21"/>
          <w:szCs w:val="21"/>
        </w:rPr>
        <w:t>4</w:t>
      </w:r>
      <w:r>
        <w:rPr>
          <w:rFonts w:hint="eastAsia" w:asciiTheme="minorEastAsia" w:hAnsiTheme="minorEastAsia" w:eastAsiaTheme="minorEastAsia" w:cstheme="minorEastAsia"/>
          <w:position w:val="-2"/>
          <w:sz w:val="21"/>
          <w:szCs w:val="21"/>
        </w:rPr>
        <w:t xml:space="preserve">  过水建筑物上、下游段和闸室段的墩、墙、板等结构体的检测单元可按6.3节进行划分。</w:t>
      </w:r>
    </w:p>
    <w:p>
      <w:pPr>
        <w:spacing w:line="360" w:lineRule="auto"/>
      </w:pPr>
      <w:bookmarkStart w:id="78" w:name="_Toc16313"/>
      <w:r>
        <w:rPr>
          <w:rFonts w:hint="eastAsia" w:ascii="黑体" w:hAnsi="黑体" w:eastAsia="黑体" w:cs="黑体"/>
        </w:rPr>
        <w:t xml:space="preserve">6.2.3  </w:t>
      </w:r>
      <w:r>
        <w:rPr>
          <w:rFonts w:hint="eastAsia"/>
        </w:rPr>
        <w:t>测区(测线、测点)布置和数量应符合下列要求：</w:t>
      </w:r>
      <w:bookmarkEnd w:id="78"/>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1</w:t>
      </w:r>
      <w:r>
        <w:rPr>
          <w:rFonts w:hint="eastAsia" w:asciiTheme="minorEastAsia" w:hAnsiTheme="minorEastAsia" w:eastAsiaTheme="minorEastAsia" w:cstheme="minorEastAsia"/>
          <w:position w:val="-2"/>
          <w:sz w:val="21"/>
          <w:szCs w:val="21"/>
        </w:rPr>
        <w:t xml:space="preserve">  抗压强度：采用回弹法或超声回弹综合法，应均匀布置不少于10个测区，相邻两测区的中心点距离不宜大于2m，测区边缘距结构端部或结构缝不应小于0.5m；采用钻芯法，布置的测点数不少于2个，1组芯样标准试件3个，可以从一根长芯样截取，也可以3个测点不同芯样上截取。取芯长度依据结构尺寸确定。</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2</w:t>
      </w:r>
      <w:r>
        <w:rPr>
          <w:rFonts w:hint="eastAsia" w:asciiTheme="minorEastAsia" w:hAnsiTheme="minorEastAsia" w:eastAsiaTheme="minorEastAsia" w:cstheme="minorEastAsia"/>
          <w:position w:val="-2"/>
          <w:sz w:val="21"/>
          <w:szCs w:val="21"/>
        </w:rPr>
        <w:t xml:space="preserve">  钢筋间距和保护层厚度：每个检测构件或检测段应</w:t>
      </w:r>
      <w:r>
        <w:rPr>
          <w:rFonts w:hint="eastAsia" w:ascii="方正大黑简体" w:hAnsi="方正大黑简体" w:eastAsia="方正大黑简体" w:cs="方正大黑简体"/>
          <w:position w:val="-2"/>
          <w:sz w:val="21"/>
          <w:szCs w:val="21"/>
        </w:rPr>
        <w:t>布置2个测区</w:t>
      </w:r>
      <w:r>
        <w:rPr>
          <w:rFonts w:hint="eastAsia" w:asciiTheme="minorEastAsia" w:hAnsiTheme="minorEastAsia" w:eastAsiaTheme="minorEastAsia" w:cstheme="minorEastAsia"/>
          <w:position w:val="-2"/>
          <w:sz w:val="21"/>
          <w:szCs w:val="21"/>
        </w:rPr>
        <w:t>，测线应与被测钢筋分布方向垂直。</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3</w:t>
      </w:r>
      <w:r>
        <w:rPr>
          <w:rFonts w:hint="eastAsia" w:asciiTheme="minorEastAsia" w:hAnsiTheme="minorEastAsia" w:eastAsiaTheme="minorEastAsia" w:cstheme="minorEastAsia"/>
          <w:position w:val="-2"/>
          <w:sz w:val="21"/>
          <w:szCs w:val="21"/>
        </w:rPr>
        <w:t xml:space="preserve">  裂缝：应对所有长度、宽度进行检测，深度宜选择不少于裂缝总数10%且不少于3条裂缝进行检测。</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 xml:space="preserve">4 </w:t>
      </w:r>
      <w:r>
        <w:rPr>
          <w:rFonts w:hint="eastAsia" w:asciiTheme="minorEastAsia" w:hAnsiTheme="minorEastAsia" w:eastAsiaTheme="minorEastAsia" w:cstheme="minorEastAsia"/>
          <w:position w:val="-2"/>
          <w:sz w:val="21"/>
          <w:szCs w:val="21"/>
        </w:rPr>
        <w:t xml:space="preserve"> 连接缝止水：应逐缝进行检测。</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5</w:t>
      </w:r>
      <w:r>
        <w:rPr>
          <w:rFonts w:hint="eastAsia" w:asciiTheme="minorEastAsia" w:hAnsiTheme="minorEastAsia" w:eastAsiaTheme="minorEastAsia" w:cstheme="minorEastAsia"/>
          <w:position w:val="-2"/>
          <w:sz w:val="21"/>
          <w:szCs w:val="21"/>
        </w:rPr>
        <w:t xml:space="preserve">  内部缺陷：测线沿纵横方向垂直布置，测线间距宜不大于50cm，各测线的长度与检测单元同向等长。</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6</w:t>
      </w:r>
      <w:r>
        <w:rPr>
          <w:rFonts w:hint="eastAsia" w:asciiTheme="minorEastAsia" w:hAnsiTheme="minorEastAsia" w:eastAsiaTheme="minorEastAsia" w:cstheme="minorEastAsia"/>
          <w:position w:val="-2"/>
          <w:sz w:val="21"/>
          <w:szCs w:val="21"/>
        </w:rPr>
        <w:t xml:space="preserve">  抗拉强度、抗弯性能、弹性模量、表观密度、抗剪性能、透水率、层间结合质量：钻芯取样点随机布置，芯样数量不少于2个。</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7</w:t>
      </w:r>
      <w:r>
        <w:rPr>
          <w:rFonts w:hint="eastAsia" w:asciiTheme="minorEastAsia" w:hAnsiTheme="minorEastAsia" w:eastAsiaTheme="minorEastAsia" w:cstheme="minorEastAsia"/>
          <w:position w:val="-2"/>
          <w:sz w:val="21"/>
          <w:szCs w:val="21"/>
        </w:rPr>
        <w:t xml:space="preserve">  混凝土面板厚度、脱空：采用雷达法、冲击-回波法检测，测线沿拉模方向距面板侧端应不大于0.5m布置，不少于2条，测线间距不宜大于3m；根据初测结果需追溯检测时，加密测线的方向、长度、间距应依追溯需要确定；钻孔验证测点位置和数量应根据前面的检测结果确定。</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 xml:space="preserve">8 </w:t>
      </w:r>
      <w:r>
        <w:rPr>
          <w:rFonts w:hint="eastAsia" w:asciiTheme="minorEastAsia" w:hAnsiTheme="minorEastAsia" w:eastAsiaTheme="minorEastAsia" w:cstheme="minorEastAsia"/>
          <w:position w:val="-2"/>
          <w:sz w:val="21"/>
          <w:szCs w:val="21"/>
        </w:rPr>
        <w:t xml:space="preserve"> 抗冲耐磨性能检测，随机布置取样测点3个。</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 xml:space="preserve">9 </w:t>
      </w:r>
      <w:r>
        <w:rPr>
          <w:rFonts w:hint="eastAsia" w:asciiTheme="minorEastAsia" w:hAnsiTheme="minorEastAsia" w:eastAsiaTheme="minorEastAsia" w:cstheme="minorEastAsia"/>
          <w:position w:val="-2"/>
          <w:sz w:val="21"/>
          <w:szCs w:val="21"/>
        </w:rPr>
        <w:t xml:space="preserve"> 外观缺陷的检验数量应满足SL/T 631.2的要求。</w:t>
      </w:r>
    </w:p>
    <w:p>
      <w:pPr>
        <w:pStyle w:val="3"/>
        <w:snapToGrid w:val="0"/>
        <w:spacing w:afterLines="50"/>
        <w:jc w:val="center"/>
        <w:rPr>
          <w:rFonts w:ascii="黑体" w:hAnsi="黑体"/>
          <w:sz w:val="24"/>
          <w:szCs w:val="24"/>
        </w:rPr>
      </w:pPr>
      <w:bookmarkStart w:id="79" w:name="_Toc28349"/>
      <w:r>
        <w:rPr>
          <w:rFonts w:ascii="黑体" w:hAnsi="黑体"/>
          <w:sz w:val="24"/>
          <w:szCs w:val="24"/>
        </w:rPr>
        <w:t>6.3  水   闸</w:t>
      </w:r>
      <w:bookmarkEnd w:id="79"/>
    </w:p>
    <w:p>
      <w:pPr>
        <w:pStyle w:val="6"/>
        <w:spacing w:line="360" w:lineRule="auto"/>
        <w:rPr>
          <w:rFonts w:hint="eastAsia" w:ascii="黑体" w:hAnsi="黑体" w:eastAsia="黑体" w:cs="黑体"/>
          <w:sz w:val="21"/>
          <w:szCs w:val="22"/>
        </w:rPr>
      </w:pPr>
      <w:r>
        <w:rPr>
          <w:rFonts w:hint="eastAsia" w:ascii="黑体" w:hAnsi="黑体" w:eastAsia="黑体" w:cs="黑体"/>
          <w:sz w:val="21"/>
          <w:szCs w:val="22"/>
        </w:rPr>
        <w:t xml:space="preserve">6.3.1  </w:t>
      </w:r>
      <w:r>
        <w:rPr>
          <w:rFonts w:hint="eastAsia" w:cs="黑体" w:asciiTheme="minorEastAsia" w:hAnsiTheme="minorEastAsia" w:eastAsiaTheme="minorEastAsia"/>
          <w:sz w:val="21"/>
          <w:szCs w:val="22"/>
        </w:rPr>
        <w:t>检测项目宜包括下列内容</w:t>
      </w:r>
      <w:r>
        <w:rPr>
          <w:rFonts w:hint="eastAsia" w:ascii="黑体" w:hAnsi="黑体" w:eastAsia="黑体" w:cs="黑体"/>
          <w:sz w:val="21"/>
          <w:szCs w:val="22"/>
        </w:rPr>
        <w:t>：</w:t>
      </w:r>
    </w:p>
    <w:p>
      <w:pPr>
        <w:pStyle w:val="6"/>
        <w:spacing w:line="360" w:lineRule="auto"/>
        <w:ind w:firstLine="425"/>
        <w:rPr>
          <w:rFonts w:hint="eastAsia" w:asciiTheme="minorEastAsia" w:hAnsiTheme="minorEastAsia" w:eastAsiaTheme="minorEastAsia" w:cstheme="minorEastAsia"/>
          <w:sz w:val="21"/>
          <w:szCs w:val="21"/>
        </w:rPr>
      </w:pPr>
      <w:r>
        <w:rPr>
          <w:rFonts w:hint="eastAsia" w:ascii="黑体" w:hAnsi="黑体" w:eastAsia="黑体" w:cs="黑体"/>
          <w:sz w:val="21"/>
          <w:szCs w:val="22"/>
        </w:rPr>
        <w:t>1</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闸体：抗压强度、抗渗性能、抗冻性能，钢筋间距和保护层厚度，裂缝、连接缝止水、内部缺陷、外观缺陷。</w:t>
      </w:r>
    </w:p>
    <w:p>
      <w:pPr>
        <w:pStyle w:val="6"/>
        <w:spacing w:line="360" w:lineRule="auto"/>
        <w:ind w:firstLine="425"/>
        <w:rPr>
          <w:rFonts w:hint="eastAsia" w:asciiTheme="minorEastAsia" w:hAnsiTheme="minorEastAsia" w:eastAsiaTheme="minorEastAsia" w:cstheme="minorEastAsia"/>
          <w:sz w:val="21"/>
          <w:szCs w:val="21"/>
        </w:rPr>
      </w:pPr>
      <w:r>
        <w:rPr>
          <w:rFonts w:hint="eastAsia" w:ascii="黑体" w:hAnsi="黑体" w:eastAsia="黑体" w:cs="黑体"/>
          <w:sz w:val="21"/>
          <w:szCs w:val="22"/>
        </w:rPr>
        <w:t>2</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 xml:space="preserve"> 混凝土墩、墙结构体：除1检测项目外，宜增加厚度。</w:t>
      </w:r>
    </w:p>
    <w:p>
      <w:pPr>
        <w:pStyle w:val="6"/>
        <w:spacing w:line="360" w:lineRule="auto"/>
        <w:ind w:firstLine="412"/>
        <w:rPr>
          <w:rFonts w:hint="eastAsia" w:asciiTheme="minorEastAsia" w:hAnsiTheme="minorEastAsia" w:eastAsiaTheme="minorEastAsia" w:cstheme="minorEastAsia"/>
          <w:sz w:val="21"/>
          <w:szCs w:val="21"/>
        </w:rPr>
      </w:pPr>
      <w:r>
        <w:rPr>
          <w:rFonts w:hint="eastAsia" w:ascii="黑体" w:hAnsi="黑体" w:eastAsia="黑体" w:cs="黑体"/>
          <w:sz w:val="21"/>
          <w:szCs w:val="22"/>
        </w:rPr>
        <w:t>3</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混凝土板、梁结构体：除1检测项目外，可增加抗拉强度、抗弯性能、抗剪性能、弹性模量，承载力、挠度、抗裂度，预应力筋(索)张拉力。</w:t>
      </w:r>
    </w:p>
    <w:p>
      <w:pPr>
        <w:pStyle w:val="6"/>
        <w:spacing w:line="360" w:lineRule="auto"/>
        <w:ind w:firstLine="425"/>
        <w:rPr>
          <w:rFonts w:hint="eastAsia" w:asciiTheme="minorEastAsia" w:hAnsiTheme="minorEastAsia" w:eastAsiaTheme="minorEastAsia" w:cstheme="minorEastAsia"/>
          <w:sz w:val="21"/>
          <w:szCs w:val="21"/>
        </w:rPr>
      </w:pPr>
      <w:r>
        <w:rPr>
          <w:rFonts w:hint="eastAsia" w:ascii="黑体" w:hAnsi="黑体" w:eastAsia="黑体" w:cs="黑体"/>
          <w:sz w:val="21"/>
          <w:szCs w:val="22"/>
        </w:rPr>
        <w:t>4</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过水建筑物结构体：除1检测项目外，可增加抗冲耐磨性能。</w:t>
      </w:r>
    </w:p>
    <w:p>
      <w:pPr>
        <w:pStyle w:val="6"/>
        <w:spacing w:line="360" w:lineRule="auto"/>
        <w:rPr>
          <w:rFonts w:hint="eastAsia" w:asciiTheme="minorEastAsia" w:hAnsiTheme="minorEastAsia" w:eastAsiaTheme="minorEastAsia" w:cstheme="minorEastAsia"/>
          <w:sz w:val="21"/>
          <w:szCs w:val="21"/>
        </w:rPr>
      </w:pPr>
      <w:r>
        <w:rPr>
          <w:rFonts w:hint="eastAsia" w:ascii="黑体" w:hAnsi="黑体" w:eastAsia="黑体" w:cs="黑体"/>
          <w:sz w:val="21"/>
          <w:szCs w:val="22"/>
        </w:rPr>
        <w:t xml:space="preserve">6.3.2 </w:t>
      </w:r>
      <w:r>
        <w:rPr>
          <w:rFonts w:hint="eastAsia" w:asciiTheme="minorEastAsia" w:hAnsiTheme="minorEastAsia" w:eastAsiaTheme="minorEastAsia" w:cstheme="minorEastAsia"/>
          <w:position w:val="-2"/>
          <w:sz w:val="21"/>
          <w:szCs w:val="21"/>
        </w:rPr>
        <w:t xml:space="preserve"> </w:t>
      </w:r>
      <w:r>
        <w:rPr>
          <w:rFonts w:hint="eastAsia" w:cs="黑体" w:asciiTheme="minorEastAsia" w:hAnsiTheme="minorEastAsia" w:eastAsiaTheme="minorEastAsia"/>
          <w:sz w:val="21"/>
          <w:szCs w:val="22"/>
        </w:rPr>
        <w:t>检测单元</w:t>
      </w:r>
      <w:r>
        <w:rPr>
          <w:rFonts w:hint="eastAsia" w:asciiTheme="minorEastAsia" w:hAnsiTheme="minorEastAsia" w:eastAsiaTheme="minorEastAsia" w:cstheme="minorEastAsia"/>
          <w:sz w:val="21"/>
          <w:szCs w:val="21"/>
        </w:rPr>
        <w:t>应根据工程特点和施工情况，按下列要求划分：</w:t>
      </w:r>
    </w:p>
    <w:p>
      <w:pPr>
        <w:pStyle w:val="6"/>
        <w:spacing w:line="360" w:lineRule="auto"/>
        <w:ind w:firstLine="423"/>
        <w:rPr>
          <w:rFonts w:hint="eastAsia" w:asciiTheme="minorEastAsia" w:hAnsiTheme="minorEastAsia" w:eastAsiaTheme="minorEastAsia" w:cstheme="minorEastAsia"/>
          <w:sz w:val="21"/>
          <w:szCs w:val="21"/>
        </w:rPr>
      </w:pPr>
      <w:r>
        <w:rPr>
          <w:rFonts w:hint="eastAsia" w:ascii="黑体" w:hAnsi="黑体" w:eastAsia="黑体" w:cs="黑体"/>
          <w:sz w:val="21"/>
          <w:szCs w:val="22"/>
        </w:rPr>
        <w:t>1</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水闸按结构体功能分类，上游连结段(进口段)、闸室段、下游联结段(出口段)等可独立划分检测单元。</w:t>
      </w:r>
    </w:p>
    <w:p>
      <w:pPr>
        <w:pStyle w:val="6"/>
        <w:spacing w:line="360" w:lineRule="auto"/>
        <w:ind w:firstLine="414"/>
        <w:rPr>
          <w:rFonts w:hint="eastAsia" w:asciiTheme="minorEastAsia" w:hAnsiTheme="minorEastAsia" w:eastAsiaTheme="minorEastAsia" w:cstheme="minorEastAsia"/>
          <w:position w:val="1"/>
          <w:sz w:val="21"/>
          <w:szCs w:val="21"/>
        </w:rPr>
      </w:pPr>
      <w:r>
        <w:rPr>
          <w:rFonts w:hint="eastAsia" w:ascii="黑体" w:hAnsi="黑体" w:eastAsia="黑体" w:cs="黑体"/>
          <w:sz w:val="21"/>
          <w:szCs w:val="22"/>
        </w:rPr>
        <w:t>2</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闸室段的闸墩、导(侧)墙、底板等检测单元不宜大于50m</w:t>
      </w:r>
      <w:r>
        <w:rPr>
          <w:rFonts w:hint="eastAsia" w:asciiTheme="minorEastAsia" w:hAnsiTheme="minorEastAsia" w:eastAsiaTheme="minorEastAsia" w:cstheme="minorEastAsia"/>
          <w:sz w:val="21"/>
          <w:szCs w:val="21"/>
          <w:vertAlign w:val="superscript"/>
        </w:rPr>
        <w:t>2</w:t>
      </w:r>
      <w:r>
        <w:rPr>
          <w:rFonts w:hint="eastAsia" w:asciiTheme="minorEastAsia" w:hAnsiTheme="minorEastAsia" w:eastAsiaTheme="minorEastAsia" w:cstheme="minorEastAsia"/>
          <w:sz w:val="21"/>
          <w:szCs w:val="21"/>
        </w:rPr>
        <w:t>。</w:t>
      </w:r>
    </w:p>
    <w:p>
      <w:pPr>
        <w:pStyle w:val="6"/>
        <w:spacing w:line="360" w:lineRule="auto"/>
        <w:ind w:firstLine="414"/>
        <w:rPr>
          <w:rFonts w:hint="eastAsia" w:asciiTheme="minorEastAsia" w:hAnsiTheme="minorEastAsia" w:eastAsiaTheme="minorEastAsia" w:cstheme="minorEastAsia"/>
          <w:sz w:val="21"/>
          <w:szCs w:val="21"/>
        </w:rPr>
      </w:pPr>
      <w:r>
        <w:rPr>
          <w:rFonts w:hint="eastAsia" w:ascii="黑体" w:hAnsi="黑体" w:eastAsia="黑体" w:cs="黑体"/>
          <w:sz w:val="21"/>
          <w:szCs w:val="22"/>
        </w:rPr>
        <w:t>3</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梁(不含吊车梁)、梁格内板和节点柱可按单跨、单块、单根为1个检测单元；对于吊车梁等动态承重受力结构体可按设计结构整体为1个检测单元，预应力筋(索)可按单根为1个检测单元。</w:t>
      </w:r>
    </w:p>
    <w:p>
      <w:pPr>
        <w:pStyle w:val="6"/>
        <w:spacing w:line="360" w:lineRule="auto"/>
        <w:rPr>
          <w:rFonts w:hint="eastAsia" w:asciiTheme="minorEastAsia" w:hAnsiTheme="minorEastAsia" w:eastAsiaTheme="minorEastAsia" w:cstheme="minorEastAsia"/>
          <w:sz w:val="21"/>
          <w:szCs w:val="21"/>
        </w:rPr>
      </w:pPr>
      <w:r>
        <w:rPr>
          <w:rFonts w:hint="eastAsia" w:ascii="黑体" w:hAnsi="黑体" w:eastAsia="黑体" w:cs="黑体"/>
          <w:sz w:val="21"/>
          <w:szCs w:val="22"/>
        </w:rPr>
        <w:t>6.3.3</w:t>
      </w:r>
      <w:r>
        <w:rPr>
          <w:rFonts w:hint="eastAsia" w:asciiTheme="minorEastAsia" w:hAnsiTheme="minorEastAsia" w:eastAsiaTheme="minorEastAsia" w:cstheme="minorEastAsia"/>
          <w:position w:val="-2"/>
          <w:sz w:val="21"/>
          <w:szCs w:val="21"/>
        </w:rPr>
        <w:t xml:space="preserve">  检测</w:t>
      </w:r>
      <w:r>
        <w:rPr>
          <w:rFonts w:hint="eastAsia" w:asciiTheme="minorEastAsia" w:hAnsiTheme="minorEastAsia" w:eastAsiaTheme="minorEastAsia" w:cstheme="minorEastAsia"/>
          <w:sz w:val="21"/>
          <w:szCs w:val="21"/>
        </w:rPr>
        <w:t>项目的测区(测线、测点)布置和数量：承载力、挠度和抗裂度应按照技术要求布置；预应力筋(索)张拉力应全数检测；其他检测项目可参照</w:t>
      </w:r>
      <w:r>
        <w:rPr>
          <w:rFonts w:hint="eastAsia" w:asciiTheme="minorEastAsia" w:hAnsiTheme="minorEastAsia" w:eastAsiaTheme="minorEastAsia" w:cstheme="minorEastAsia"/>
          <w:sz w:val="21"/>
          <w:szCs w:val="22"/>
        </w:rPr>
        <w:t>6.2.3</w:t>
      </w:r>
      <w:r>
        <w:rPr>
          <w:rFonts w:hint="eastAsia" w:asciiTheme="minorEastAsia" w:hAnsiTheme="minorEastAsia" w:eastAsiaTheme="minorEastAsia" w:cstheme="minorEastAsia"/>
          <w:sz w:val="21"/>
          <w:szCs w:val="21"/>
        </w:rPr>
        <w:t>条的有关要求布置。</w:t>
      </w:r>
    </w:p>
    <w:p>
      <w:pPr>
        <w:pStyle w:val="3"/>
        <w:snapToGrid w:val="0"/>
        <w:spacing w:afterLines="50"/>
        <w:jc w:val="center"/>
        <w:rPr>
          <w:rFonts w:ascii="黑体" w:hAnsi="黑体"/>
          <w:sz w:val="24"/>
          <w:szCs w:val="24"/>
        </w:rPr>
      </w:pPr>
      <w:bookmarkStart w:id="80" w:name="_Toc23206"/>
      <w:r>
        <w:rPr>
          <w:rFonts w:ascii="黑体" w:hAnsi="黑体"/>
          <w:sz w:val="24"/>
          <w:szCs w:val="24"/>
        </w:rPr>
        <w:t>6.4  泵站、电站</w:t>
      </w:r>
      <w:bookmarkEnd w:id="80"/>
    </w:p>
    <w:p>
      <w:pPr>
        <w:pStyle w:val="6"/>
        <w:spacing w:line="360" w:lineRule="auto"/>
        <w:rPr>
          <w:rFonts w:hint="eastAsia" w:asciiTheme="minorEastAsia" w:hAnsiTheme="minorEastAsia" w:eastAsiaTheme="minorEastAsia" w:cstheme="minorEastAsia"/>
          <w:sz w:val="21"/>
          <w:szCs w:val="21"/>
        </w:rPr>
      </w:pPr>
      <w:r>
        <w:rPr>
          <w:rFonts w:hint="eastAsia" w:ascii="黑体" w:hAnsi="黑体" w:eastAsia="黑体" w:cs="黑体"/>
          <w:sz w:val="21"/>
          <w:szCs w:val="22"/>
        </w:rPr>
        <w:t>6.4.1</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检测项目宜包括下列内容：</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黑体" w:hAnsi="黑体" w:eastAsia="黑体" w:cs="黑体"/>
          <w:sz w:val="21"/>
          <w:szCs w:val="22"/>
        </w:rPr>
        <w:t xml:space="preserve">1 </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主体结构：抗压强度、抗渗性能、抗冻性能，钢筋间距和保护层厚度，裂缝、连接缝止水、内部缺陷、外观缺陷。</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黑体" w:hAnsi="黑体" w:eastAsia="黑体" w:cs="黑体"/>
          <w:sz w:val="21"/>
          <w:szCs w:val="22"/>
        </w:rPr>
        <w:t>2</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楼板、梁、墙、柱结构体：除1检测项目外，可增加抗拉强度、抗弯性能、抗剪性能、弹性模量，承载力，挠度、抗裂度，预应力筋(索)张拉力。</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黑体" w:hAnsi="黑体" w:eastAsia="黑体" w:cs="黑体"/>
          <w:sz w:val="21"/>
          <w:szCs w:val="22"/>
        </w:rPr>
        <w:t>3</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地下厂房顶拱衬砌：除1检测项目外，可增加混凝土与围岩接触面脱空。</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黑体" w:hAnsi="黑体" w:eastAsia="黑体" w:cs="黑体"/>
          <w:sz w:val="21"/>
          <w:szCs w:val="22"/>
        </w:rPr>
        <w:t xml:space="preserve">4 </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过水建筑物结构体：除1检测项目外，可增加抗冲耐磨性能。</w:t>
      </w:r>
    </w:p>
    <w:p>
      <w:pPr>
        <w:pStyle w:val="6"/>
        <w:spacing w:line="360" w:lineRule="auto"/>
        <w:rPr>
          <w:rFonts w:hint="eastAsia" w:asciiTheme="minorEastAsia" w:hAnsiTheme="minorEastAsia" w:eastAsiaTheme="minorEastAsia" w:cstheme="minorEastAsia"/>
          <w:sz w:val="21"/>
          <w:szCs w:val="21"/>
        </w:rPr>
      </w:pPr>
      <w:r>
        <w:rPr>
          <w:rFonts w:hint="eastAsia" w:ascii="黑体" w:hAnsi="黑体" w:eastAsia="黑体" w:cs="黑体"/>
          <w:sz w:val="21"/>
          <w:szCs w:val="22"/>
        </w:rPr>
        <w:t xml:space="preserve">6.4.2 </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检测单元应根据工程特点和施工情况，按下列要求划分：</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黑体" w:hAnsi="黑体" w:eastAsia="黑体" w:cs="黑体"/>
          <w:sz w:val="21"/>
          <w:szCs w:val="22"/>
        </w:rPr>
        <w:t>1</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进出水建筑物可参照6.3节的有关要求进行划分。</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黑体" w:hAnsi="黑体" w:eastAsia="黑体" w:cs="黑体"/>
          <w:sz w:val="21"/>
          <w:szCs w:val="22"/>
        </w:rPr>
        <w:t>2</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厂房内的机墩、机座、蜗壳、水轮机室按单机划分检测单元，楼板、墙板、缓台、踏步、楼梯、电梯井以及顶拱作为独立结构体划分检测单元。根据每楼层上、下游顺序按每不超过</w:t>
      </w:r>
      <w:r>
        <w:rPr>
          <w:rFonts w:hint="eastAsia" w:asciiTheme="minorEastAsia" w:hAnsiTheme="minorEastAsia" w:eastAsiaTheme="minorEastAsia" w:cstheme="minorEastAsia"/>
          <w:position w:val="-2"/>
          <w:sz w:val="21"/>
          <w:szCs w:val="21"/>
        </w:rPr>
        <w:t>12m</w:t>
      </w:r>
      <w:r>
        <w:rPr>
          <w:rFonts w:hint="eastAsia" w:asciiTheme="minorEastAsia" w:hAnsiTheme="minorEastAsia" w:eastAsiaTheme="minorEastAsia" w:cstheme="minorEastAsia"/>
          <w:sz w:val="21"/>
          <w:szCs w:val="21"/>
        </w:rPr>
        <w:t>长、</w:t>
      </w:r>
      <w:r>
        <w:rPr>
          <w:rFonts w:hint="eastAsia" w:asciiTheme="minorEastAsia" w:hAnsiTheme="minorEastAsia" w:eastAsiaTheme="minorEastAsia" w:cstheme="minorEastAsia"/>
          <w:position w:val="-2"/>
          <w:sz w:val="21"/>
          <w:szCs w:val="21"/>
        </w:rPr>
        <w:t>12m</w:t>
      </w:r>
      <w:r>
        <w:rPr>
          <w:rFonts w:hint="eastAsia" w:asciiTheme="minorEastAsia" w:hAnsiTheme="minorEastAsia" w:eastAsiaTheme="minorEastAsia" w:cstheme="minorEastAsia"/>
          <w:sz w:val="21"/>
          <w:szCs w:val="21"/>
        </w:rPr>
        <w:t>宽划分为1个检测单元，小于1/2的可并入相邻检测单元也可独立划为1个检测单元，面积不宜大于50m</w:t>
      </w:r>
      <w:r>
        <w:rPr>
          <w:rFonts w:hint="eastAsia" w:asciiTheme="minorEastAsia" w:hAnsiTheme="minorEastAsia" w:eastAsiaTheme="minorEastAsia" w:cstheme="minorEastAsia"/>
          <w:sz w:val="21"/>
          <w:szCs w:val="21"/>
          <w:vertAlign w:val="superscript"/>
        </w:rPr>
        <w:t>2</w:t>
      </w:r>
      <w:r>
        <w:rPr>
          <w:rFonts w:hint="eastAsia" w:asciiTheme="minorEastAsia" w:hAnsiTheme="minorEastAsia" w:eastAsiaTheme="minorEastAsia" w:cstheme="minorEastAsia"/>
          <w:sz w:val="21"/>
          <w:szCs w:val="21"/>
        </w:rPr>
        <w:t>。</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黑体" w:hAnsi="黑体" w:eastAsia="黑体" w:cs="黑体"/>
          <w:sz w:val="21"/>
          <w:szCs w:val="22"/>
        </w:rPr>
        <w:t>3</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每单根梁、柱划分为1个检测单元。当检测单元与其他功能结构体交叉时，可调整检测单元位置以避开。</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黑体" w:hAnsi="黑体" w:eastAsia="黑体" w:cs="黑体"/>
          <w:sz w:val="21"/>
          <w:szCs w:val="22"/>
        </w:rPr>
        <w:t>4</w:t>
      </w:r>
      <w:r>
        <w:rPr>
          <w:rFonts w:hint="eastAsia" w:asciiTheme="minorEastAsia" w:hAnsiTheme="minorEastAsia" w:eastAsiaTheme="minorEastAsia" w:cstheme="minorEastAsia"/>
          <w:position w:val="-2"/>
          <w:sz w:val="21"/>
          <w:szCs w:val="21"/>
        </w:rPr>
        <w:t xml:space="preserve">  吊车</w:t>
      </w:r>
      <w:r>
        <w:rPr>
          <w:rFonts w:hint="eastAsia" w:asciiTheme="minorEastAsia" w:hAnsiTheme="minorEastAsia" w:eastAsiaTheme="minorEastAsia" w:cstheme="minorEastAsia"/>
          <w:sz w:val="21"/>
          <w:szCs w:val="21"/>
        </w:rPr>
        <w:t>梁或岩锚梁，有支撑柱的按柱间梁跨长度划分为1个检测单元，无支撑柱的按梁的长度每</w:t>
      </w:r>
      <w:r>
        <w:rPr>
          <w:rFonts w:hint="eastAsia" w:asciiTheme="minorEastAsia" w:hAnsiTheme="minorEastAsia" w:eastAsiaTheme="minorEastAsia" w:cstheme="minorEastAsia"/>
          <w:position w:val="-2"/>
          <w:sz w:val="21"/>
          <w:szCs w:val="21"/>
        </w:rPr>
        <w:t>7m～9m</w:t>
      </w:r>
      <w:r>
        <w:rPr>
          <w:rFonts w:hint="eastAsia" w:asciiTheme="minorEastAsia" w:hAnsiTheme="minorEastAsia" w:eastAsiaTheme="minorEastAsia" w:cstheme="minorEastAsia"/>
          <w:sz w:val="21"/>
          <w:szCs w:val="21"/>
        </w:rPr>
        <w:t>划分为1个检测单元，对于动态承重受力结构体可按设计结构整体为1个检测单元。</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黑体" w:hAnsi="黑体" w:eastAsia="黑体" w:cs="黑体"/>
          <w:sz w:val="21"/>
          <w:szCs w:val="22"/>
        </w:rPr>
        <w:t>5</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桥梁参照吊车梁或上述相类似结构体划分检测单元。</w:t>
      </w:r>
    </w:p>
    <w:p>
      <w:pPr>
        <w:pStyle w:val="6"/>
        <w:spacing w:line="360" w:lineRule="auto"/>
        <w:rPr>
          <w:rFonts w:hint="eastAsia" w:asciiTheme="minorEastAsia" w:hAnsiTheme="minorEastAsia" w:eastAsiaTheme="minorEastAsia" w:cstheme="minorEastAsia"/>
          <w:sz w:val="21"/>
          <w:szCs w:val="21"/>
        </w:rPr>
      </w:pPr>
      <w:r>
        <w:rPr>
          <w:rFonts w:hint="eastAsia" w:ascii="黑体" w:hAnsi="黑体" w:eastAsia="黑体" w:cs="黑体"/>
          <w:sz w:val="21"/>
          <w:szCs w:val="22"/>
        </w:rPr>
        <w:t xml:space="preserve">6.4.3 </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测区(测线、测点)布置和数量应符合下列要求：</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黑体" w:hAnsi="黑体" w:eastAsia="黑体" w:cs="黑体"/>
          <w:sz w:val="21"/>
          <w:szCs w:val="22"/>
        </w:rPr>
        <w:t>1</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抗压强度、抗渗性能、抗冻性能、钢筋间距和保护层厚度、内部缺陷、裂缝长度、宽度与深度：可参照6.2.3条的有关要求布置。</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黑体" w:hAnsi="黑体" w:eastAsia="黑体" w:cs="黑体"/>
          <w:sz w:val="21"/>
          <w:szCs w:val="22"/>
        </w:rPr>
        <w:t xml:space="preserve">2 </w:t>
      </w:r>
      <w:r>
        <w:rPr>
          <w:rFonts w:hint="eastAsia" w:asciiTheme="minorEastAsia" w:hAnsiTheme="minorEastAsia" w:eastAsiaTheme="minorEastAsia" w:cstheme="minorEastAsia"/>
          <w:position w:val="-2"/>
          <w:sz w:val="21"/>
          <w:szCs w:val="21"/>
        </w:rPr>
        <w:t xml:space="preserve"> </w:t>
      </w:r>
      <w:r>
        <w:rPr>
          <w:rFonts w:hint="eastAsia" w:asciiTheme="minorEastAsia" w:hAnsiTheme="minorEastAsia" w:eastAsiaTheme="minorEastAsia" w:cstheme="minorEastAsia"/>
          <w:sz w:val="21"/>
          <w:szCs w:val="21"/>
        </w:rPr>
        <w:t>吊车梁(岩锚梁)混凝土内部缺陷：应布置不少于2条测线，测线长度与检测单元同向等长，测线间距为梁立面尺寸的1/3。</w:t>
      </w:r>
    </w:p>
    <w:p>
      <w:pPr>
        <w:pStyle w:val="6"/>
        <w:spacing w:line="360" w:lineRule="auto"/>
        <w:ind w:firstLine="420" w:firstLineChars="200"/>
        <w:rPr>
          <w:rFonts w:hint="eastAsia" w:ascii="宋体" w:hAnsi="宋体" w:eastAsia="宋体" w:cs="黑体"/>
          <w:sz w:val="21"/>
          <w:szCs w:val="21"/>
        </w:rPr>
      </w:pPr>
      <w:r>
        <w:rPr>
          <w:rFonts w:hint="eastAsia" w:ascii="黑体" w:hAnsi="黑体" w:eastAsia="黑体" w:cs="黑体"/>
          <w:sz w:val="21"/>
          <w:szCs w:val="22"/>
        </w:rPr>
        <w:t>3</w:t>
      </w:r>
      <w:r>
        <w:rPr>
          <w:rFonts w:hint="eastAsia" w:asciiTheme="minorEastAsia" w:hAnsiTheme="minorEastAsia" w:eastAsiaTheme="minorEastAsia" w:cstheme="minorEastAsia"/>
          <w:position w:val="-2"/>
          <w:sz w:val="21"/>
          <w:szCs w:val="21"/>
        </w:rPr>
        <w:t xml:space="preserve">  </w:t>
      </w:r>
      <w:r>
        <w:rPr>
          <w:rFonts w:hint="eastAsia" w:ascii="宋体" w:hAnsi="宋体" w:eastAsia="宋体" w:cs="黑体"/>
          <w:sz w:val="21"/>
          <w:szCs w:val="21"/>
        </w:rPr>
        <w:t>混凝土与围岩接触面脱空：测线沿轴向布置时，拱部不少于3条、两侧墙各不少于1条，底部不少于1条，地下洞室测线间距宜不大于2m，测线长度应与检测单元同向等长。沿横向布置时，每10米布置一个测试断面，每个断面不少于6个测点。</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黑体" w:hAnsi="黑体" w:eastAsia="黑体" w:cs="黑体"/>
          <w:sz w:val="21"/>
          <w:szCs w:val="22"/>
        </w:rPr>
        <w:t>4</w:t>
      </w:r>
      <w:r>
        <w:rPr>
          <w:rFonts w:hint="eastAsia" w:asciiTheme="minorEastAsia" w:hAnsiTheme="minorEastAsia" w:eastAsiaTheme="minorEastAsia" w:cstheme="minorEastAsia"/>
          <w:position w:val="-2"/>
          <w:sz w:val="21"/>
          <w:szCs w:val="21"/>
        </w:rPr>
        <w:t xml:space="preserve">  其他检测项目：可参照6.2节、6.3节的有关要求布置。</w:t>
      </w:r>
    </w:p>
    <w:p>
      <w:pPr>
        <w:pStyle w:val="6"/>
        <w:spacing w:line="360" w:lineRule="auto"/>
        <w:ind w:firstLine="420" w:firstLineChars="200"/>
        <w:rPr>
          <w:rFonts w:hint="eastAsia" w:asciiTheme="minorEastAsia" w:hAnsiTheme="minorEastAsia" w:eastAsiaTheme="minorEastAsia" w:cstheme="minorEastAsia"/>
          <w:position w:val="-2"/>
          <w:sz w:val="21"/>
          <w:szCs w:val="21"/>
        </w:rPr>
      </w:pPr>
    </w:p>
    <w:p>
      <w:pPr>
        <w:pStyle w:val="3"/>
        <w:snapToGrid w:val="0"/>
        <w:spacing w:afterLines="50" w:line="360" w:lineRule="auto"/>
        <w:jc w:val="center"/>
        <w:rPr>
          <w:rFonts w:ascii="黑体" w:hAnsi="黑体"/>
          <w:sz w:val="24"/>
          <w:szCs w:val="24"/>
        </w:rPr>
      </w:pPr>
      <w:bookmarkStart w:id="81" w:name="_Toc13967"/>
      <w:r>
        <w:rPr>
          <w:rFonts w:ascii="黑体" w:hAnsi="黑体"/>
          <w:sz w:val="24"/>
          <w:szCs w:val="24"/>
        </w:rPr>
        <w:t xml:space="preserve">6.5  </w:t>
      </w:r>
      <w:bookmarkStart w:id="82" w:name="_Hlk191291168"/>
      <w:r>
        <w:rPr>
          <w:rFonts w:ascii="黑体" w:hAnsi="黑体"/>
          <w:sz w:val="24"/>
          <w:szCs w:val="24"/>
        </w:rPr>
        <w:t>输水建筑物</w:t>
      </w:r>
      <w:bookmarkEnd w:id="81"/>
      <w:bookmarkEnd w:id="82"/>
    </w:p>
    <w:p>
      <w:pPr>
        <w:spacing w:line="360" w:lineRule="auto"/>
      </w:pPr>
      <w:bookmarkStart w:id="83" w:name="_Toc30054"/>
      <w:r>
        <w:rPr>
          <w:rFonts w:hint="eastAsia" w:ascii="黑体" w:hAnsi="黑体" w:eastAsia="黑体" w:cs="黑体"/>
        </w:rPr>
        <w:t xml:space="preserve">6.5.1  </w:t>
      </w:r>
      <w:r>
        <w:rPr>
          <w:rFonts w:hint="eastAsia"/>
        </w:rPr>
        <w:t>输水建筑物的混凝土结构包括涵、管、倒虹吸、渡槽、洞室衬砌、渠道衬砌。</w:t>
      </w:r>
      <w:bookmarkEnd w:id="83"/>
    </w:p>
    <w:p>
      <w:pPr>
        <w:spacing w:line="360" w:lineRule="auto"/>
      </w:pPr>
      <w:bookmarkStart w:id="84" w:name="_Toc7281"/>
      <w:r>
        <w:rPr>
          <w:rFonts w:hint="eastAsia" w:ascii="黑体" w:hAnsi="黑体" w:eastAsia="黑体" w:cs="黑体"/>
        </w:rPr>
        <w:t xml:space="preserve">6.5.2  </w:t>
      </w:r>
      <w:r>
        <w:rPr>
          <w:rFonts w:hint="eastAsia"/>
        </w:rPr>
        <w:t>输水建筑物检测项目宜包括下列内容：</w:t>
      </w:r>
      <w:bookmarkEnd w:id="84"/>
    </w:p>
    <w:p>
      <w:pPr>
        <w:spacing w:line="360" w:lineRule="auto"/>
        <w:ind w:firstLine="420" w:firstLineChars="200"/>
        <w:rPr>
          <w:rFonts w:hint="eastAsia" w:ascii="宋体" w:hAnsi="宋体" w:eastAsia="宋体" w:cs="宋体"/>
          <w:szCs w:val="21"/>
        </w:rPr>
      </w:pPr>
      <w:r>
        <w:rPr>
          <w:rFonts w:hint="eastAsia" w:ascii="黑体" w:hAnsi="黑体" w:eastAsia="黑体" w:cs="宋体"/>
          <w:szCs w:val="21"/>
        </w:rPr>
        <w:t>1</w:t>
      </w:r>
      <w:r>
        <w:rPr>
          <w:rFonts w:hint="eastAsia" w:ascii="宋体" w:hAnsi="宋体" w:eastAsia="宋体" w:cs="宋体"/>
          <w:szCs w:val="21"/>
        </w:rPr>
        <w:t xml:space="preserve">  主体结构：抗压强度、抗渗性能、抗冻性能，钢筋间距和保护层厚度、裂缝、连接缝止水、透水率、内部缺陷、外部缺陷。</w:t>
      </w:r>
    </w:p>
    <w:p>
      <w:pPr>
        <w:spacing w:line="360" w:lineRule="auto"/>
        <w:ind w:firstLine="420" w:firstLineChars="200"/>
        <w:rPr>
          <w:rFonts w:hint="eastAsia" w:ascii="宋体" w:hAnsi="宋体" w:eastAsia="宋体" w:cs="宋体"/>
          <w:szCs w:val="21"/>
        </w:rPr>
      </w:pPr>
      <w:r>
        <w:rPr>
          <w:rFonts w:hint="eastAsia" w:ascii="黑体" w:hAnsi="黑体" w:eastAsia="黑体" w:cs="宋体"/>
          <w:szCs w:val="21"/>
        </w:rPr>
        <w:t>2</w:t>
      </w:r>
      <w:r>
        <w:rPr>
          <w:rFonts w:hint="eastAsia" w:ascii="宋体" w:hAnsi="宋体" w:eastAsia="宋体" w:cs="宋体"/>
          <w:szCs w:val="21"/>
        </w:rPr>
        <w:t xml:space="preserve">  渡槽结构：除1检测项目外，可增加弹性模量、承载力、挠度、抗裂度、预应力筋(索)张拉力。</w:t>
      </w:r>
    </w:p>
    <w:p>
      <w:pPr>
        <w:spacing w:line="360" w:lineRule="auto"/>
        <w:ind w:firstLine="420" w:firstLineChars="200"/>
        <w:rPr>
          <w:rFonts w:hint="eastAsia" w:asciiTheme="minorEastAsia" w:hAnsiTheme="minorEastAsia" w:cstheme="minorEastAsia"/>
          <w:color w:val="ED0000"/>
          <w:position w:val="-2"/>
          <w:szCs w:val="21"/>
        </w:rPr>
      </w:pPr>
      <w:r>
        <w:rPr>
          <w:rFonts w:hint="eastAsia" w:ascii="黑体" w:hAnsi="黑体" w:eastAsia="黑体" w:cs="宋体"/>
          <w:szCs w:val="21"/>
        </w:rPr>
        <w:t>3</w:t>
      </w:r>
      <w:r>
        <w:rPr>
          <w:rFonts w:hint="eastAsia" w:ascii="宋体" w:hAnsi="宋体" w:eastAsia="宋体" w:cs="宋体"/>
          <w:szCs w:val="21"/>
        </w:rPr>
        <w:t xml:space="preserve">   洞室、渠道衬砌：除1检测项目外，可增加混凝土与围岩接触面脱空、衬砌厚度。</w:t>
      </w:r>
    </w:p>
    <w:p>
      <w:pPr>
        <w:spacing w:line="360" w:lineRule="auto"/>
        <w:ind w:firstLine="420" w:firstLineChars="200"/>
        <w:rPr>
          <w:rFonts w:hint="eastAsia" w:ascii="宋体" w:hAnsi="宋体" w:eastAsia="宋体" w:cs="宋体"/>
          <w:szCs w:val="21"/>
        </w:rPr>
      </w:pPr>
      <w:r>
        <w:rPr>
          <w:rFonts w:hint="eastAsia" w:ascii="黑体" w:hAnsi="黑体" w:eastAsia="黑体" w:cs="宋体"/>
          <w:szCs w:val="21"/>
        </w:rPr>
        <w:t>4</w:t>
      </w:r>
      <w:r>
        <w:rPr>
          <w:rFonts w:hint="eastAsia" w:ascii="宋体" w:hAnsi="宋体" w:eastAsia="宋体" w:cs="宋体"/>
          <w:szCs w:val="21"/>
        </w:rPr>
        <w:t xml:space="preserve">   预应力钢筒混凝土管（PCCP）、聚氯乙烯（PVC）、聚乙烯（PE）等复合材质管：宜包括连接装置及连接质量。</w:t>
      </w:r>
    </w:p>
    <w:p>
      <w:pPr>
        <w:pStyle w:val="6"/>
        <w:spacing w:line="360" w:lineRule="auto"/>
        <w:rPr>
          <w:rFonts w:hint="eastAsia" w:ascii="宋体" w:hAnsi="宋体" w:eastAsia="宋体" w:cs="宋体"/>
          <w:sz w:val="21"/>
          <w:szCs w:val="21"/>
        </w:rPr>
      </w:pPr>
      <w:r>
        <w:rPr>
          <w:rFonts w:hint="eastAsia" w:ascii="黑体" w:hAnsi="黑体" w:eastAsia="黑体" w:cs="宋体"/>
          <w:sz w:val="21"/>
          <w:szCs w:val="21"/>
        </w:rPr>
        <w:t>6.5.3</w:t>
      </w:r>
      <w:r>
        <w:rPr>
          <w:rFonts w:hint="eastAsia" w:asciiTheme="minorEastAsia" w:hAnsiTheme="minorEastAsia" w:eastAsiaTheme="minorEastAsia" w:cstheme="minorEastAsia"/>
          <w:sz w:val="21"/>
          <w:szCs w:val="21"/>
        </w:rPr>
        <w:t xml:space="preserve">  检测单元应根据工程特点和施工情况按下列要求划分</w:t>
      </w:r>
      <w:r>
        <w:rPr>
          <w:rFonts w:hint="eastAsia" w:ascii="宋体" w:hAnsi="宋体" w:eastAsia="宋体" w:cs="宋体"/>
          <w:sz w:val="21"/>
          <w:szCs w:val="21"/>
        </w:rPr>
        <w:t>：</w:t>
      </w:r>
    </w:p>
    <w:p>
      <w:pPr>
        <w:spacing w:line="360" w:lineRule="auto"/>
        <w:ind w:firstLine="420" w:firstLineChars="200"/>
        <w:rPr>
          <w:rFonts w:hint="eastAsia" w:ascii="宋体" w:hAnsi="宋体" w:eastAsia="宋体" w:cs="宋体"/>
          <w:szCs w:val="21"/>
        </w:rPr>
      </w:pPr>
      <w:r>
        <w:rPr>
          <w:rFonts w:hint="eastAsia" w:ascii="黑体" w:hAnsi="黑体" w:eastAsia="黑体" w:cs="宋体"/>
          <w:szCs w:val="21"/>
        </w:rPr>
        <w:t>1</w:t>
      </w:r>
      <w:r>
        <w:rPr>
          <w:rFonts w:hint="eastAsia" w:ascii="宋体" w:hAnsi="宋体" w:eastAsia="宋体" w:cs="宋体"/>
          <w:szCs w:val="21"/>
        </w:rPr>
        <w:t xml:space="preserve">  现浇的涵、管、倒虹吸、渡槽，按浇筑仓段划分为1个检测单元；预制的涵、管、倒虹吸，渡槽，按每预制节(段)单独为1个检测单元。</w:t>
      </w:r>
    </w:p>
    <w:p>
      <w:pPr>
        <w:spacing w:before="20" w:line="360" w:lineRule="auto"/>
        <w:ind w:left="6" w:right="51" w:firstLine="425"/>
        <w:rPr>
          <w:rFonts w:hint="eastAsia" w:ascii="宋体" w:hAnsi="宋体" w:eastAsia="宋体" w:cs="宋体"/>
          <w:szCs w:val="21"/>
        </w:rPr>
      </w:pPr>
      <w:r>
        <w:rPr>
          <w:rFonts w:hint="eastAsia" w:ascii="黑体" w:hAnsi="黑体" w:eastAsia="黑体" w:cs="宋体"/>
          <w:szCs w:val="21"/>
        </w:rPr>
        <w:t>2</w:t>
      </w:r>
      <w:r>
        <w:rPr>
          <w:rFonts w:hint="eastAsia" w:ascii="宋体" w:hAnsi="宋体" w:eastAsia="宋体" w:cs="宋体"/>
          <w:szCs w:val="21"/>
        </w:rPr>
        <w:t xml:space="preserve">  对于墩(桩)、排架、柱、梁，以单根（个）划分1个检测单元。</w:t>
      </w:r>
    </w:p>
    <w:p>
      <w:pPr>
        <w:spacing w:before="20" w:line="360" w:lineRule="auto"/>
        <w:ind w:left="6" w:right="51" w:firstLine="425"/>
        <w:rPr>
          <w:rFonts w:hint="eastAsia" w:ascii="宋体" w:hAnsi="宋体" w:eastAsia="宋体" w:cs="宋体"/>
          <w:szCs w:val="21"/>
        </w:rPr>
      </w:pPr>
      <w:r>
        <w:rPr>
          <w:rFonts w:hint="eastAsia" w:ascii="黑体" w:hAnsi="黑体" w:eastAsia="黑体" w:cs="宋体"/>
          <w:szCs w:val="21"/>
        </w:rPr>
        <w:t>3</w:t>
      </w:r>
      <w:r>
        <w:rPr>
          <w:rFonts w:hint="eastAsia" w:ascii="宋体" w:hAnsi="宋体" w:eastAsia="宋体" w:cs="宋体"/>
          <w:szCs w:val="21"/>
        </w:rPr>
        <w:t xml:space="preserve">  洞室衬砌、渠道衬砌可按浇筑仓段划分为1个检测单元；洞室衬砌预制按环片组合划分检测单元。</w:t>
      </w:r>
    </w:p>
    <w:p>
      <w:pPr>
        <w:pStyle w:val="6"/>
        <w:spacing w:before="20" w:line="360" w:lineRule="auto"/>
        <w:ind w:right="51"/>
        <w:rPr>
          <w:rFonts w:hint="eastAsia" w:ascii="宋体" w:hAnsi="宋体" w:eastAsia="宋体" w:cs="宋体"/>
          <w:sz w:val="21"/>
          <w:szCs w:val="21"/>
        </w:rPr>
      </w:pPr>
      <w:r>
        <w:rPr>
          <w:rFonts w:hint="eastAsia" w:ascii="黑体" w:hAnsi="黑体" w:eastAsia="黑体" w:cs="宋体"/>
          <w:sz w:val="21"/>
          <w:szCs w:val="21"/>
        </w:rPr>
        <w:t>6.5.4</w:t>
      </w:r>
      <w:r>
        <w:rPr>
          <w:rFonts w:hint="eastAsia" w:ascii="宋体" w:hAnsi="宋体" w:eastAsia="宋体" w:cs="宋体"/>
          <w:sz w:val="21"/>
          <w:szCs w:val="21"/>
        </w:rPr>
        <w:t xml:space="preserve"> 测区(测线、测点)布置和数量应符合下列要求：</w:t>
      </w:r>
    </w:p>
    <w:p>
      <w:pPr>
        <w:spacing w:before="20" w:line="360" w:lineRule="auto"/>
        <w:ind w:left="6" w:right="51" w:firstLine="425"/>
        <w:rPr>
          <w:rFonts w:hint="eastAsia" w:ascii="宋体" w:hAnsi="宋体" w:eastAsia="宋体" w:cs="宋体"/>
          <w:szCs w:val="21"/>
        </w:rPr>
      </w:pPr>
      <w:r>
        <w:rPr>
          <w:rFonts w:hint="eastAsia" w:ascii="黑体" w:hAnsi="黑体" w:eastAsia="黑体" w:cs="宋体"/>
          <w:szCs w:val="21"/>
        </w:rPr>
        <w:t>1</w:t>
      </w:r>
      <w:r>
        <w:rPr>
          <w:rFonts w:hint="eastAsia" w:ascii="宋体" w:hAnsi="宋体" w:eastAsia="宋体" w:cs="宋体"/>
          <w:szCs w:val="21"/>
        </w:rPr>
        <w:t xml:space="preserve">   抗压强度：应布置不少于10个测区，相邻两测区的中心点距离不宜大于2m，测区边缘距结构端部或结构缝不应小于0.5m。</w:t>
      </w:r>
    </w:p>
    <w:p>
      <w:pPr>
        <w:spacing w:line="360" w:lineRule="auto"/>
        <w:ind w:left="6" w:right="51" w:firstLine="425"/>
        <w:rPr>
          <w:rFonts w:hint="eastAsia" w:ascii="宋体" w:hAnsi="宋体" w:eastAsia="宋体" w:cs="宋体"/>
          <w:szCs w:val="21"/>
        </w:rPr>
      </w:pPr>
      <w:r>
        <w:rPr>
          <w:rFonts w:hint="eastAsia" w:ascii="黑体" w:hAnsi="黑体" w:eastAsia="黑体" w:cs="宋体"/>
          <w:szCs w:val="21"/>
        </w:rPr>
        <w:t>2</w:t>
      </w:r>
      <w:r>
        <w:rPr>
          <w:rFonts w:hint="eastAsia" w:ascii="宋体" w:hAnsi="宋体" w:eastAsia="宋体" w:cs="宋体"/>
          <w:szCs w:val="21"/>
        </w:rPr>
        <w:t xml:space="preserve">   钢筋间距和保护层厚度，混凝土裂缝长度、宽度和深度，内部缺陷，抗渗性能、抗冻性能：可按 6.2.3条的有关要求布置 。</w:t>
      </w:r>
    </w:p>
    <w:p>
      <w:pPr>
        <w:spacing w:before="20" w:line="360" w:lineRule="auto"/>
        <w:ind w:left="6" w:right="51" w:firstLine="425"/>
        <w:rPr>
          <w:rFonts w:hint="eastAsia" w:ascii="宋体" w:hAnsi="宋体" w:eastAsia="宋体" w:cs="宋体"/>
          <w:szCs w:val="21"/>
        </w:rPr>
      </w:pPr>
      <w:r>
        <w:rPr>
          <w:rFonts w:hint="eastAsia" w:ascii="黑体" w:hAnsi="黑体" w:eastAsia="黑体" w:cs="宋体"/>
          <w:szCs w:val="21"/>
        </w:rPr>
        <w:t>3</w:t>
      </w:r>
      <w:r>
        <w:rPr>
          <w:rFonts w:hint="eastAsia" w:ascii="宋体" w:hAnsi="宋体" w:eastAsia="宋体" w:cs="宋体"/>
          <w:szCs w:val="21"/>
        </w:rPr>
        <w:t xml:space="preserve">   连接缝止水、连接装置及连接质量：应全部检测。</w:t>
      </w:r>
    </w:p>
    <w:p>
      <w:pPr>
        <w:spacing w:line="360" w:lineRule="auto"/>
        <w:ind w:left="6" w:right="51" w:firstLine="425"/>
        <w:rPr>
          <w:rFonts w:hint="eastAsia" w:ascii="宋体" w:hAnsi="宋体" w:eastAsia="宋体" w:cs="宋体"/>
          <w:szCs w:val="21"/>
        </w:rPr>
      </w:pPr>
      <w:r>
        <w:rPr>
          <w:rFonts w:hint="eastAsia" w:ascii="黑体" w:hAnsi="黑体" w:eastAsia="黑体" w:cs="宋体"/>
          <w:szCs w:val="21"/>
        </w:rPr>
        <w:t>4</w:t>
      </w:r>
      <w:r>
        <w:rPr>
          <w:rFonts w:hint="eastAsia" w:ascii="宋体" w:hAnsi="宋体" w:eastAsia="宋体" w:cs="宋体"/>
          <w:szCs w:val="21"/>
        </w:rPr>
        <w:t xml:space="preserve">   透水率：采用水压或压(注)水，检测长度可按拼装节(段)或按设计要求确定。</w:t>
      </w:r>
    </w:p>
    <w:p>
      <w:pPr>
        <w:spacing w:line="360" w:lineRule="auto"/>
        <w:ind w:left="6" w:right="51" w:firstLine="425"/>
        <w:rPr>
          <w:rFonts w:hint="eastAsia" w:ascii="宋体" w:hAnsi="宋体" w:eastAsia="宋体" w:cs="宋体"/>
          <w:szCs w:val="21"/>
        </w:rPr>
      </w:pPr>
      <w:r>
        <w:rPr>
          <w:rFonts w:hint="eastAsia" w:ascii="黑体" w:hAnsi="黑体" w:eastAsia="黑体" w:cs="宋体"/>
          <w:szCs w:val="21"/>
        </w:rPr>
        <w:t>5</w:t>
      </w:r>
      <w:r>
        <w:rPr>
          <w:rFonts w:hint="eastAsia" w:ascii="宋体" w:hAnsi="宋体" w:eastAsia="宋体" w:cs="宋体"/>
          <w:szCs w:val="21"/>
        </w:rPr>
        <w:t xml:space="preserve">   承载力、挠度、抗裂度、预应力筋(索)张拉力：可按本标准6.3.3节的有关要求布置。</w:t>
      </w:r>
    </w:p>
    <w:p>
      <w:pPr>
        <w:spacing w:line="360" w:lineRule="auto"/>
        <w:ind w:left="6" w:right="51" w:firstLine="425"/>
        <w:rPr>
          <w:rFonts w:hint="eastAsia" w:ascii="宋体" w:hAnsi="宋体" w:eastAsia="宋体" w:cs="宋体"/>
          <w:szCs w:val="21"/>
        </w:rPr>
      </w:pPr>
      <w:r>
        <w:rPr>
          <w:rFonts w:hint="eastAsia" w:ascii="黑体" w:hAnsi="黑体" w:eastAsia="黑体" w:cs="宋体"/>
          <w:szCs w:val="21"/>
        </w:rPr>
        <w:t>6</w:t>
      </w:r>
      <w:r>
        <w:rPr>
          <w:rFonts w:hint="eastAsia" w:ascii="宋体" w:hAnsi="宋体" w:eastAsia="宋体" w:cs="宋体"/>
          <w:szCs w:val="21"/>
        </w:rPr>
        <w:t xml:space="preserve">  衬砌厚度、混凝土与围岩接触面脱空：可按6.4.3节的有关要求布置。</w:t>
      </w:r>
    </w:p>
    <w:p>
      <w:pPr>
        <w:pStyle w:val="3"/>
        <w:snapToGrid w:val="0"/>
        <w:spacing w:after="240" w:afterLines="100"/>
        <w:jc w:val="center"/>
        <w:rPr>
          <w:rFonts w:ascii="黑体" w:hAnsi="黑体"/>
          <w:sz w:val="24"/>
          <w:szCs w:val="24"/>
        </w:rPr>
      </w:pPr>
      <w:bookmarkStart w:id="85" w:name="_Toc32213"/>
      <w:r>
        <w:rPr>
          <w:rFonts w:ascii="黑体" w:hAnsi="黑体"/>
          <w:sz w:val="24"/>
          <w:szCs w:val="24"/>
        </w:rPr>
        <w:t>6.6  通航、过鱼设施</w:t>
      </w:r>
      <w:bookmarkEnd w:id="85"/>
    </w:p>
    <w:p>
      <w:pPr>
        <w:spacing w:line="360" w:lineRule="auto"/>
      </w:pPr>
      <w:bookmarkStart w:id="86" w:name="_Toc11285"/>
      <w:r>
        <w:rPr>
          <w:rFonts w:hint="eastAsia" w:ascii="黑体" w:hAnsi="黑体" w:eastAsia="黑体" w:cs="宋体"/>
          <w:szCs w:val="21"/>
        </w:rPr>
        <w:t xml:space="preserve">6.6.1  </w:t>
      </w:r>
      <w:r>
        <w:rPr>
          <w:rFonts w:hint="eastAsia"/>
        </w:rPr>
        <w:t>通航、过鱼设施的混凝土结构包括通航建筑物、升船机建筑物和过鱼设施。</w:t>
      </w:r>
      <w:bookmarkEnd w:id="86"/>
    </w:p>
    <w:p>
      <w:pPr>
        <w:spacing w:line="360" w:lineRule="auto"/>
      </w:pPr>
      <w:bookmarkStart w:id="87" w:name="_Toc4116"/>
      <w:r>
        <w:rPr>
          <w:rFonts w:hint="eastAsia" w:ascii="黑体" w:hAnsi="黑体" w:eastAsia="黑体" w:cs="宋体"/>
          <w:szCs w:val="21"/>
        </w:rPr>
        <w:t xml:space="preserve">6.6.2  </w:t>
      </w:r>
      <w:r>
        <w:rPr>
          <w:rFonts w:hint="eastAsia"/>
        </w:rPr>
        <w:t>检测项目宜包括下列内容</w:t>
      </w:r>
      <w:bookmarkEnd w:id="87"/>
      <w:r>
        <w:rPr>
          <w:rFonts w:hint="eastAsia"/>
        </w:rPr>
        <w:t>：</w:t>
      </w:r>
    </w:p>
    <w:p>
      <w:pPr>
        <w:spacing w:line="360" w:lineRule="auto"/>
        <w:ind w:firstLine="420" w:firstLineChars="200"/>
        <w:rPr>
          <w:rFonts w:hint="eastAsia" w:cs="宋体" w:asciiTheme="minorEastAsia" w:hAnsiTheme="minorEastAsia"/>
          <w:szCs w:val="21"/>
        </w:rPr>
      </w:pPr>
      <w:r>
        <w:rPr>
          <w:rFonts w:hint="eastAsia" w:ascii="黑体" w:hAnsi="黑体" w:eastAsia="黑体" w:cs="宋体"/>
          <w:szCs w:val="21"/>
        </w:rPr>
        <w:t>1</w:t>
      </w:r>
      <w:r>
        <w:rPr>
          <w:rFonts w:hint="eastAsia" w:cs="宋体" w:asciiTheme="minorEastAsia" w:hAnsiTheme="minorEastAsia"/>
          <w:szCs w:val="21"/>
        </w:rPr>
        <w:t xml:space="preserve">  主体结构: 抗压强度、抗渗性能、抗冻性能、钢筋间距和保护层厚度、裂缝、连接缝止水、内部缺陷、外观缺陷。</w:t>
      </w:r>
    </w:p>
    <w:p>
      <w:pPr>
        <w:spacing w:line="360" w:lineRule="auto"/>
        <w:ind w:firstLine="420" w:firstLineChars="200"/>
        <w:rPr>
          <w:rFonts w:hint="eastAsia" w:cs="宋体" w:asciiTheme="minorEastAsia" w:hAnsiTheme="minorEastAsia"/>
          <w:szCs w:val="21"/>
        </w:rPr>
      </w:pPr>
      <w:r>
        <w:rPr>
          <w:rFonts w:hint="eastAsia" w:ascii="黑体" w:hAnsi="黑体" w:eastAsia="黑体" w:cs="宋体"/>
          <w:szCs w:val="21"/>
        </w:rPr>
        <w:t>2</w:t>
      </w:r>
      <w:r>
        <w:rPr>
          <w:rFonts w:hint="eastAsia" w:cs="宋体" w:asciiTheme="minorEastAsia" w:hAnsiTheme="minorEastAsia"/>
          <w:szCs w:val="21"/>
        </w:rPr>
        <w:t xml:space="preserve">  混凝土墩、墙结构体：除1检测项目外，可增加锚杆（索）锚固力。</w:t>
      </w:r>
    </w:p>
    <w:p>
      <w:pPr>
        <w:spacing w:line="360" w:lineRule="auto"/>
        <w:ind w:firstLine="420" w:firstLineChars="200"/>
        <w:rPr>
          <w:rFonts w:hint="eastAsia" w:cs="宋体" w:asciiTheme="minorEastAsia" w:hAnsiTheme="minorEastAsia"/>
          <w:szCs w:val="21"/>
        </w:rPr>
      </w:pPr>
      <w:r>
        <w:rPr>
          <w:rFonts w:hint="eastAsia" w:ascii="黑体" w:hAnsi="黑体" w:eastAsia="黑体" w:cs="宋体"/>
          <w:szCs w:val="21"/>
        </w:rPr>
        <w:t>3</w:t>
      </w:r>
      <w:r>
        <w:rPr>
          <w:rFonts w:hint="eastAsia" w:cs="宋体" w:asciiTheme="minorEastAsia" w:hAnsiTheme="minorEastAsia"/>
          <w:szCs w:val="21"/>
        </w:rPr>
        <w:t xml:space="preserve">  混凝土板、梁结构体：除1检测项目外，可增加抗拉强度、抗弯性能、抗剪性能。</w:t>
      </w:r>
    </w:p>
    <w:p>
      <w:pPr>
        <w:spacing w:line="360" w:lineRule="auto"/>
        <w:ind w:firstLine="420" w:firstLineChars="200"/>
        <w:rPr>
          <w:rFonts w:hint="eastAsia" w:cs="宋体" w:asciiTheme="minorEastAsia" w:hAnsiTheme="minorEastAsia"/>
          <w:szCs w:val="21"/>
        </w:rPr>
      </w:pPr>
      <w:r>
        <w:rPr>
          <w:rFonts w:hint="eastAsia" w:ascii="黑体" w:hAnsi="黑体" w:eastAsia="黑体" w:cs="宋体"/>
          <w:szCs w:val="21"/>
        </w:rPr>
        <w:t>4</w:t>
      </w:r>
      <w:r>
        <w:rPr>
          <w:rFonts w:hint="eastAsia" w:cs="宋体" w:asciiTheme="minorEastAsia" w:hAnsiTheme="minorEastAsia"/>
          <w:szCs w:val="21"/>
        </w:rPr>
        <w:t xml:space="preserve">  过水混凝土结构体：除1检测项目外，可增加抗冲耐磨性能。</w:t>
      </w:r>
    </w:p>
    <w:p>
      <w:bookmarkStart w:id="88" w:name="_Toc9687"/>
      <w:r>
        <w:rPr>
          <w:rFonts w:hint="eastAsia" w:ascii="黑体" w:hAnsi="黑体" w:eastAsia="黑体" w:cs="宋体"/>
          <w:szCs w:val="21"/>
        </w:rPr>
        <w:t xml:space="preserve">6.6.3  </w:t>
      </w:r>
      <w:r>
        <w:rPr>
          <w:rFonts w:hint="eastAsia"/>
        </w:rPr>
        <w:t>检测单元划分应符合下列规定：</w:t>
      </w:r>
      <w:bookmarkEnd w:id="88"/>
    </w:p>
    <w:p>
      <w:pPr>
        <w:spacing w:before="20" w:line="360" w:lineRule="auto"/>
        <w:ind w:left="4" w:right="50" w:firstLine="423"/>
        <w:rPr>
          <w:rFonts w:hint="eastAsia" w:cs="宋体" w:asciiTheme="minorEastAsia" w:hAnsiTheme="minorEastAsia"/>
          <w:szCs w:val="21"/>
        </w:rPr>
      </w:pPr>
      <w:r>
        <w:rPr>
          <w:rFonts w:hint="eastAsia" w:ascii="黑体" w:hAnsi="黑体" w:eastAsia="黑体" w:cs="宋体"/>
          <w:szCs w:val="21"/>
        </w:rPr>
        <w:t>1</w:t>
      </w:r>
      <w:r>
        <w:rPr>
          <w:rFonts w:hint="eastAsia" w:cs="宋体" w:asciiTheme="minorEastAsia" w:hAnsiTheme="minorEastAsia"/>
          <w:szCs w:val="21"/>
        </w:rPr>
        <w:t xml:space="preserve">  闸体、混凝土板类结构体，按浇筑分缝（节、段）划分1个检测单元。 </w:t>
      </w:r>
    </w:p>
    <w:p>
      <w:pPr>
        <w:spacing w:before="20" w:line="360" w:lineRule="auto"/>
        <w:ind w:left="4" w:right="50" w:firstLine="423"/>
        <w:rPr>
          <w:rFonts w:hint="eastAsia" w:cs="宋体" w:asciiTheme="minorEastAsia" w:hAnsiTheme="minorEastAsia"/>
          <w:szCs w:val="21"/>
        </w:rPr>
      </w:pPr>
      <w:r>
        <w:rPr>
          <w:rFonts w:hint="eastAsia" w:ascii="黑体" w:hAnsi="黑体" w:eastAsia="黑体" w:cs="宋体"/>
          <w:szCs w:val="21"/>
        </w:rPr>
        <w:t>2</w:t>
      </w:r>
      <w:r>
        <w:rPr>
          <w:rFonts w:hint="eastAsia" w:cs="宋体" w:asciiTheme="minorEastAsia" w:hAnsiTheme="minorEastAsia"/>
          <w:szCs w:val="21"/>
        </w:rPr>
        <w:t xml:space="preserve">  梁、柱、墩类结构体，可将单根（个）划分1个检测单元。</w:t>
      </w:r>
    </w:p>
    <w:p>
      <w:bookmarkStart w:id="89" w:name="_Toc14714"/>
      <w:r>
        <w:rPr>
          <w:rFonts w:hint="eastAsia" w:ascii="黑体" w:hAnsi="黑体" w:eastAsia="黑体" w:cs="宋体"/>
          <w:szCs w:val="21"/>
        </w:rPr>
        <w:t xml:space="preserve">6.6.4  </w:t>
      </w:r>
      <w:r>
        <w:rPr>
          <w:rFonts w:hint="eastAsia"/>
        </w:rPr>
        <w:t>测区</w:t>
      </w:r>
      <w:r>
        <w:rPr>
          <w:rFonts w:hint="eastAsia" w:asciiTheme="minorEastAsia" w:hAnsiTheme="minorEastAsia" w:cstheme="minorEastAsia"/>
        </w:rPr>
        <w:t>(测线、测点)</w:t>
      </w:r>
      <w:r>
        <w:rPr>
          <w:rFonts w:hint="eastAsia"/>
        </w:rPr>
        <w:t>布置和数量应符合下列要求：</w:t>
      </w:r>
      <w:bookmarkEnd w:id="89"/>
    </w:p>
    <w:p>
      <w:pPr>
        <w:spacing w:before="20" w:line="360" w:lineRule="auto"/>
        <w:ind w:left="4" w:right="50" w:firstLine="423"/>
        <w:rPr>
          <w:rFonts w:hint="eastAsia" w:cs="宋体" w:asciiTheme="minorEastAsia" w:hAnsiTheme="minorEastAsia"/>
          <w:szCs w:val="21"/>
        </w:rPr>
      </w:pPr>
      <w:r>
        <w:rPr>
          <w:rFonts w:hint="eastAsia" w:ascii="黑体" w:hAnsi="黑体" w:eastAsia="黑体" w:cs="宋体"/>
          <w:szCs w:val="21"/>
        </w:rPr>
        <w:t>1</w:t>
      </w:r>
      <w:r>
        <w:rPr>
          <w:rFonts w:hint="eastAsia" w:cs="宋体" w:asciiTheme="minorEastAsia" w:hAnsiTheme="minorEastAsia"/>
          <w:szCs w:val="21"/>
        </w:rPr>
        <w:t xml:space="preserve">  抗冲耐磨性能：溢流堰面、坡降突变部位各布置不少于1个测点。 </w:t>
      </w:r>
    </w:p>
    <w:p>
      <w:pPr>
        <w:spacing w:before="20" w:line="360" w:lineRule="auto"/>
        <w:ind w:left="4" w:right="50" w:firstLine="423"/>
        <w:rPr>
          <w:rFonts w:hint="eastAsia" w:ascii="黑体" w:hAnsi="黑体" w:eastAsia="黑体" w:cs="宋体"/>
          <w:szCs w:val="21"/>
        </w:rPr>
      </w:pPr>
      <w:r>
        <w:rPr>
          <w:rFonts w:hint="eastAsia" w:ascii="黑体" w:hAnsi="黑体" w:eastAsia="黑体" w:cs="宋体"/>
          <w:szCs w:val="21"/>
        </w:rPr>
        <w:t>2</w:t>
      </w:r>
      <w:r>
        <w:rPr>
          <w:rFonts w:hint="eastAsia" w:cs="宋体" w:asciiTheme="minorEastAsia" w:hAnsiTheme="minorEastAsia"/>
          <w:szCs w:val="21"/>
        </w:rPr>
        <w:t xml:space="preserve">  其他检测项目可参照6.2.3节的有关要求布置。</w:t>
      </w:r>
    </w:p>
    <w:p>
      <w:pPr>
        <w:pStyle w:val="3"/>
        <w:snapToGrid w:val="0"/>
        <w:spacing w:afterLines="50"/>
        <w:jc w:val="center"/>
        <w:rPr>
          <w:rFonts w:ascii="黑体" w:hAnsi="黑体"/>
          <w:sz w:val="24"/>
          <w:szCs w:val="24"/>
        </w:rPr>
      </w:pPr>
      <w:bookmarkStart w:id="90" w:name="_Toc24143"/>
      <w:bookmarkStart w:id="91" w:name="_Toc10026"/>
      <w:bookmarkStart w:id="92" w:name="_Toc10550"/>
      <w:r>
        <w:rPr>
          <w:rFonts w:ascii="黑体" w:hAnsi="黑体"/>
          <w:sz w:val="24"/>
          <w:szCs w:val="24"/>
        </w:rPr>
        <w:t>6.</w:t>
      </w:r>
      <w:bookmarkEnd w:id="90"/>
      <w:bookmarkEnd w:id="91"/>
      <w:r>
        <w:rPr>
          <w:rFonts w:ascii="黑体" w:hAnsi="黑体"/>
          <w:sz w:val="24"/>
          <w:szCs w:val="24"/>
        </w:rPr>
        <w:t>7  水下建筑物表观缺陷检测</w:t>
      </w:r>
      <w:bookmarkEnd w:id="92"/>
    </w:p>
    <w:p>
      <w:pPr>
        <w:spacing w:line="360" w:lineRule="auto"/>
      </w:pPr>
      <w:bookmarkStart w:id="93" w:name="_Toc23988"/>
      <w:r>
        <w:rPr>
          <w:rFonts w:hint="eastAsia" w:ascii="黑体" w:hAnsi="黑体" w:eastAsia="黑体" w:cs="宋体"/>
          <w:szCs w:val="21"/>
        </w:rPr>
        <w:t xml:space="preserve">6.7.1  </w:t>
      </w:r>
      <w:r>
        <w:rPr>
          <w:rFonts w:hint="eastAsia"/>
        </w:rPr>
        <w:t>检测项目宜包括下列内容：渗漏、蜂窝、孔洞、露筋、裂缝、破碎、剥蚀、脱落、空蚀、错台、凹陷、塌陷、冲蚀等。</w:t>
      </w:r>
      <w:bookmarkEnd w:id="93"/>
    </w:p>
    <w:p>
      <w:pPr>
        <w:spacing w:line="360" w:lineRule="auto"/>
      </w:pPr>
      <w:bookmarkStart w:id="94" w:name="_Toc23048"/>
      <w:r>
        <w:rPr>
          <w:rFonts w:hint="eastAsia" w:ascii="黑体" w:hAnsi="黑体" w:eastAsia="黑体" w:cs="宋体"/>
          <w:szCs w:val="21"/>
        </w:rPr>
        <w:t xml:space="preserve">6.7.2  </w:t>
      </w:r>
      <w:r>
        <w:rPr>
          <w:rFonts w:hint="eastAsia"/>
        </w:rPr>
        <w:t>水下表观缺陷检测技术宜采用多波束声呐技术、成像声呐技术、光学成像技术。</w:t>
      </w:r>
      <w:bookmarkEnd w:id="94"/>
    </w:p>
    <w:p>
      <w:pPr>
        <w:spacing w:line="360" w:lineRule="auto"/>
      </w:pPr>
      <w:bookmarkStart w:id="95" w:name="_Toc26874"/>
      <w:r>
        <w:rPr>
          <w:rFonts w:hint="eastAsia" w:ascii="黑体" w:hAnsi="黑体" w:eastAsia="黑体" w:cs="宋体"/>
          <w:szCs w:val="21"/>
        </w:rPr>
        <w:t xml:space="preserve">6.7.3  </w:t>
      </w:r>
      <w:r>
        <w:rPr>
          <w:rFonts w:hint="eastAsia"/>
        </w:rPr>
        <w:t>水下检测技术的水域宜满足下列要求：</w:t>
      </w:r>
      <w:bookmarkEnd w:id="95"/>
    </w:p>
    <w:p>
      <w:pPr>
        <w:spacing w:line="360" w:lineRule="auto"/>
        <w:ind w:firstLine="420" w:firstLineChars="200"/>
        <w:rPr>
          <w:rFonts w:hint="eastAsia" w:asciiTheme="minorEastAsia" w:hAnsiTheme="minorEastAsia"/>
          <w:szCs w:val="21"/>
        </w:rPr>
      </w:pPr>
      <w:r>
        <w:rPr>
          <w:rFonts w:hint="eastAsia" w:ascii="黑体" w:hAnsi="黑体" w:eastAsia="黑体"/>
        </w:rPr>
        <w:t xml:space="preserve">1  </w:t>
      </w:r>
      <w:r>
        <w:rPr>
          <w:rFonts w:hint="eastAsia" w:asciiTheme="minorEastAsia" w:hAnsiTheme="minorEastAsia"/>
          <w:szCs w:val="21"/>
        </w:rPr>
        <w:t>流速不宜大于</w:t>
      </w:r>
      <w:r>
        <w:rPr>
          <w:rFonts w:cs="Times New Roman" w:asciiTheme="minorEastAsia" w:hAnsiTheme="minorEastAsia"/>
          <w:szCs w:val="21"/>
        </w:rPr>
        <w:t>1m/s</w:t>
      </w:r>
      <w:r>
        <w:rPr>
          <w:rFonts w:hint="eastAsia" w:asciiTheme="minorEastAsia" w:hAnsiTheme="minorEastAsia"/>
          <w:szCs w:val="21"/>
        </w:rPr>
        <w:t xml:space="preserve">。 </w:t>
      </w:r>
    </w:p>
    <w:p>
      <w:pPr>
        <w:spacing w:line="360" w:lineRule="auto"/>
        <w:ind w:left="4" w:right="50" w:firstLine="420" w:firstLineChars="200"/>
        <w:rPr>
          <w:rFonts w:hint="eastAsia" w:asciiTheme="minorEastAsia" w:hAnsiTheme="minorEastAsia"/>
          <w:szCs w:val="21"/>
        </w:rPr>
      </w:pPr>
      <w:r>
        <w:rPr>
          <w:rFonts w:hint="eastAsia" w:ascii="黑体" w:hAnsi="黑体" w:eastAsia="黑体"/>
        </w:rPr>
        <w:t>2</w:t>
      </w:r>
      <w:r>
        <w:rPr>
          <w:rFonts w:hint="eastAsia"/>
        </w:rPr>
        <w:t xml:space="preserve">  </w:t>
      </w:r>
      <w:r>
        <w:rPr>
          <w:rFonts w:hint="eastAsia" w:asciiTheme="minorEastAsia" w:hAnsiTheme="minorEastAsia"/>
          <w:szCs w:val="21"/>
        </w:rPr>
        <w:t>水深、水质应满足设备使用技术指标。</w:t>
      </w:r>
    </w:p>
    <w:p>
      <w:pPr>
        <w:pStyle w:val="6"/>
        <w:spacing w:line="360" w:lineRule="auto"/>
        <w:ind w:firstLine="420" w:firstLineChars="200"/>
        <w:rPr>
          <w:rFonts w:hint="eastAsia" w:asciiTheme="minorEastAsia" w:hAnsiTheme="minorEastAsia" w:eastAsiaTheme="minorEastAsia"/>
          <w:sz w:val="21"/>
          <w:szCs w:val="21"/>
        </w:rPr>
      </w:pPr>
      <w:r>
        <w:rPr>
          <w:rFonts w:hint="eastAsia" w:ascii="黑体" w:hAnsi="黑体" w:eastAsia="黑体"/>
          <w:sz w:val="21"/>
          <w:szCs w:val="21"/>
        </w:rPr>
        <w:t xml:space="preserve">3  </w:t>
      </w:r>
      <w:r>
        <w:rPr>
          <w:rFonts w:hint="eastAsia" w:asciiTheme="minorEastAsia" w:hAnsiTheme="minorEastAsia" w:eastAsiaTheme="minorEastAsia"/>
          <w:sz w:val="21"/>
          <w:szCs w:val="21"/>
        </w:rPr>
        <w:t>对复杂水域空间，应复核场地环境，并满足设备工作空间的要求。</w:t>
      </w:r>
    </w:p>
    <w:p>
      <w:pPr>
        <w:spacing w:line="360" w:lineRule="auto"/>
      </w:pPr>
      <w:bookmarkStart w:id="96" w:name="_Toc5320"/>
      <w:r>
        <w:rPr>
          <w:rFonts w:hint="eastAsia" w:ascii="黑体" w:hAnsi="黑体" w:eastAsia="黑体" w:cs="宋体"/>
          <w:szCs w:val="21"/>
        </w:rPr>
        <w:t xml:space="preserve">6.7.4  </w:t>
      </w:r>
      <w:r>
        <w:rPr>
          <w:rFonts w:hint="eastAsia"/>
        </w:rPr>
        <w:t>检测单元划分与</w:t>
      </w:r>
      <w:r>
        <w:rPr>
          <w:rFonts w:hint="eastAsia" w:asciiTheme="minorEastAsia" w:hAnsiTheme="minorEastAsia" w:cstheme="minorEastAsia"/>
        </w:rPr>
        <w:t>6.2～6.6</w:t>
      </w:r>
      <w:r>
        <w:rPr>
          <w:rFonts w:hint="eastAsia"/>
        </w:rPr>
        <w:t>相同。</w:t>
      </w:r>
      <w:bookmarkEnd w:id="96"/>
    </w:p>
    <w:p>
      <w:pPr>
        <w:spacing w:line="360" w:lineRule="auto"/>
      </w:pPr>
      <w:bookmarkStart w:id="97" w:name="_Toc6686"/>
      <w:r>
        <w:rPr>
          <w:rFonts w:hint="eastAsia" w:ascii="黑体" w:hAnsi="黑体" w:eastAsia="黑体" w:cs="宋体"/>
          <w:szCs w:val="21"/>
        </w:rPr>
        <w:t xml:space="preserve">6.7.5  </w:t>
      </w:r>
      <w:r>
        <w:rPr>
          <w:rFonts w:hint="eastAsia"/>
        </w:rPr>
        <w:t>测线布置、检测方法按附录</w:t>
      </w:r>
      <w:r>
        <w:rPr>
          <w:rFonts w:hint="eastAsia" w:asciiTheme="minorEastAsia" w:hAnsiTheme="minorEastAsia" w:cstheme="minorEastAsia"/>
        </w:rPr>
        <w:t>G</w:t>
      </w:r>
      <w:r>
        <w:rPr>
          <w:rFonts w:hint="eastAsia"/>
        </w:rPr>
        <w:t>执行。</w:t>
      </w:r>
      <w:bookmarkEnd w:id="97"/>
    </w:p>
    <w:p/>
    <w:p>
      <w:pPr>
        <w:rPr>
          <w:rFonts w:hint="eastAsia" w:ascii="宋体" w:hAnsi="宋体" w:eastAsia="宋体" w:cs="宋体"/>
        </w:rPr>
      </w:pPr>
    </w:p>
    <w:p>
      <w:pPr>
        <w:rPr>
          <w:rFonts w:hint="eastAsia" w:ascii="宋体" w:hAnsi="宋体" w:eastAsia="宋体" w:cs="宋体"/>
        </w:rPr>
      </w:pPr>
      <w:r>
        <w:rPr>
          <w:rFonts w:hint="eastAsia" w:ascii="宋体" w:hAnsi="宋体" w:eastAsia="宋体" w:cs="宋体"/>
        </w:rPr>
        <w:br w:type="page"/>
      </w:r>
    </w:p>
    <w:p>
      <w:pPr>
        <w:pStyle w:val="2"/>
        <w:rPr>
          <w:rFonts w:hint="eastAsia" w:ascii="黑体" w:hAnsi="黑体" w:eastAsia="黑体" w:cs="黑体"/>
          <w:b w:val="0"/>
          <w:bCs w:val="0"/>
          <w:sz w:val="28"/>
          <w:szCs w:val="28"/>
        </w:rPr>
      </w:pPr>
      <w:bookmarkStart w:id="98" w:name="_Toc11496"/>
      <w:r>
        <w:rPr>
          <w:rFonts w:hint="eastAsia" w:ascii="黑体" w:hAnsi="黑体" w:eastAsia="黑体" w:cs="黑体"/>
          <w:b w:val="0"/>
          <w:bCs w:val="0"/>
          <w:sz w:val="28"/>
          <w:szCs w:val="28"/>
        </w:rPr>
        <w:t>7  金属结构</w:t>
      </w:r>
      <w:bookmarkEnd w:id="98"/>
    </w:p>
    <w:p>
      <w:pPr>
        <w:pStyle w:val="3"/>
        <w:snapToGrid w:val="0"/>
        <w:spacing w:afterLines="50"/>
        <w:jc w:val="center"/>
        <w:rPr>
          <w:rFonts w:ascii="黑体" w:hAnsi="黑体"/>
          <w:sz w:val="24"/>
          <w:szCs w:val="24"/>
        </w:rPr>
      </w:pPr>
      <w:bookmarkStart w:id="99" w:name="_Toc13316"/>
      <w:r>
        <w:rPr>
          <w:rFonts w:ascii="黑体" w:hAnsi="黑体"/>
          <w:sz w:val="24"/>
          <w:szCs w:val="24"/>
        </w:rPr>
        <w:t>7.1  一般规定</w:t>
      </w:r>
      <w:bookmarkEnd w:id="99"/>
    </w:p>
    <w:p>
      <w:pPr>
        <w:spacing w:line="360" w:lineRule="auto"/>
      </w:pPr>
      <w:r>
        <w:rPr>
          <w:rFonts w:hint="eastAsia" w:ascii="黑体" w:hAnsi="黑体" w:eastAsia="黑体" w:cs="黑体"/>
        </w:rPr>
        <w:t>7.1.1</w:t>
      </w:r>
      <w:r>
        <w:rPr>
          <w:rFonts w:hint="eastAsia"/>
        </w:rPr>
        <w:t xml:space="preserve">  金属结构质量检测分为制造质量检测和安装质量检测。制造质量检测包括</w:t>
      </w:r>
      <w:bookmarkStart w:id="100" w:name="_Hlk176944853"/>
      <w:r>
        <w:rPr>
          <w:rFonts w:hint="eastAsia"/>
        </w:rPr>
        <w:t>钢板质量检测、铸锻件质量检测、主要零（部）件质量检测、焊接质量检测、组装质量检测、几何尺寸检测、防腐蚀质量检测、厂内运行试验等。安装质量检测包括安装位置与尺寸检测、焊接质量检测、防腐蚀质量检测、现场运行试验等。</w:t>
      </w:r>
      <w:bookmarkEnd w:id="100"/>
    </w:p>
    <w:p>
      <w:pPr>
        <w:spacing w:line="360" w:lineRule="auto"/>
        <w:rPr>
          <w:rFonts w:hint="eastAsia" w:asciiTheme="minorEastAsia" w:hAnsiTheme="minorEastAsia" w:cstheme="minorEastAsia"/>
        </w:rPr>
      </w:pPr>
      <w:r>
        <w:rPr>
          <w:rFonts w:ascii="黑体" w:hAnsi="黑体" w:eastAsia="黑体" w:cs="黑体"/>
        </w:rPr>
        <w:t>7.1.</w:t>
      </w:r>
      <w:r>
        <w:rPr>
          <w:rFonts w:hint="eastAsia" w:ascii="黑体" w:hAnsi="黑体" w:eastAsia="黑体" w:cs="黑体"/>
        </w:rPr>
        <w:t>2</w:t>
      </w:r>
      <w:r>
        <w:rPr>
          <w:rFonts w:hint="eastAsia" w:asciiTheme="minorEastAsia" w:hAnsiTheme="minorEastAsia" w:cstheme="minorEastAsia"/>
        </w:rPr>
        <w:t xml:space="preserve">  钢板质量检测方法应符合下列规定：</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黑体" w:hAnsi="黑体" w:eastAsia="黑体" w:cs="黑体"/>
          <w:sz w:val="21"/>
          <w:szCs w:val="22"/>
        </w:rPr>
        <w:t xml:space="preserve">1 </w:t>
      </w:r>
      <w:r>
        <w:rPr>
          <w:rFonts w:hint="eastAsia"/>
        </w:rPr>
        <w:t xml:space="preserve"> </w:t>
      </w:r>
      <w:r>
        <w:rPr>
          <w:rFonts w:hint="eastAsia" w:asciiTheme="minorEastAsia" w:hAnsiTheme="minorEastAsia" w:eastAsiaTheme="minorEastAsia" w:cstheme="minorEastAsia"/>
          <w:sz w:val="21"/>
          <w:szCs w:val="21"/>
        </w:rPr>
        <w:t>钢板厚度检测应采用超声测厚法，厚度检测位置距钢板边缘不小于25mm。</w:t>
      </w:r>
    </w:p>
    <w:p>
      <w:pPr>
        <w:spacing w:line="360" w:lineRule="auto"/>
        <w:ind w:firstLine="420" w:firstLineChars="200"/>
        <w:rPr>
          <w:rFonts w:hint="eastAsia" w:asciiTheme="minorEastAsia" w:hAnsiTheme="minorEastAsia" w:cstheme="minorEastAsia"/>
        </w:rPr>
      </w:pPr>
      <w:r>
        <w:rPr>
          <w:rFonts w:hint="eastAsia" w:ascii="黑体" w:hAnsi="黑体" w:eastAsia="黑体" w:cs="黑体"/>
        </w:rPr>
        <w:t xml:space="preserve">2 </w:t>
      </w:r>
      <w:r>
        <w:rPr>
          <w:rFonts w:hint="eastAsia" w:asciiTheme="minorEastAsia" w:hAnsiTheme="minorEastAsia" w:cstheme="minorEastAsia"/>
        </w:rPr>
        <w:t xml:space="preserve"> 钢板表面质量检测方法应按照GB/T 14977的规定执行。</w:t>
      </w:r>
    </w:p>
    <w:p>
      <w:pPr>
        <w:spacing w:line="360" w:lineRule="auto"/>
        <w:ind w:firstLine="420" w:firstLineChars="200"/>
        <w:rPr>
          <w:rFonts w:hint="eastAsia" w:asciiTheme="minorEastAsia" w:hAnsiTheme="minorEastAsia" w:cstheme="minorEastAsia"/>
        </w:rPr>
      </w:pPr>
      <w:r>
        <w:rPr>
          <w:rFonts w:hint="eastAsia" w:ascii="黑体" w:hAnsi="黑体" w:eastAsia="黑体" w:cs="黑体"/>
        </w:rPr>
        <w:t xml:space="preserve">3 </w:t>
      </w:r>
      <w:r>
        <w:rPr>
          <w:rFonts w:hint="eastAsia" w:asciiTheme="minorEastAsia" w:hAnsiTheme="minorEastAsia" w:cstheme="minorEastAsia"/>
        </w:rPr>
        <w:t xml:space="preserve"> 钢板内部质量检测方法应按照GB/T 2970的规定执行。</w:t>
      </w:r>
    </w:p>
    <w:p>
      <w:pPr>
        <w:spacing w:line="360" w:lineRule="auto"/>
        <w:ind w:firstLine="420" w:firstLineChars="200"/>
        <w:rPr>
          <w:rFonts w:hint="eastAsia" w:asciiTheme="minorEastAsia" w:hAnsiTheme="minorEastAsia" w:cstheme="minorEastAsia"/>
        </w:rPr>
      </w:pPr>
      <w:r>
        <w:rPr>
          <w:rFonts w:hint="eastAsia" w:ascii="黑体" w:hAnsi="黑体" w:eastAsia="黑体" w:cs="黑体"/>
        </w:rPr>
        <w:t xml:space="preserve">4 </w:t>
      </w:r>
      <w:r>
        <w:rPr>
          <w:rFonts w:hint="eastAsia" w:asciiTheme="minorEastAsia" w:hAnsiTheme="minorEastAsia" w:cstheme="minorEastAsia"/>
        </w:rPr>
        <w:t xml:space="preserve"> 钢板化学成分检测应采用光谱法或化学分析法。</w:t>
      </w:r>
    </w:p>
    <w:p>
      <w:pPr>
        <w:spacing w:line="360" w:lineRule="auto"/>
        <w:ind w:firstLine="420" w:firstLineChars="200"/>
        <w:rPr>
          <w:rFonts w:hint="eastAsia" w:asciiTheme="minorEastAsia" w:hAnsiTheme="minorEastAsia" w:cstheme="minorEastAsia"/>
          <w:color w:val="FF0000"/>
        </w:rPr>
      </w:pPr>
      <w:r>
        <w:rPr>
          <w:rFonts w:hint="eastAsia" w:ascii="黑体" w:hAnsi="黑体" w:eastAsia="黑体" w:cs="黑体"/>
        </w:rPr>
        <w:t>5</w:t>
      </w:r>
      <w:r>
        <w:rPr>
          <w:rFonts w:hint="eastAsia" w:ascii="黑体" w:hAnsi="黑体" w:eastAsia="黑体" w:cstheme="minorEastAsia"/>
          <w:color w:val="000000" w:themeColor="text1"/>
          <w14:textFill>
            <w14:solidFill>
              <w14:schemeClr w14:val="tx1"/>
            </w14:solidFill>
          </w14:textFill>
        </w:rPr>
        <w:t xml:space="preserve"> </w:t>
      </w:r>
      <w:r>
        <w:rPr>
          <w:rFonts w:ascii="黑体" w:hAnsi="黑体" w:eastAsia="黑体"/>
        </w:rPr>
        <w:t xml:space="preserve"> </w:t>
      </w:r>
      <w:r>
        <w:rPr>
          <w:rFonts w:hint="eastAsia"/>
        </w:rPr>
        <w:t>钢板力学性能应按照</w:t>
      </w:r>
      <w:r>
        <w:rPr>
          <w:rFonts w:hint="eastAsia" w:asciiTheme="minorEastAsia" w:hAnsiTheme="minorEastAsia" w:cstheme="minorEastAsia"/>
        </w:rPr>
        <w:t>现行国家标准的规定检测拉伸、弯曲及冲击性能；无法取样的，应采用仪器化压入法测定钢板的拉伸性能。</w:t>
      </w:r>
    </w:p>
    <w:p>
      <w:pPr>
        <w:spacing w:line="360" w:lineRule="auto"/>
        <w:rPr>
          <w:rFonts w:hint="eastAsia" w:asciiTheme="minorEastAsia" w:hAnsiTheme="minorEastAsia" w:cstheme="minorEastAsia"/>
        </w:rPr>
      </w:pPr>
      <w:r>
        <w:rPr>
          <w:rFonts w:hint="eastAsia" w:ascii="黑体" w:hAnsi="黑体" w:eastAsia="黑体" w:cs="黑体"/>
        </w:rPr>
        <w:t xml:space="preserve">7.1.3  </w:t>
      </w:r>
      <w:r>
        <w:rPr>
          <w:rFonts w:hint="eastAsia" w:cs="黑体" w:asciiTheme="minorEastAsia" w:hAnsiTheme="minorEastAsia"/>
        </w:rPr>
        <w:t>铸锻件</w:t>
      </w:r>
      <w:r>
        <w:rPr>
          <w:rFonts w:hint="eastAsia" w:asciiTheme="minorEastAsia" w:hAnsiTheme="minorEastAsia" w:cstheme="minorEastAsia"/>
        </w:rPr>
        <w:t>质量检测方法应符合下列规定：</w:t>
      </w:r>
    </w:p>
    <w:p>
      <w:pPr>
        <w:pStyle w:val="6"/>
        <w:spacing w:line="360" w:lineRule="auto"/>
        <w:ind w:firstLine="420" w:firstLineChars="200"/>
        <w:rPr>
          <w:rFonts w:hint="eastAsia" w:asciiTheme="minorEastAsia" w:hAnsiTheme="minorEastAsia" w:eastAsiaTheme="minorEastAsia" w:cstheme="minorEastAsia"/>
          <w:sz w:val="21"/>
          <w:szCs w:val="22"/>
        </w:rPr>
      </w:pPr>
      <w:r>
        <w:rPr>
          <w:rFonts w:hint="eastAsia" w:ascii="黑体" w:hAnsi="黑体" w:eastAsia="黑体" w:cs="黑体"/>
          <w:sz w:val="21"/>
          <w:szCs w:val="22"/>
        </w:rPr>
        <w:t xml:space="preserve">1 </w:t>
      </w:r>
      <w:r>
        <w:rPr>
          <w:rFonts w:hint="eastAsia"/>
        </w:rPr>
        <w:t xml:space="preserve"> </w:t>
      </w:r>
      <w:r>
        <w:rPr>
          <w:rFonts w:hint="eastAsia" w:asciiTheme="minorEastAsia" w:hAnsiTheme="minorEastAsia" w:eastAsiaTheme="minorEastAsia" w:cstheme="minorEastAsia"/>
          <w:sz w:val="21"/>
          <w:szCs w:val="22"/>
        </w:rPr>
        <w:t>铸锻件表面质量无损检测应采用</w:t>
      </w:r>
      <w:bookmarkStart w:id="101" w:name="_Hlk176956869"/>
      <w:r>
        <w:rPr>
          <w:rFonts w:hint="eastAsia" w:asciiTheme="minorEastAsia" w:hAnsiTheme="minorEastAsia" w:eastAsiaTheme="minorEastAsia" w:cstheme="minorEastAsia"/>
          <w:sz w:val="21"/>
          <w:szCs w:val="22"/>
        </w:rPr>
        <w:t>磁粉检测</w:t>
      </w:r>
      <w:bookmarkEnd w:id="101"/>
      <w:r>
        <w:rPr>
          <w:rFonts w:hint="eastAsia" w:asciiTheme="minorEastAsia" w:hAnsiTheme="minorEastAsia" w:eastAsiaTheme="minorEastAsia" w:cstheme="minorEastAsia"/>
          <w:sz w:val="21"/>
          <w:szCs w:val="22"/>
        </w:rPr>
        <w:t>或渗透检测方法。</w:t>
      </w:r>
    </w:p>
    <w:p>
      <w:pPr>
        <w:pStyle w:val="6"/>
        <w:spacing w:line="360" w:lineRule="auto"/>
        <w:ind w:firstLine="420" w:firstLineChars="200"/>
        <w:rPr>
          <w:rFonts w:hint="eastAsia" w:asciiTheme="minorEastAsia" w:hAnsiTheme="minorEastAsia" w:eastAsiaTheme="minorEastAsia" w:cstheme="minorEastAsia"/>
          <w:sz w:val="21"/>
          <w:szCs w:val="22"/>
        </w:rPr>
      </w:pPr>
      <w:r>
        <w:rPr>
          <w:rFonts w:hint="eastAsia" w:ascii="黑体" w:hAnsi="黑体" w:eastAsia="黑体" w:cs="黑体"/>
          <w:sz w:val="21"/>
          <w:szCs w:val="22"/>
        </w:rPr>
        <w:t xml:space="preserve">2 </w:t>
      </w:r>
      <w:r>
        <w:rPr>
          <w:rFonts w:hint="eastAsia"/>
        </w:rPr>
        <w:t xml:space="preserve"> </w:t>
      </w:r>
      <w:r>
        <w:rPr>
          <w:rFonts w:hint="eastAsia" w:asciiTheme="minorEastAsia" w:hAnsiTheme="minorEastAsia" w:eastAsiaTheme="minorEastAsia" w:cstheme="minorEastAsia"/>
          <w:sz w:val="21"/>
          <w:szCs w:val="22"/>
        </w:rPr>
        <w:t>铸锻件内部质量无损检测应采用超声检测方法。</w:t>
      </w:r>
    </w:p>
    <w:p>
      <w:pPr>
        <w:spacing w:line="360" w:lineRule="auto"/>
        <w:rPr>
          <w:rFonts w:hint="eastAsia" w:asciiTheme="minorEastAsia" w:hAnsiTheme="minorEastAsia" w:cstheme="minorEastAsia"/>
        </w:rPr>
      </w:pPr>
      <w:r>
        <w:rPr>
          <w:rFonts w:hint="eastAsia" w:ascii="黑体" w:hAnsi="黑体" w:eastAsia="黑体" w:cs="黑体"/>
        </w:rPr>
        <w:t xml:space="preserve">7.1.4  </w:t>
      </w:r>
      <w:r>
        <w:rPr>
          <w:rFonts w:hint="eastAsia" w:cs="黑体" w:asciiTheme="minorEastAsia" w:hAnsiTheme="minorEastAsia"/>
        </w:rPr>
        <w:t>焊接</w:t>
      </w:r>
      <w:r>
        <w:rPr>
          <w:rFonts w:hint="eastAsia" w:asciiTheme="minorEastAsia" w:hAnsiTheme="minorEastAsia" w:cstheme="minorEastAsia"/>
        </w:rPr>
        <w:t>质量检测方法应符合下列规定：</w:t>
      </w:r>
    </w:p>
    <w:p>
      <w:pPr>
        <w:spacing w:line="360" w:lineRule="auto"/>
        <w:ind w:firstLine="420"/>
        <w:rPr>
          <w:rFonts w:hint="eastAsia" w:asciiTheme="minorEastAsia" w:hAnsiTheme="minorEastAsia" w:cstheme="minorEastAsia"/>
        </w:rPr>
      </w:pPr>
      <w:r>
        <w:rPr>
          <w:rFonts w:hint="eastAsia" w:ascii="黑体" w:hAnsi="黑体" w:eastAsia="黑体" w:cs="黑体"/>
        </w:rPr>
        <w:t xml:space="preserve">1 </w:t>
      </w:r>
      <w:r>
        <w:rPr>
          <w:rFonts w:hint="eastAsia" w:asciiTheme="minorEastAsia" w:hAnsiTheme="minorEastAsia" w:cstheme="minorEastAsia"/>
        </w:rPr>
        <w:t xml:space="preserve"> 焊缝外观质量应按照SL</w:t>
      </w:r>
      <w:r>
        <w:rPr>
          <w:rFonts w:asciiTheme="minorEastAsia" w:hAnsiTheme="minorEastAsia" w:cstheme="minorEastAsia"/>
        </w:rPr>
        <w:t>/T</w:t>
      </w:r>
      <w:r>
        <w:rPr>
          <w:rFonts w:hint="eastAsia" w:asciiTheme="minorEastAsia" w:hAnsiTheme="minorEastAsia" w:cstheme="minorEastAsia"/>
        </w:rPr>
        <w:t xml:space="preserve"> 582的规定进行全面目视检查，并采用焊缝检验尺、钢直尺等量具进行检测。</w:t>
      </w:r>
    </w:p>
    <w:p>
      <w:pPr>
        <w:spacing w:line="360" w:lineRule="auto"/>
        <w:ind w:firstLine="420" w:firstLineChars="200"/>
        <w:rPr>
          <w:rFonts w:hint="eastAsia" w:asciiTheme="minorEastAsia" w:hAnsiTheme="minorEastAsia" w:cstheme="minorEastAsia"/>
        </w:rPr>
      </w:pPr>
      <w:r>
        <w:rPr>
          <w:rFonts w:hint="eastAsia" w:ascii="黑体" w:hAnsi="黑体" w:eastAsia="黑体" w:cs="黑体"/>
        </w:rPr>
        <w:t xml:space="preserve">2 </w:t>
      </w:r>
      <w:r>
        <w:rPr>
          <w:rFonts w:hint="eastAsia"/>
        </w:rPr>
        <w:t xml:space="preserve"> 焊缝表面质量检测应采用磁粉检测或渗透检测方法，铁磁性材料宜优先选用磁粉检测方法。</w:t>
      </w:r>
    </w:p>
    <w:p>
      <w:pPr>
        <w:spacing w:line="360" w:lineRule="auto"/>
        <w:ind w:firstLine="420" w:firstLineChars="200"/>
        <w:rPr>
          <w:position w:val="1"/>
        </w:rPr>
      </w:pPr>
      <w:r>
        <w:rPr>
          <w:rFonts w:hint="eastAsia" w:ascii="黑体" w:hAnsi="黑体" w:eastAsia="黑体" w:cs="黑体"/>
        </w:rPr>
        <w:t xml:space="preserve">3 </w:t>
      </w:r>
      <w:r>
        <w:rPr>
          <w:rFonts w:hint="eastAsia"/>
        </w:rPr>
        <w:t xml:space="preserve"> 焊缝内部质量检测应采用脉冲反射法超声检测、相控阵超声检测、衍射时差法超声检测或射线检测方法</w:t>
      </w:r>
      <w:r>
        <w:rPr>
          <w:rFonts w:hint="eastAsia"/>
          <w:position w:val="1"/>
        </w:rPr>
        <w:t>。</w:t>
      </w:r>
    </w:p>
    <w:p>
      <w:pPr>
        <w:spacing w:line="360" w:lineRule="auto"/>
        <w:rPr>
          <w:rFonts w:hint="eastAsia" w:asciiTheme="minorEastAsia" w:hAnsiTheme="minorEastAsia" w:cstheme="minorEastAsia"/>
        </w:rPr>
      </w:pPr>
      <w:r>
        <w:rPr>
          <w:rFonts w:hint="eastAsia" w:ascii="黑体" w:hAnsi="黑体" w:eastAsia="黑体" w:cs="黑体"/>
        </w:rPr>
        <w:t xml:space="preserve">7.1.5  </w:t>
      </w:r>
      <w:r>
        <w:rPr>
          <w:rFonts w:hint="eastAsia" w:cs="黑体" w:asciiTheme="minorEastAsia" w:hAnsiTheme="minorEastAsia"/>
        </w:rPr>
        <w:t>防腐蚀</w:t>
      </w:r>
      <w:r>
        <w:rPr>
          <w:rFonts w:hint="eastAsia" w:asciiTheme="minorEastAsia" w:hAnsiTheme="minorEastAsia" w:cstheme="minorEastAsia"/>
        </w:rPr>
        <w:t>质量检测方法应符合下列规定：</w:t>
      </w:r>
    </w:p>
    <w:p>
      <w:pPr>
        <w:pStyle w:val="6"/>
        <w:spacing w:line="360" w:lineRule="auto"/>
        <w:ind w:firstLine="420" w:firstLineChars="200"/>
        <w:rPr>
          <w:rFonts w:hint="eastAsia" w:asciiTheme="minorEastAsia" w:hAnsiTheme="minorEastAsia" w:eastAsiaTheme="minorEastAsia" w:cstheme="minorEastAsia"/>
          <w:sz w:val="21"/>
          <w:szCs w:val="22"/>
        </w:rPr>
      </w:pPr>
      <w:r>
        <w:rPr>
          <w:rFonts w:hint="eastAsia" w:ascii="黑体" w:hAnsi="黑体" w:eastAsia="黑体" w:cs="黑体"/>
          <w:sz w:val="21"/>
          <w:szCs w:val="22"/>
        </w:rPr>
        <w:t xml:space="preserve">1 </w:t>
      </w:r>
      <w:r>
        <w:rPr>
          <w:rFonts w:hint="eastAsia"/>
        </w:rPr>
        <w:t xml:space="preserve"> </w:t>
      </w:r>
      <w:r>
        <w:rPr>
          <w:rFonts w:hint="eastAsia" w:asciiTheme="minorEastAsia" w:hAnsiTheme="minorEastAsia" w:eastAsiaTheme="minorEastAsia" w:cstheme="minorEastAsia"/>
          <w:sz w:val="21"/>
          <w:szCs w:val="22"/>
        </w:rPr>
        <w:t>表面预处理质量应检测表面清洁度和表面粗糙度，检测方法应按照SL/T 105的规定执行。</w:t>
      </w:r>
    </w:p>
    <w:p>
      <w:pPr>
        <w:pStyle w:val="6"/>
        <w:spacing w:line="360" w:lineRule="auto"/>
        <w:ind w:firstLine="420" w:firstLineChars="200"/>
        <w:rPr>
          <w:rFonts w:hint="eastAsia" w:asciiTheme="minorEastAsia" w:hAnsiTheme="minorEastAsia" w:eastAsiaTheme="minorEastAsia" w:cstheme="minorEastAsia"/>
          <w:sz w:val="21"/>
          <w:szCs w:val="22"/>
        </w:rPr>
      </w:pPr>
      <w:r>
        <w:rPr>
          <w:rFonts w:hint="eastAsia" w:ascii="黑体" w:hAnsi="黑体" w:eastAsia="黑体" w:cs="黑体"/>
          <w:sz w:val="21"/>
          <w:szCs w:val="22"/>
        </w:rPr>
        <w:t xml:space="preserve">2 </w:t>
      </w:r>
      <w:r>
        <w:rPr>
          <w:rFonts w:hint="eastAsia"/>
        </w:rPr>
        <w:t xml:space="preserve"> </w:t>
      </w:r>
      <w:r>
        <w:rPr>
          <w:rFonts w:hint="eastAsia" w:asciiTheme="minorEastAsia" w:hAnsiTheme="minorEastAsia" w:eastAsiaTheme="minorEastAsia" w:cstheme="minorEastAsia"/>
          <w:sz w:val="21"/>
          <w:szCs w:val="22"/>
        </w:rPr>
        <w:t>防腐涂层质量应检测涂层外观、涂层厚度和涂层附着力，检测方法应按照SL/T 105的规定执行。</w:t>
      </w:r>
    </w:p>
    <w:p>
      <w:pPr>
        <w:spacing w:line="360" w:lineRule="auto"/>
        <w:rPr>
          <w:rFonts w:hint="eastAsia" w:asciiTheme="minorEastAsia" w:hAnsiTheme="minorEastAsia" w:cstheme="minorEastAsia"/>
        </w:rPr>
      </w:pPr>
      <w:r>
        <w:rPr>
          <w:rFonts w:hint="eastAsia" w:ascii="黑体" w:hAnsi="黑体" w:eastAsia="黑体" w:cs="黑体"/>
        </w:rPr>
        <w:t xml:space="preserve">7.1.6  </w:t>
      </w:r>
      <w:r>
        <w:rPr>
          <w:rFonts w:hint="eastAsia" w:asciiTheme="minorEastAsia" w:hAnsiTheme="minorEastAsia" w:cstheme="minorEastAsia"/>
        </w:rPr>
        <w:t>除钢板外金属结构设备其他原材料检测、主要零（部）件质量检测、组装质量检测、几何尺寸检测、厂内运行试验、安装位置与尺寸检测、现场运行试验等的检测方法应按照SL/T 582和SL/T 635的有关规定执行。</w:t>
      </w:r>
    </w:p>
    <w:p>
      <w:pPr>
        <w:spacing w:line="360" w:lineRule="auto"/>
      </w:pPr>
      <w:r>
        <w:rPr>
          <w:rFonts w:hint="eastAsia" w:ascii="黑体" w:hAnsi="黑体" w:eastAsia="黑体" w:cs="黑体"/>
        </w:rPr>
        <w:t>7.1.7</w:t>
      </w:r>
      <w:r>
        <w:rPr>
          <w:rFonts w:hint="eastAsia"/>
        </w:rPr>
        <w:t xml:space="preserve">  </w:t>
      </w:r>
      <w:r>
        <w:rPr>
          <w:rFonts w:hint="eastAsia" w:asciiTheme="minorEastAsia" w:hAnsiTheme="minorEastAsia"/>
        </w:rPr>
        <w:t>升船机在制造和安装阶段应根据设计的结构型式，分别对承船厢、驱动提升装置、支承导向结构、安全保护装置等进行检测，安装后还应对其整体性能进行检测。检测方法可参照本标准和</w:t>
      </w:r>
      <w:r>
        <w:rPr>
          <w:rFonts w:asciiTheme="minorEastAsia" w:hAnsiTheme="minorEastAsia"/>
        </w:rPr>
        <w:t>SL/T 582</w:t>
      </w:r>
      <w:r>
        <w:rPr>
          <w:rFonts w:hint="eastAsia" w:asciiTheme="minorEastAsia" w:hAnsiTheme="minorEastAsia"/>
        </w:rPr>
        <w:t>的相关规定执行。</w:t>
      </w:r>
    </w:p>
    <w:p>
      <w:pPr>
        <w:spacing w:line="360" w:lineRule="auto"/>
        <w:rPr>
          <w:rFonts w:hint="eastAsia" w:ascii="宋体" w:hAnsi="宋体" w:eastAsia="宋体" w:cs="黑体"/>
          <w:color w:val="388600"/>
        </w:rPr>
      </w:pPr>
      <w:r>
        <w:rPr>
          <w:rFonts w:hint="eastAsia" w:ascii="黑体" w:hAnsi="黑体" w:eastAsia="黑体" w:cs="黑体"/>
        </w:rPr>
        <w:t>7.1.8</w:t>
      </w:r>
      <w:r>
        <w:rPr>
          <w:rFonts w:ascii="黑体" w:hAnsi="黑体" w:eastAsia="黑体" w:cs="黑体"/>
          <w:color w:val="388600"/>
        </w:rPr>
        <w:t xml:space="preserve">  </w:t>
      </w:r>
      <w:r>
        <w:rPr>
          <w:rFonts w:hint="eastAsia" w:ascii="宋体" w:hAnsi="宋体" w:eastAsia="宋体" w:cs="黑体"/>
        </w:rPr>
        <w:t>金属结构设备制造质量检测的所有检测项目均符合设计文件及相应产品标准的规定，产品制造质量检测结果评价为合格；设备安装质量检测的所有检测项目均符合设计文件及SL 635的规定，产品安装质量检测结果评价为合格。</w:t>
      </w:r>
    </w:p>
    <w:p>
      <w:pPr>
        <w:pStyle w:val="3"/>
        <w:snapToGrid w:val="0"/>
        <w:spacing w:afterLines="50"/>
        <w:jc w:val="center"/>
        <w:rPr>
          <w:rFonts w:ascii="黑体" w:hAnsi="黑体"/>
          <w:sz w:val="24"/>
          <w:szCs w:val="24"/>
        </w:rPr>
      </w:pPr>
      <w:bookmarkStart w:id="102" w:name="_Toc177635361"/>
      <w:bookmarkStart w:id="103" w:name="_Toc15630"/>
      <w:r>
        <w:rPr>
          <w:rFonts w:ascii="黑体" w:hAnsi="黑体"/>
          <w:sz w:val="24"/>
          <w:szCs w:val="24"/>
        </w:rPr>
        <w:t>7.2  闸  门</w:t>
      </w:r>
      <w:bookmarkEnd w:id="102"/>
      <w:bookmarkEnd w:id="103"/>
    </w:p>
    <w:p>
      <w:pPr>
        <w:spacing w:line="360" w:lineRule="auto"/>
        <w:rPr>
          <w:rFonts w:hint="eastAsia" w:asciiTheme="minorEastAsia" w:hAnsiTheme="minorEastAsia" w:cstheme="minorEastAsia"/>
        </w:rPr>
      </w:pPr>
      <w:r>
        <w:rPr>
          <w:rFonts w:hint="eastAsia" w:ascii="黑体" w:hAnsi="黑体" w:eastAsia="黑体" w:cs="黑体"/>
        </w:rPr>
        <w:t xml:space="preserve">7.2.1 </w:t>
      </w:r>
      <w:r>
        <w:rPr>
          <w:rFonts w:hint="eastAsia" w:asciiTheme="minorEastAsia" w:hAnsiTheme="minorEastAsia" w:cstheme="minorEastAsia"/>
        </w:rPr>
        <w:t xml:space="preserve"> 闸门（含拦污栅）检测项目宜包括下列内容：</w:t>
      </w:r>
    </w:p>
    <w:p>
      <w:pPr>
        <w:spacing w:line="360" w:lineRule="auto"/>
        <w:ind w:firstLine="420" w:firstLineChars="200"/>
      </w:pPr>
      <w:r>
        <w:rPr>
          <w:rFonts w:hint="eastAsia" w:ascii="黑体" w:hAnsi="黑体" w:eastAsia="黑体" w:cs="黑体"/>
        </w:rPr>
        <w:t xml:space="preserve">1  </w:t>
      </w:r>
      <w:r>
        <w:rPr>
          <w:rFonts w:hint="eastAsia" w:cs="黑体" w:asciiTheme="minorEastAsia" w:hAnsiTheme="minorEastAsia"/>
        </w:rPr>
        <w:t>钢</w:t>
      </w:r>
      <w:r>
        <w:rPr>
          <w:rFonts w:hint="eastAsia" w:asciiTheme="minorEastAsia" w:hAnsiTheme="minorEastAsia" w:cstheme="minorEastAsia"/>
        </w:rPr>
        <w:t>闸门门体制造质量检测项目包括</w:t>
      </w:r>
      <w:r>
        <w:rPr>
          <w:rFonts w:hint="eastAsia"/>
        </w:rPr>
        <w:t>钢板质量、铸锻件质量、止水橡皮质量、焊接质量、几何尺寸、防腐蚀质量等。</w:t>
      </w:r>
    </w:p>
    <w:p>
      <w:pPr>
        <w:spacing w:line="360" w:lineRule="auto"/>
        <w:ind w:firstLine="420" w:firstLineChars="200"/>
      </w:pPr>
      <w:r>
        <w:rPr>
          <w:rFonts w:hint="eastAsia" w:ascii="黑体" w:hAnsi="黑体" w:eastAsia="黑体" w:cs="黑体"/>
        </w:rPr>
        <w:t xml:space="preserve">2  </w:t>
      </w:r>
      <w:r>
        <w:rPr>
          <w:rFonts w:hint="eastAsia" w:cs="黑体" w:asciiTheme="minorEastAsia" w:hAnsiTheme="minorEastAsia"/>
        </w:rPr>
        <w:t>钢</w:t>
      </w:r>
      <w:r>
        <w:rPr>
          <w:rFonts w:hint="eastAsia" w:asciiTheme="minorEastAsia" w:hAnsiTheme="minorEastAsia" w:cstheme="minorEastAsia"/>
        </w:rPr>
        <w:t>闸门埋件制造质量检测项目包括</w:t>
      </w:r>
      <w:r>
        <w:rPr>
          <w:rFonts w:hint="eastAsia"/>
        </w:rPr>
        <w:t>铸钢主轨质量、几何尺寸、防腐蚀质量等。</w:t>
      </w:r>
    </w:p>
    <w:p>
      <w:pPr>
        <w:spacing w:line="360" w:lineRule="auto"/>
        <w:ind w:firstLine="420" w:firstLineChars="200"/>
      </w:pPr>
      <w:r>
        <w:rPr>
          <w:rFonts w:hint="eastAsia" w:ascii="黑体" w:hAnsi="黑体" w:eastAsia="黑体" w:cs="黑体"/>
        </w:rPr>
        <w:t xml:space="preserve">3 </w:t>
      </w:r>
      <w:r>
        <w:rPr>
          <w:rFonts w:hint="eastAsia"/>
        </w:rPr>
        <w:t xml:space="preserve"> 钢闸门埋件安装质量检测项目包括安装位置与尺寸、工作面及过流面外观质量等。</w:t>
      </w:r>
    </w:p>
    <w:p>
      <w:pPr>
        <w:ind w:firstLine="420" w:firstLineChars="200"/>
        <w:rPr>
          <w:rFonts w:hint="eastAsia" w:ascii="黑体" w:hAnsi="黑体" w:eastAsia="黑体" w:cs="黑体"/>
          <w:i/>
          <w:iCs/>
          <w:color w:val="0000FF"/>
          <w:szCs w:val="21"/>
        </w:rPr>
      </w:pPr>
      <w:r>
        <w:rPr>
          <w:rFonts w:hint="eastAsia" w:ascii="黑体" w:hAnsi="黑体" w:eastAsia="黑体" w:cs="黑体"/>
        </w:rPr>
        <w:t xml:space="preserve">4 </w:t>
      </w:r>
      <w:r>
        <w:rPr>
          <w:rFonts w:hint="eastAsia"/>
        </w:rPr>
        <w:t xml:space="preserve"> 钢闸门门体安装质量检测项目包括安装尺寸、安装焊缝质量、防腐蚀质量、现场运行试验等。</w:t>
      </w:r>
    </w:p>
    <w:p>
      <w:pPr>
        <w:spacing w:line="360" w:lineRule="auto"/>
        <w:ind w:firstLine="420" w:firstLineChars="200"/>
        <w:rPr>
          <w:rFonts w:hint="eastAsia" w:asciiTheme="minorEastAsia" w:hAnsiTheme="minorEastAsia" w:cstheme="minorEastAsia"/>
        </w:rPr>
      </w:pPr>
      <w:r>
        <w:rPr>
          <w:rFonts w:hint="eastAsia" w:ascii="黑体" w:hAnsi="黑体" w:eastAsia="黑体" w:cs="黑体"/>
        </w:rPr>
        <w:t>5</w:t>
      </w:r>
      <w:r>
        <w:rPr>
          <w:rFonts w:hint="eastAsia" w:asciiTheme="minorEastAsia" w:hAnsiTheme="minorEastAsia" w:cstheme="minorEastAsia"/>
        </w:rPr>
        <w:t xml:space="preserve"> </w:t>
      </w:r>
      <w:r>
        <w:rPr>
          <w:rFonts w:hint="eastAsia" w:ascii="黑体" w:hAnsi="黑体" w:eastAsia="黑体" w:cs="黑体"/>
        </w:rPr>
        <w:t xml:space="preserve"> </w:t>
      </w:r>
      <w:r>
        <w:rPr>
          <w:rFonts w:hint="eastAsia" w:asciiTheme="minorEastAsia" w:hAnsiTheme="minorEastAsia" w:cstheme="minorEastAsia"/>
        </w:rPr>
        <w:t>铸铁闸门及埋件制造质量检测项目包括铸造外观质量、几何尺寸等。</w:t>
      </w:r>
    </w:p>
    <w:p>
      <w:pPr>
        <w:spacing w:line="360" w:lineRule="auto"/>
        <w:ind w:firstLine="420" w:firstLineChars="200"/>
      </w:pPr>
      <w:r>
        <w:rPr>
          <w:rFonts w:hint="eastAsia" w:ascii="黑体" w:hAnsi="黑体" w:eastAsia="黑体" w:cs="黑体"/>
        </w:rPr>
        <w:t>6</w:t>
      </w:r>
      <w:r>
        <w:rPr>
          <w:rFonts w:hint="eastAsia" w:asciiTheme="minorEastAsia" w:hAnsiTheme="minorEastAsia" w:cstheme="minorEastAsia"/>
        </w:rPr>
        <w:t xml:space="preserve">  铸铁闸门及埋件安装质量检测项目包括</w:t>
      </w:r>
      <w:r>
        <w:rPr>
          <w:rFonts w:hint="eastAsia"/>
        </w:rPr>
        <w:t>安装位置与尺寸、现场运行试验等。</w:t>
      </w:r>
    </w:p>
    <w:p>
      <w:pPr>
        <w:spacing w:line="360" w:lineRule="auto"/>
        <w:ind w:firstLine="420"/>
      </w:pPr>
      <w:r>
        <w:rPr>
          <w:rFonts w:hint="eastAsia" w:ascii="黑体" w:hAnsi="黑体" w:eastAsia="黑体" w:cs="黑体"/>
        </w:rPr>
        <w:t>7</w:t>
      </w:r>
      <w:r>
        <w:rPr>
          <w:rFonts w:hint="eastAsia" w:cs="黑体" w:asciiTheme="minorEastAsia" w:hAnsiTheme="minorEastAsia"/>
        </w:rPr>
        <w:t xml:space="preserve">  拦污栅制造</w:t>
      </w:r>
      <w:r>
        <w:rPr>
          <w:rFonts w:hint="eastAsia" w:asciiTheme="minorEastAsia" w:hAnsiTheme="minorEastAsia" w:cstheme="minorEastAsia"/>
        </w:rPr>
        <w:t>质量检测项目包括钢板质量、焊接质量、几何尺寸、防腐蚀质量等</w:t>
      </w:r>
      <w:r>
        <w:rPr>
          <w:rFonts w:hint="eastAsia"/>
        </w:rPr>
        <w:t>。</w:t>
      </w:r>
    </w:p>
    <w:p>
      <w:pPr>
        <w:spacing w:line="360" w:lineRule="auto"/>
        <w:ind w:firstLine="420" w:firstLineChars="200"/>
      </w:pPr>
      <w:r>
        <w:rPr>
          <w:rFonts w:hint="eastAsia" w:ascii="黑体" w:hAnsi="黑体" w:eastAsia="黑体" w:cs="黑体"/>
        </w:rPr>
        <w:t>8</w:t>
      </w:r>
      <w:r>
        <w:rPr>
          <w:rFonts w:hint="eastAsia"/>
        </w:rPr>
        <w:t xml:space="preserve">  拦污栅安装质量检测项目包括安装位置与尺寸、焊接质量、防腐蚀质量等。</w:t>
      </w:r>
    </w:p>
    <w:p>
      <w:pPr>
        <w:spacing w:line="360" w:lineRule="auto"/>
        <w:rPr>
          <w:rFonts w:hint="eastAsia" w:asciiTheme="minorEastAsia" w:hAnsiTheme="minorEastAsia" w:cstheme="minorEastAsia"/>
        </w:rPr>
      </w:pPr>
      <w:r>
        <w:rPr>
          <w:rFonts w:hint="eastAsia" w:ascii="黑体" w:hAnsi="黑体" w:eastAsia="黑体" w:cs="黑体"/>
        </w:rPr>
        <w:t xml:space="preserve">7.2.2 </w:t>
      </w:r>
      <w:r>
        <w:rPr>
          <w:rFonts w:hint="eastAsia" w:asciiTheme="minorEastAsia" w:hAnsiTheme="minorEastAsia" w:cstheme="minorEastAsia"/>
        </w:rPr>
        <w:t xml:space="preserve"> 闸门（含拦污栅）检测单元按下列要求划分：</w:t>
      </w:r>
    </w:p>
    <w:p>
      <w:pPr>
        <w:spacing w:line="360" w:lineRule="auto"/>
        <w:ind w:firstLine="420" w:firstLineChars="200"/>
        <w:rPr>
          <w:rFonts w:hint="eastAsia" w:cs="黑体" w:asciiTheme="minorEastAsia" w:hAnsiTheme="minorEastAsia"/>
        </w:rPr>
      </w:pPr>
      <w:r>
        <w:rPr>
          <w:rFonts w:hint="eastAsia" w:ascii="黑体" w:hAnsi="黑体" w:eastAsia="黑体" w:cs="黑体"/>
        </w:rPr>
        <w:t>1</w:t>
      </w:r>
      <w:r>
        <w:rPr>
          <w:rFonts w:hint="eastAsia" w:cs="黑体" w:asciiTheme="minorEastAsia" w:hAnsiTheme="minorEastAsia"/>
        </w:rPr>
        <w:t xml:space="preserve">  每扇（套）闸门门体在制造阶段和安装阶段分别作为1个检测单元。</w:t>
      </w:r>
    </w:p>
    <w:p>
      <w:pPr>
        <w:spacing w:line="360" w:lineRule="auto"/>
        <w:ind w:firstLine="420" w:firstLineChars="200"/>
        <w:rPr>
          <w:rFonts w:hint="eastAsia" w:cs="黑体" w:asciiTheme="minorEastAsia" w:hAnsiTheme="minorEastAsia"/>
        </w:rPr>
      </w:pPr>
      <w:r>
        <w:rPr>
          <w:rFonts w:hint="eastAsia" w:ascii="黑体" w:hAnsi="黑体" w:eastAsia="黑体" w:cs="黑体"/>
        </w:rPr>
        <w:t>2</w:t>
      </w:r>
      <w:r>
        <w:rPr>
          <w:rFonts w:hint="eastAsia" w:cs="黑体" w:asciiTheme="minorEastAsia" w:hAnsiTheme="minorEastAsia"/>
        </w:rPr>
        <w:t xml:space="preserve">  每套闸门埋件</w:t>
      </w:r>
      <w:bookmarkStart w:id="104" w:name="_Hlk176947330"/>
      <w:r>
        <w:rPr>
          <w:rFonts w:hint="eastAsia" w:cs="黑体" w:asciiTheme="minorEastAsia" w:hAnsiTheme="minorEastAsia"/>
        </w:rPr>
        <w:t>在制造阶段和安装阶段分别作为1个检测单元。</w:t>
      </w:r>
      <w:bookmarkEnd w:id="104"/>
    </w:p>
    <w:p>
      <w:pPr>
        <w:spacing w:line="360" w:lineRule="auto"/>
        <w:ind w:firstLine="420" w:firstLineChars="200"/>
        <w:rPr>
          <w:rFonts w:hint="eastAsia" w:asciiTheme="minorEastAsia" w:hAnsiTheme="minorEastAsia" w:cstheme="minorEastAsia"/>
        </w:rPr>
      </w:pPr>
      <w:r>
        <w:rPr>
          <w:rFonts w:hint="eastAsia" w:ascii="黑体" w:hAnsi="黑体" w:eastAsia="黑体" w:cs="黑体"/>
        </w:rPr>
        <w:t xml:space="preserve">3  </w:t>
      </w:r>
      <w:r>
        <w:rPr>
          <w:rFonts w:hint="eastAsia" w:asciiTheme="minorEastAsia" w:hAnsiTheme="minorEastAsia" w:cstheme="minorEastAsia"/>
        </w:rPr>
        <w:t>每套铸铁闸门门体及埋件在制造阶段和安装阶段分别作为1个检测单元。</w:t>
      </w:r>
    </w:p>
    <w:p>
      <w:pPr>
        <w:spacing w:line="360" w:lineRule="auto"/>
        <w:ind w:firstLine="420" w:firstLineChars="200"/>
        <w:rPr>
          <w:rFonts w:hint="eastAsia" w:cs="黑体" w:asciiTheme="minorEastAsia" w:hAnsiTheme="minorEastAsia"/>
        </w:rPr>
      </w:pPr>
      <w:r>
        <w:rPr>
          <w:rFonts w:hint="eastAsia" w:ascii="黑体" w:hAnsi="黑体" w:eastAsia="黑体" w:cs="黑体"/>
        </w:rPr>
        <w:t>4</w:t>
      </w:r>
      <w:r>
        <w:rPr>
          <w:rFonts w:hint="eastAsia" w:cs="黑体" w:asciiTheme="minorEastAsia" w:hAnsiTheme="minorEastAsia"/>
        </w:rPr>
        <w:t xml:space="preserve">  每套拦污栅（含埋件）在制造阶段作为1个检测单元。</w:t>
      </w:r>
    </w:p>
    <w:p>
      <w:pPr>
        <w:spacing w:line="360" w:lineRule="auto"/>
        <w:ind w:firstLine="420" w:firstLineChars="200"/>
        <w:rPr>
          <w:rFonts w:hint="eastAsia" w:cs="黑体" w:asciiTheme="minorEastAsia" w:hAnsiTheme="minorEastAsia"/>
          <w:strike/>
          <w:color w:val="FF0000"/>
        </w:rPr>
      </w:pPr>
      <w:r>
        <w:rPr>
          <w:rFonts w:hint="eastAsia" w:ascii="黑体" w:hAnsi="黑体" w:eastAsia="黑体" w:cs="黑体"/>
        </w:rPr>
        <w:t>5</w:t>
      </w:r>
      <w:r>
        <w:rPr>
          <w:rFonts w:hint="eastAsia" w:cs="黑体" w:asciiTheme="minorEastAsia" w:hAnsiTheme="minorEastAsia"/>
        </w:rPr>
        <w:t xml:space="preserve">  每套拦污栅（含埋件）在安装阶段作为1个检测单元。</w:t>
      </w:r>
    </w:p>
    <w:p>
      <w:pPr>
        <w:spacing w:line="360" w:lineRule="auto"/>
        <w:rPr>
          <w:rFonts w:hint="eastAsia" w:asciiTheme="minorEastAsia" w:hAnsiTheme="minorEastAsia" w:cstheme="minorEastAsia"/>
        </w:rPr>
      </w:pPr>
      <w:r>
        <w:rPr>
          <w:rFonts w:hint="eastAsia" w:ascii="黑体" w:hAnsi="黑体" w:eastAsia="黑体" w:cs="黑体"/>
        </w:rPr>
        <w:t xml:space="preserve">7.2.3  </w:t>
      </w:r>
      <w:r>
        <w:rPr>
          <w:rFonts w:hint="eastAsia" w:ascii="宋体" w:hAnsi="宋体" w:eastAsia="宋体" w:cs="黑体"/>
        </w:rPr>
        <w:t>闸门</w:t>
      </w:r>
      <w:r>
        <w:rPr>
          <w:rFonts w:hint="eastAsia" w:asciiTheme="minorEastAsia" w:hAnsiTheme="minorEastAsia" w:cstheme="minorEastAsia"/>
        </w:rPr>
        <w:t>（含拦污栅）</w:t>
      </w:r>
      <w:r>
        <w:rPr>
          <w:rFonts w:hint="eastAsia" w:ascii="宋体" w:hAnsi="宋体" w:eastAsia="宋体" w:cs="黑体"/>
        </w:rPr>
        <w:t>各检测项目的</w:t>
      </w:r>
      <w:r>
        <w:rPr>
          <w:spacing w:val="19"/>
        </w:rPr>
        <w:t>检测方法应符合</w:t>
      </w:r>
      <w:r>
        <w:rPr>
          <w:rFonts w:hint="eastAsia"/>
          <w:spacing w:val="19"/>
        </w:rPr>
        <w:t>下列</w:t>
      </w:r>
      <w:r>
        <w:rPr>
          <w:spacing w:val="19"/>
        </w:rPr>
        <w:t>要求</w:t>
      </w:r>
      <w:r>
        <w:rPr>
          <w:spacing w:val="-5"/>
        </w:rPr>
        <w:t xml:space="preserve"> </w:t>
      </w:r>
      <w:r>
        <w:rPr>
          <w:rFonts w:hint="eastAsia" w:ascii="宋体" w:hAnsi="宋体" w:eastAsia="宋体" w:cs="黑体"/>
        </w:rPr>
        <w:t>：</w:t>
      </w:r>
    </w:p>
    <w:p>
      <w:pPr>
        <w:spacing w:line="360" w:lineRule="auto"/>
        <w:ind w:firstLine="420" w:firstLineChars="200"/>
        <w:rPr>
          <w:rFonts w:hint="eastAsia" w:ascii="宋体" w:hAnsi="宋体" w:eastAsia="宋体" w:cs="黑体"/>
        </w:rPr>
      </w:pPr>
      <w:r>
        <w:rPr>
          <w:rFonts w:hint="eastAsia" w:ascii="黑体" w:hAnsi="黑体" w:eastAsia="黑体" w:cs="黑体"/>
        </w:rPr>
        <w:t>1</w:t>
      </w:r>
      <w:r>
        <w:rPr>
          <w:rFonts w:hint="eastAsia" w:ascii="宋体" w:hAnsi="宋体" w:eastAsia="宋体" w:cs="黑体"/>
        </w:rPr>
        <w:t xml:space="preserve">  止水橡皮质量：止水橡皮硬度应采用邵氏A型硬度计按压入硬度试验方法进行检测；止水橡皮截面尺寸采用钢直尺 、游标卡尺等量具检测。</w:t>
      </w:r>
    </w:p>
    <w:p>
      <w:pPr>
        <w:spacing w:line="360" w:lineRule="auto"/>
        <w:ind w:firstLine="420" w:firstLineChars="200"/>
        <w:rPr>
          <w:rFonts w:hint="eastAsia" w:ascii="宋体" w:hAnsi="宋体" w:eastAsia="宋体" w:cs="黑体"/>
        </w:rPr>
      </w:pPr>
      <w:r>
        <w:rPr>
          <w:rFonts w:hint="eastAsia" w:ascii="黑体" w:hAnsi="黑体" w:eastAsia="黑体" w:cs="黑体"/>
        </w:rPr>
        <w:t>2</w:t>
      </w:r>
      <w:r>
        <w:rPr>
          <w:rFonts w:hint="eastAsia" w:ascii="宋体" w:hAnsi="宋体" w:eastAsia="宋体" w:cs="黑体"/>
        </w:rPr>
        <w:t xml:space="preserve">  工作面及过流面外观质量：应按照SL 635的规定进行目视检查，并采用焊缝检验尺、钢直尺等量具进行检测。</w:t>
      </w:r>
    </w:p>
    <w:p>
      <w:pPr>
        <w:spacing w:line="360" w:lineRule="auto"/>
        <w:ind w:firstLine="420" w:firstLineChars="200"/>
        <w:rPr>
          <w:rFonts w:hint="eastAsia" w:ascii="宋体" w:hAnsi="宋体" w:eastAsia="宋体" w:cs="黑体"/>
        </w:rPr>
      </w:pPr>
      <w:r>
        <w:rPr>
          <w:rFonts w:hint="eastAsia" w:ascii="黑体" w:hAnsi="黑体" w:eastAsia="黑体" w:cs="黑体"/>
        </w:rPr>
        <w:t>3</w:t>
      </w:r>
      <w:r>
        <w:rPr>
          <w:rFonts w:hint="eastAsia" w:ascii="宋体" w:hAnsi="宋体" w:eastAsia="宋体" w:cs="黑体"/>
        </w:rPr>
        <w:t xml:space="preserve">  其他检测项目：可按 7.1条的有关检测方法要求执行 。</w:t>
      </w:r>
    </w:p>
    <w:p>
      <w:pPr>
        <w:spacing w:line="360" w:lineRule="auto"/>
        <w:rPr>
          <w:rFonts w:hint="eastAsia" w:asciiTheme="minorEastAsia" w:hAnsiTheme="minorEastAsia" w:cstheme="minorEastAsia"/>
        </w:rPr>
      </w:pPr>
      <w:r>
        <w:rPr>
          <w:rFonts w:hint="eastAsia" w:ascii="黑体" w:hAnsi="黑体" w:eastAsia="黑体" w:cs="黑体"/>
        </w:rPr>
        <w:t xml:space="preserve">7.2.4  </w:t>
      </w:r>
      <w:r>
        <w:rPr>
          <w:rFonts w:hint="eastAsia" w:ascii="宋体" w:hAnsi="宋体" w:eastAsia="宋体" w:cs="黑体"/>
        </w:rPr>
        <w:t>闸门</w:t>
      </w:r>
      <w:r>
        <w:rPr>
          <w:rFonts w:hint="eastAsia" w:asciiTheme="minorEastAsia" w:hAnsiTheme="minorEastAsia" w:cstheme="minorEastAsia"/>
        </w:rPr>
        <w:t>（含拦污栅）</w:t>
      </w:r>
      <w:r>
        <w:rPr>
          <w:rFonts w:hint="eastAsia" w:ascii="宋体" w:hAnsi="宋体" w:eastAsia="宋体" w:cs="黑体"/>
        </w:rPr>
        <w:t>各检测项目的</w:t>
      </w:r>
      <w:r>
        <w:rPr>
          <w:rFonts w:hint="eastAsia" w:asciiTheme="minorEastAsia" w:hAnsiTheme="minorEastAsia" w:cstheme="minorEastAsia"/>
        </w:rPr>
        <w:t>检测（抽检）数量应符合下列要求：</w:t>
      </w:r>
    </w:p>
    <w:p>
      <w:pPr>
        <w:pStyle w:val="6"/>
        <w:spacing w:line="360" w:lineRule="auto"/>
        <w:ind w:firstLine="420" w:firstLineChars="200"/>
        <w:rPr>
          <w:rFonts w:hint="eastAsia" w:asciiTheme="minorEastAsia" w:hAnsiTheme="minorEastAsia" w:eastAsiaTheme="minorEastAsia" w:cstheme="minorEastAsia"/>
          <w:sz w:val="21"/>
          <w:szCs w:val="22"/>
        </w:rPr>
      </w:pPr>
      <w:r>
        <w:rPr>
          <w:rFonts w:hint="eastAsia" w:ascii="黑体" w:hAnsi="黑体" w:eastAsia="黑体" w:cs="黑体"/>
          <w:sz w:val="21"/>
          <w:szCs w:val="22"/>
        </w:rPr>
        <w:t xml:space="preserve">1 </w:t>
      </w:r>
      <w:r>
        <w:rPr>
          <w:rFonts w:hint="eastAsia"/>
        </w:rPr>
        <w:t xml:space="preserve"> </w:t>
      </w:r>
      <w:r>
        <w:rPr>
          <w:rFonts w:hint="eastAsia" w:asciiTheme="minorEastAsia" w:hAnsiTheme="minorEastAsia" w:eastAsiaTheme="minorEastAsia" w:cstheme="minorEastAsia"/>
          <w:sz w:val="21"/>
          <w:szCs w:val="22"/>
        </w:rPr>
        <w:t>对闸门主梁、边梁、支臂、面板、吊耳板等主要受力构件进行</w:t>
      </w:r>
      <w:bookmarkStart w:id="105" w:name="_Hlk177027644"/>
      <w:r>
        <w:rPr>
          <w:rFonts w:hint="eastAsia" w:asciiTheme="minorEastAsia" w:hAnsiTheme="minorEastAsia" w:eastAsiaTheme="minorEastAsia" w:cstheme="minorEastAsia"/>
          <w:sz w:val="21"/>
          <w:szCs w:val="22"/>
        </w:rPr>
        <w:t>钢板厚度检测，每种规格至少抽检一张钢板。钢板标号不清或对材质有疑问时，应复验钢板化学成分和力学性能。</w:t>
      </w:r>
      <w:bookmarkEnd w:id="105"/>
    </w:p>
    <w:p>
      <w:pPr>
        <w:pStyle w:val="6"/>
        <w:spacing w:line="360" w:lineRule="auto"/>
        <w:ind w:firstLine="420" w:firstLineChars="200"/>
        <w:rPr>
          <w:rFonts w:hint="eastAsia" w:asciiTheme="minorEastAsia" w:hAnsiTheme="minorEastAsia" w:eastAsiaTheme="minorEastAsia" w:cstheme="minorEastAsia"/>
          <w:sz w:val="21"/>
          <w:szCs w:val="22"/>
        </w:rPr>
      </w:pPr>
      <w:r>
        <w:rPr>
          <w:rFonts w:hint="eastAsia" w:ascii="黑体" w:hAnsi="黑体" w:eastAsia="黑体" w:cs="黑体"/>
          <w:sz w:val="21"/>
          <w:szCs w:val="22"/>
        </w:rPr>
        <w:t xml:space="preserve">2 </w:t>
      </w:r>
      <w:r>
        <w:rPr>
          <w:rFonts w:hint="eastAsia"/>
        </w:rPr>
        <w:t xml:space="preserve"> </w:t>
      </w:r>
      <w:r>
        <w:rPr>
          <w:rFonts w:hint="eastAsia" w:asciiTheme="minorEastAsia" w:hAnsiTheme="minorEastAsia" w:eastAsiaTheme="minorEastAsia" w:cstheme="minorEastAsia"/>
          <w:sz w:val="21"/>
          <w:szCs w:val="22"/>
        </w:rPr>
        <w:t>一类铸锻件的检测数量不低于50%，二类铸锻件的检测数量不低于20%。</w:t>
      </w:r>
    </w:p>
    <w:p>
      <w:pPr>
        <w:pStyle w:val="6"/>
        <w:spacing w:line="360" w:lineRule="auto"/>
        <w:ind w:firstLine="420" w:firstLineChars="200"/>
        <w:rPr>
          <w:rFonts w:hint="eastAsia" w:asciiTheme="minorEastAsia" w:hAnsiTheme="minorEastAsia" w:eastAsiaTheme="minorEastAsia" w:cstheme="minorEastAsia"/>
          <w:sz w:val="21"/>
          <w:szCs w:val="22"/>
        </w:rPr>
      </w:pPr>
      <w:r>
        <w:rPr>
          <w:rFonts w:hint="eastAsia" w:ascii="黑体" w:hAnsi="黑体" w:eastAsia="黑体" w:cs="黑体"/>
          <w:sz w:val="21"/>
          <w:szCs w:val="22"/>
        </w:rPr>
        <w:t>3</w:t>
      </w:r>
      <w:r>
        <w:rPr>
          <w:rFonts w:hint="eastAsia"/>
        </w:rPr>
        <w:t xml:space="preserve">  </w:t>
      </w:r>
      <w:r>
        <w:rPr>
          <w:rFonts w:hint="eastAsia" w:asciiTheme="minorEastAsia" w:hAnsiTheme="minorEastAsia" w:eastAsiaTheme="minorEastAsia" w:cstheme="minorEastAsia"/>
          <w:sz w:val="21"/>
          <w:szCs w:val="22"/>
        </w:rPr>
        <w:t>止水橡皮的橡胶硬度按每种规格每条均布3个测点。</w:t>
      </w:r>
    </w:p>
    <w:p>
      <w:pPr>
        <w:pStyle w:val="6"/>
        <w:spacing w:line="360" w:lineRule="auto"/>
        <w:ind w:firstLine="420" w:firstLineChars="200"/>
        <w:rPr>
          <w:rFonts w:hint="eastAsia" w:asciiTheme="minorEastAsia" w:hAnsiTheme="minorEastAsia" w:eastAsiaTheme="minorEastAsia" w:cstheme="minorEastAsia"/>
          <w:sz w:val="21"/>
          <w:szCs w:val="22"/>
        </w:rPr>
      </w:pPr>
      <w:r>
        <w:rPr>
          <w:rFonts w:hint="eastAsia" w:ascii="黑体" w:hAnsi="黑体" w:eastAsia="黑体" w:cs="黑体"/>
          <w:sz w:val="21"/>
          <w:szCs w:val="22"/>
        </w:rPr>
        <w:t xml:space="preserve">4 </w:t>
      </w:r>
      <w:r>
        <w:rPr>
          <w:rFonts w:hint="eastAsia" w:asciiTheme="minorEastAsia" w:hAnsiTheme="minorEastAsia" w:eastAsiaTheme="minorEastAsia" w:cstheme="minorEastAsia"/>
          <w:sz w:val="21"/>
          <w:szCs w:val="22"/>
        </w:rPr>
        <w:t xml:space="preserve"> 焊缝外观应进行100%的目视检查；焊缝内部无损检测比例按照GB/T 14173的规定执行。</w:t>
      </w:r>
    </w:p>
    <w:p>
      <w:pPr>
        <w:pStyle w:val="6"/>
        <w:spacing w:line="360" w:lineRule="auto"/>
        <w:ind w:firstLine="420" w:firstLineChars="200"/>
        <w:rPr>
          <w:rFonts w:hint="eastAsia" w:asciiTheme="minorEastAsia" w:hAnsiTheme="minorEastAsia" w:eastAsiaTheme="minorEastAsia" w:cstheme="minorEastAsia"/>
          <w:sz w:val="21"/>
          <w:szCs w:val="22"/>
        </w:rPr>
      </w:pPr>
      <w:r>
        <w:rPr>
          <w:rFonts w:hint="eastAsia" w:ascii="黑体" w:hAnsi="黑体" w:eastAsia="黑体" w:cs="黑体"/>
          <w:sz w:val="21"/>
          <w:szCs w:val="22"/>
        </w:rPr>
        <w:t>5</w:t>
      </w:r>
      <w:r>
        <w:rPr>
          <w:rFonts w:hint="eastAsia" w:ascii="黑体" w:hAnsi="黑体" w:eastAsia="黑体"/>
        </w:rPr>
        <w:t xml:space="preserve"> </w:t>
      </w:r>
      <w:r>
        <w:rPr>
          <w:rFonts w:hint="eastAsia"/>
        </w:rPr>
        <w:t xml:space="preserve"> </w:t>
      </w:r>
      <w:r>
        <w:rPr>
          <w:rFonts w:hint="eastAsia" w:asciiTheme="minorEastAsia" w:hAnsiTheme="minorEastAsia" w:eastAsiaTheme="minorEastAsia" w:cstheme="minorEastAsia"/>
          <w:sz w:val="21"/>
          <w:szCs w:val="22"/>
        </w:rPr>
        <w:t>闸门门体和埋件几何尺寸应逐个进行检测。</w:t>
      </w:r>
    </w:p>
    <w:p>
      <w:pPr>
        <w:pStyle w:val="6"/>
        <w:spacing w:line="360" w:lineRule="auto"/>
        <w:ind w:firstLine="420" w:firstLineChars="200"/>
        <w:rPr>
          <w:rFonts w:hint="eastAsia" w:asciiTheme="minorEastAsia" w:hAnsiTheme="minorEastAsia" w:eastAsiaTheme="minorEastAsia" w:cstheme="minorEastAsia"/>
          <w:sz w:val="21"/>
          <w:szCs w:val="22"/>
        </w:rPr>
      </w:pPr>
      <w:r>
        <w:rPr>
          <w:rFonts w:hint="eastAsia" w:ascii="黑体" w:hAnsi="黑体" w:eastAsia="黑体" w:cs="黑体"/>
          <w:sz w:val="21"/>
          <w:szCs w:val="22"/>
        </w:rPr>
        <w:t>6</w:t>
      </w:r>
      <w:r>
        <w:rPr>
          <w:rFonts w:hint="eastAsia"/>
        </w:rPr>
        <w:t xml:space="preserve">  </w:t>
      </w:r>
      <w:r>
        <w:rPr>
          <w:rFonts w:hint="eastAsia" w:asciiTheme="minorEastAsia" w:hAnsiTheme="minorEastAsia" w:eastAsiaTheme="minorEastAsia" w:cstheme="minorEastAsia"/>
          <w:sz w:val="21"/>
          <w:szCs w:val="22"/>
        </w:rPr>
        <w:t>防腐蚀质量检测的数量按照SL/T 105的规定执行。</w:t>
      </w:r>
    </w:p>
    <w:p>
      <w:pPr>
        <w:pStyle w:val="6"/>
        <w:spacing w:line="360" w:lineRule="auto"/>
        <w:ind w:firstLine="420" w:firstLineChars="200"/>
        <w:rPr>
          <w:rFonts w:hint="eastAsia" w:asciiTheme="minorEastAsia" w:hAnsiTheme="minorEastAsia" w:eastAsiaTheme="minorEastAsia" w:cstheme="minorEastAsia"/>
          <w:sz w:val="21"/>
          <w:szCs w:val="22"/>
        </w:rPr>
      </w:pPr>
      <w:r>
        <w:rPr>
          <w:rFonts w:hint="eastAsia" w:ascii="黑体" w:hAnsi="黑体" w:eastAsia="黑体" w:cs="黑体"/>
          <w:sz w:val="21"/>
          <w:szCs w:val="22"/>
        </w:rPr>
        <w:t>7</w:t>
      </w:r>
      <w:r>
        <w:rPr>
          <w:rFonts w:hint="eastAsia"/>
        </w:rPr>
        <w:t xml:space="preserve">  </w:t>
      </w:r>
      <w:r>
        <w:rPr>
          <w:rFonts w:hint="eastAsia" w:asciiTheme="minorEastAsia" w:hAnsiTheme="minorEastAsia" w:eastAsiaTheme="minorEastAsia" w:cstheme="minorEastAsia"/>
          <w:sz w:val="21"/>
          <w:szCs w:val="22"/>
        </w:rPr>
        <w:t>闸门门体和埋件的</w:t>
      </w:r>
      <w:bookmarkStart w:id="106" w:name="_Hlk176961848"/>
      <w:r>
        <w:rPr>
          <w:rFonts w:hint="eastAsia" w:asciiTheme="minorEastAsia" w:hAnsiTheme="minorEastAsia" w:eastAsiaTheme="minorEastAsia" w:cstheme="minorEastAsia"/>
          <w:sz w:val="21"/>
          <w:szCs w:val="22"/>
        </w:rPr>
        <w:t>安装质量</w:t>
      </w:r>
      <w:bookmarkEnd w:id="106"/>
      <w:r>
        <w:rPr>
          <w:rFonts w:hint="eastAsia" w:asciiTheme="minorEastAsia" w:hAnsiTheme="minorEastAsia" w:eastAsiaTheme="minorEastAsia" w:cstheme="minorEastAsia"/>
          <w:sz w:val="21"/>
          <w:szCs w:val="22"/>
        </w:rPr>
        <w:t>应逐孔进行检测。</w:t>
      </w:r>
    </w:p>
    <w:p>
      <w:pPr>
        <w:pStyle w:val="6"/>
        <w:spacing w:line="360" w:lineRule="auto"/>
        <w:ind w:firstLine="420" w:firstLineChars="200"/>
        <w:rPr>
          <w:rFonts w:hint="eastAsia" w:asciiTheme="minorEastAsia" w:hAnsiTheme="minorEastAsia" w:eastAsiaTheme="minorEastAsia" w:cstheme="minorEastAsia"/>
          <w:sz w:val="21"/>
          <w:szCs w:val="22"/>
        </w:rPr>
      </w:pPr>
      <w:r>
        <w:rPr>
          <w:rFonts w:hint="eastAsia" w:ascii="黑体" w:hAnsi="黑体" w:eastAsia="黑体" w:cs="黑体"/>
          <w:sz w:val="21"/>
          <w:szCs w:val="22"/>
        </w:rPr>
        <w:t>8</w:t>
      </w:r>
      <w:r>
        <w:rPr>
          <w:rFonts w:hint="eastAsia"/>
        </w:rPr>
        <w:t xml:space="preserve">  </w:t>
      </w:r>
      <w:r>
        <w:rPr>
          <w:rFonts w:hint="eastAsia" w:asciiTheme="minorEastAsia" w:hAnsiTheme="minorEastAsia" w:eastAsiaTheme="minorEastAsia" w:cstheme="minorEastAsia"/>
          <w:sz w:val="21"/>
          <w:szCs w:val="22"/>
        </w:rPr>
        <w:t>闸门现场运行试验应逐孔进行3次全行程运行试验。</w:t>
      </w:r>
    </w:p>
    <w:p>
      <w:pPr>
        <w:spacing w:line="360" w:lineRule="auto"/>
        <w:rPr>
          <w:rFonts w:hint="eastAsia" w:asciiTheme="minorEastAsia" w:hAnsiTheme="minorEastAsia" w:cstheme="minorEastAsia"/>
        </w:rPr>
      </w:pPr>
      <w:r>
        <w:rPr>
          <w:rFonts w:hint="eastAsia" w:ascii="黑体" w:hAnsi="黑体" w:eastAsia="黑体" w:cs="黑体"/>
        </w:rPr>
        <w:t xml:space="preserve">7.2.5 </w:t>
      </w:r>
      <w:r>
        <w:rPr>
          <w:rFonts w:hint="eastAsia" w:asciiTheme="minorEastAsia" w:hAnsiTheme="minorEastAsia" w:cstheme="minorEastAsia"/>
        </w:rPr>
        <w:t xml:space="preserve"> 检测项目满足下列要求的，质量检测结果评价为合格：</w:t>
      </w:r>
    </w:p>
    <w:p>
      <w:pPr>
        <w:pStyle w:val="6"/>
        <w:spacing w:line="360" w:lineRule="auto"/>
        <w:ind w:firstLine="420" w:firstLineChars="200"/>
        <w:rPr>
          <w:rFonts w:hint="eastAsia" w:asciiTheme="minorEastAsia" w:hAnsiTheme="minorEastAsia" w:eastAsiaTheme="minorEastAsia" w:cstheme="minorEastAsia"/>
          <w:sz w:val="21"/>
          <w:szCs w:val="22"/>
        </w:rPr>
      </w:pPr>
      <w:r>
        <w:rPr>
          <w:rFonts w:hint="eastAsia" w:ascii="黑体" w:hAnsi="黑体" w:eastAsia="黑体" w:cs="黑体"/>
          <w:sz w:val="21"/>
          <w:szCs w:val="22"/>
        </w:rPr>
        <w:t xml:space="preserve">1 </w:t>
      </w:r>
      <w:r>
        <w:rPr>
          <w:rFonts w:hint="eastAsia" w:asciiTheme="minorEastAsia" w:hAnsiTheme="minorEastAsia" w:eastAsiaTheme="minorEastAsia" w:cstheme="minorEastAsia"/>
          <w:sz w:val="21"/>
          <w:szCs w:val="22"/>
        </w:rPr>
        <w:t xml:space="preserve"> 钢板厚度符合设计文件和热轧钢板国家标准的规定。</w:t>
      </w:r>
    </w:p>
    <w:p>
      <w:pPr>
        <w:pStyle w:val="6"/>
        <w:spacing w:line="360" w:lineRule="auto"/>
        <w:ind w:firstLine="420" w:firstLineChars="200"/>
        <w:rPr>
          <w:rFonts w:hint="eastAsia" w:asciiTheme="minorEastAsia" w:hAnsiTheme="minorEastAsia" w:eastAsiaTheme="minorEastAsia" w:cstheme="minorEastAsia"/>
          <w:sz w:val="21"/>
          <w:szCs w:val="22"/>
        </w:rPr>
      </w:pPr>
      <w:r>
        <w:rPr>
          <w:rFonts w:hint="eastAsia" w:ascii="黑体" w:hAnsi="黑体" w:eastAsia="黑体" w:cs="黑体"/>
          <w:sz w:val="21"/>
          <w:szCs w:val="22"/>
        </w:rPr>
        <w:t>2</w:t>
      </w:r>
      <w:r>
        <w:rPr>
          <w:rFonts w:hint="eastAsia"/>
        </w:rPr>
        <w:t xml:space="preserve">  </w:t>
      </w:r>
      <w:r>
        <w:rPr>
          <w:rFonts w:hint="eastAsia" w:asciiTheme="minorEastAsia" w:hAnsiTheme="minorEastAsia" w:eastAsiaTheme="minorEastAsia" w:cstheme="minorEastAsia"/>
          <w:sz w:val="21"/>
          <w:szCs w:val="22"/>
        </w:rPr>
        <w:t>铸锻件质量、止水橡皮的橡胶硬度、焊缝外观和焊缝内部质量、钢闸门门体和埋件几何尺寸符合设计文件和GB/T 14173的规定。</w:t>
      </w:r>
    </w:p>
    <w:p>
      <w:pPr>
        <w:pStyle w:val="6"/>
        <w:spacing w:line="360" w:lineRule="auto"/>
        <w:ind w:firstLine="420" w:firstLineChars="200"/>
        <w:rPr>
          <w:rFonts w:hint="eastAsia" w:asciiTheme="minorEastAsia" w:hAnsiTheme="minorEastAsia" w:eastAsiaTheme="minorEastAsia" w:cstheme="minorEastAsia"/>
          <w:sz w:val="21"/>
          <w:szCs w:val="22"/>
        </w:rPr>
      </w:pPr>
      <w:r>
        <w:rPr>
          <w:rFonts w:hint="eastAsia" w:ascii="黑体" w:hAnsi="黑体" w:eastAsia="黑体" w:cs="黑体"/>
          <w:sz w:val="21"/>
          <w:szCs w:val="22"/>
        </w:rPr>
        <w:t xml:space="preserve">3 </w:t>
      </w:r>
      <w:r>
        <w:rPr>
          <w:rFonts w:hint="eastAsia"/>
        </w:rPr>
        <w:t xml:space="preserve"> </w:t>
      </w:r>
      <w:r>
        <w:rPr>
          <w:rFonts w:hint="eastAsia" w:asciiTheme="minorEastAsia" w:hAnsiTheme="minorEastAsia" w:eastAsiaTheme="minorEastAsia" w:cstheme="minorEastAsia"/>
          <w:sz w:val="21"/>
          <w:szCs w:val="22"/>
        </w:rPr>
        <w:t>铸铁闸门门体和埋件制造质量符合设计文件和SL/T 545的规定。</w:t>
      </w:r>
    </w:p>
    <w:p>
      <w:pPr>
        <w:pStyle w:val="6"/>
        <w:spacing w:line="360" w:lineRule="auto"/>
        <w:ind w:firstLine="420" w:firstLineChars="200"/>
        <w:rPr>
          <w:rFonts w:hint="eastAsia" w:asciiTheme="minorEastAsia" w:hAnsiTheme="minorEastAsia" w:eastAsiaTheme="minorEastAsia" w:cstheme="minorEastAsia"/>
          <w:sz w:val="21"/>
          <w:szCs w:val="22"/>
        </w:rPr>
      </w:pPr>
      <w:r>
        <w:rPr>
          <w:rFonts w:hint="eastAsia" w:ascii="黑体" w:hAnsi="黑体" w:eastAsia="黑体" w:cs="黑体"/>
          <w:sz w:val="21"/>
          <w:szCs w:val="22"/>
        </w:rPr>
        <w:t xml:space="preserve">4 </w:t>
      </w:r>
      <w:r>
        <w:rPr>
          <w:rFonts w:hint="eastAsia"/>
        </w:rPr>
        <w:t xml:space="preserve"> </w:t>
      </w:r>
      <w:r>
        <w:rPr>
          <w:rFonts w:hint="eastAsia" w:asciiTheme="minorEastAsia" w:hAnsiTheme="minorEastAsia" w:eastAsiaTheme="minorEastAsia" w:cstheme="minorEastAsia"/>
          <w:sz w:val="21"/>
          <w:szCs w:val="22"/>
        </w:rPr>
        <w:t>防腐蚀质量符合设计文件和SL/T 105的规定。</w:t>
      </w:r>
    </w:p>
    <w:p>
      <w:pPr>
        <w:pStyle w:val="6"/>
        <w:spacing w:line="360" w:lineRule="auto"/>
        <w:ind w:firstLine="420" w:firstLineChars="200"/>
        <w:rPr>
          <w:rFonts w:hint="eastAsia" w:asciiTheme="minorEastAsia" w:hAnsiTheme="minorEastAsia" w:eastAsiaTheme="minorEastAsia" w:cstheme="minorEastAsia"/>
          <w:sz w:val="21"/>
          <w:szCs w:val="22"/>
        </w:rPr>
      </w:pPr>
      <w:r>
        <w:rPr>
          <w:rFonts w:hint="eastAsia" w:ascii="黑体" w:hAnsi="黑体" w:eastAsia="黑体" w:cs="黑体"/>
          <w:sz w:val="21"/>
          <w:szCs w:val="22"/>
        </w:rPr>
        <w:t xml:space="preserve">5 </w:t>
      </w:r>
      <w:r>
        <w:rPr>
          <w:rFonts w:hint="eastAsia"/>
        </w:rPr>
        <w:t xml:space="preserve"> </w:t>
      </w:r>
      <w:r>
        <w:rPr>
          <w:rFonts w:hint="eastAsia" w:asciiTheme="minorEastAsia" w:hAnsiTheme="minorEastAsia" w:eastAsiaTheme="minorEastAsia" w:cstheme="minorEastAsia"/>
          <w:sz w:val="21"/>
          <w:szCs w:val="22"/>
        </w:rPr>
        <w:t>闸门门体和埋件的安装质量符合设计文件和SL 635的规定。</w:t>
      </w:r>
    </w:p>
    <w:p>
      <w:pPr>
        <w:spacing w:line="360" w:lineRule="auto"/>
        <w:ind w:firstLine="420" w:firstLineChars="200"/>
        <w:rPr>
          <w:rFonts w:hint="eastAsia" w:asciiTheme="minorEastAsia" w:hAnsiTheme="minorEastAsia" w:cstheme="minorEastAsia"/>
          <w:color w:val="000000" w:themeColor="text1"/>
          <w14:textFill>
            <w14:solidFill>
              <w14:schemeClr w14:val="tx1"/>
            </w14:solidFill>
          </w14:textFill>
        </w:rPr>
      </w:pPr>
      <w:r>
        <w:rPr>
          <w:rFonts w:hint="eastAsia" w:ascii="黑体" w:hAnsi="黑体" w:eastAsia="黑体" w:cs="黑体"/>
        </w:rPr>
        <w:t>6</w:t>
      </w:r>
      <w:r>
        <w:rPr>
          <w:rFonts w:hint="eastAsia" w:asciiTheme="minorEastAsia" w:hAnsiTheme="minorEastAsia" w:cstheme="minorEastAsia"/>
          <w:color w:val="000000" w:themeColor="text1"/>
          <w14:textFill>
            <w14:solidFill>
              <w14:schemeClr w14:val="tx1"/>
            </w14:solidFill>
          </w14:textFill>
        </w:rPr>
        <w:t xml:space="preserve">  闸门现场运行试验符合设计文件和SL 635的规定。</w:t>
      </w:r>
    </w:p>
    <w:p>
      <w:pPr>
        <w:pStyle w:val="3"/>
        <w:snapToGrid w:val="0"/>
        <w:spacing w:beforeLines="50" w:afterLines="50" w:line="360" w:lineRule="auto"/>
        <w:jc w:val="center"/>
        <w:rPr>
          <w:rFonts w:ascii="黑体" w:hAnsi="黑体" w:cs="黑体"/>
          <w:sz w:val="24"/>
          <w:szCs w:val="24"/>
        </w:rPr>
      </w:pPr>
      <w:bookmarkStart w:id="107" w:name="_Toc177635364"/>
      <w:bookmarkStart w:id="108" w:name="_Toc2051"/>
      <w:bookmarkStart w:id="109" w:name="_Toc177635362"/>
      <w:r>
        <w:rPr>
          <w:rFonts w:ascii="黑体" w:hAnsi="黑体" w:cs="黑体"/>
          <w:sz w:val="24"/>
          <w:szCs w:val="24"/>
        </w:rPr>
        <w:t>7.3  压力钢管</w:t>
      </w:r>
      <w:bookmarkEnd w:id="107"/>
      <w:bookmarkEnd w:id="108"/>
    </w:p>
    <w:p>
      <w:pPr>
        <w:spacing w:line="360" w:lineRule="auto"/>
        <w:rPr>
          <w:rFonts w:hint="eastAsia" w:asciiTheme="minorEastAsia" w:hAnsiTheme="minorEastAsia" w:cstheme="minorEastAsia"/>
        </w:rPr>
      </w:pPr>
      <w:r>
        <w:rPr>
          <w:rFonts w:hint="eastAsia" w:ascii="黑体" w:hAnsi="黑体" w:eastAsia="黑体" w:cs="黑体"/>
        </w:rPr>
        <w:t xml:space="preserve">7.3.1 </w:t>
      </w:r>
      <w:r>
        <w:rPr>
          <w:rFonts w:hint="eastAsia" w:asciiTheme="minorEastAsia" w:hAnsiTheme="minorEastAsia" w:cstheme="minorEastAsia"/>
        </w:rPr>
        <w:t xml:space="preserve"> 压力钢管检测项目宜包括下列内容：</w:t>
      </w:r>
    </w:p>
    <w:p>
      <w:pPr>
        <w:spacing w:line="360" w:lineRule="auto"/>
        <w:ind w:firstLine="420" w:firstLineChars="200"/>
      </w:pPr>
      <w:r>
        <w:rPr>
          <w:rFonts w:hint="eastAsia" w:ascii="黑体" w:hAnsi="黑体" w:eastAsia="黑体" w:cs="黑体"/>
        </w:rPr>
        <w:t xml:space="preserve">1  </w:t>
      </w:r>
      <w:r>
        <w:rPr>
          <w:rFonts w:hint="eastAsia" w:cs="黑体" w:asciiTheme="minorEastAsia" w:hAnsiTheme="minorEastAsia"/>
        </w:rPr>
        <w:t>压力钢管</w:t>
      </w:r>
      <w:r>
        <w:rPr>
          <w:rFonts w:hint="eastAsia" w:asciiTheme="minorEastAsia" w:hAnsiTheme="minorEastAsia" w:cstheme="minorEastAsia"/>
        </w:rPr>
        <w:t>制造质量检测项目包括</w:t>
      </w:r>
      <w:r>
        <w:rPr>
          <w:rFonts w:hint="eastAsia"/>
        </w:rPr>
        <w:t>钢板质量、焊接质量、几何尺寸、防腐蚀质量检测等。</w:t>
      </w:r>
    </w:p>
    <w:p>
      <w:pPr>
        <w:spacing w:line="360" w:lineRule="auto"/>
        <w:ind w:firstLine="420" w:firstLineChars="200"/>
      </w:pPr>
      <w:r>
        <w:rPr>
          <w:rFonts w:hint="eastAsia" w:ascii="黑体" w:hAnsi="黑体" w:eastAsia="黑体" w:cs="黑体"/>
        </w:rPr>
        <w:t xml:space="preserve">2  </w:t>
      </w:r>
      <w:r>
        <w:rPr>
          <w:rFonts w:hint="eastAsia" w:cs="黑体" w:asciiTheme="minorEastAsia" w:hAnsiTheme="minorEastAsia"/>
        </w:rPr>
        <w:t>压力钢管安装</w:t>
      </w:r>
      <w:r>
        <w:rPr>
          <w:rFonts w:hint="eastAsia" w:asciiTheme="minorEastAsia" w:hAnsiTheme="minorEastAsia" w:cstheme="minorEastAsia"/>
        </w:rPr>
        <w:t>质量检测项目包括</w:t>
      </w:r>
      <w:r>
        <w:rPr>
          <w:rFonts w:hint="eastAsia"/>
        </w:rPr>
        <w:t>安装位置与尺寸、焊接质量、防腐蚀质量、水压试验等。</w:t>
      </w:r>
    </w:p>
    <w:p>
      <w:pPr>
        <w:spacing w:line="360" w:lineRule="auto"/>
        <w:rPr>
          <w:rFonts w:hint="eastAsia" w:asciiTheme="minorEastAsia" w:hAnsiTheme="minorEastAsia" w:cstheme="minorEastAsia"/>
        </w:rPr>
      </w:pPr>
      <w:r>
        <w:rPr>
          <w:rFonts w:hint="eastAsia" w:ascii="黑体" w:hAnsi="黑体" w:eastAsia="黑体" w:cs="黑体"/>
        </w:rPr>
        <w:t>7.3.2</w:t>
      </w:r>
      <w:r>
        <w:rPr>
          <w:rFonts w:hint="eastAsia" w:asciiTheme="minorEastAsia" w:hAnsiTheme="minorEastAsia" w:cstheme="minorEastAsia"/>
        </w:rPr>
        <w:t xml:space="preserve">  压力钢管检测单元按下列要求划分：</w:t>
      </w:r>
    </w:p>
    <w:p>
      <w:pPr>
        <w:spacing w:line="360" w:lineRule="auto"/>
        <w:ind w:firstLine="420" w:firstLineChars="200"/>
        <w:rPr>
          <w:rFonts w:hint="eastAsia" w:cs="黑体" w:asciiTheme="minorEastAsia" w:hAnsiTheme="minorEastAsia"/>
        </w:rPr>
      </w:pPr>
      <w:r>
        <w:rPr>
          <w:rFonts w:hint="eastAsia" w:ascii="黑体" w:hAnsi="黑体" w:eastAsia="黑体" w:cs="黑体"/>
        </w:rPr>
        <w:t>1</w:t>
      </w:r>
      <w:r>
        <w:rPr>
          <w:rFonts w:hint="eastAsia" w:cs="黑体" w:asciiTheme="minorEastAsia" w:hAnsiTheme="minorEastAsia"/>
        </w:rPr>
        <w:t xml:space="preserve">  一个压力钢管段或一个岔管或一个伸缩节在制造阶段作为1个检测单元。</w:t>
      </w:r>
    </w:p>
    <w:p>
      <w:pPr>
        <w:spacing w:line="360" w:lineRule="auto"/>
        <w:ind w:firstLine="420" w:firstLineChars="200"/>
        <w:rPr>
          <w:rFonts w:hint="eastAsia" w:cs="黑体" w:asciiTheme="minorEastAsia" w:hAnsiTheme="minorEastAsia"/>
        </w:rPr>
      </w:pPr>
      <w:r>
        <w:rPr>
          <w:rFonts w:hint="eastAsia" w:ascii="黑体" w:hAnsi="黑体" w:eastAsia="黑体" w:cstheme="minorEastAsia"/>
        </w:rPr>
        <w:t xml:space="preserve">2 </w:t>
      </w:r>
      <w:r>
        <w:rPr>
          <w:rFonts w:hint="eastAsia" w:cs="黑体" w:asciiTheme="minorEastAsia" w:hAnsiTheme="minorEastAsia"/>
        </w:rPr>
        <w:t xml:space="preserve"> 一个安装单元或一个混凝土浇筑段或一个钢管段的钢管安装作为1个检测单元。</w:t>
      </w:r>
    </w:p>
    <w:p>
      <w:pPr>
        <w:spacing w:line="360" w:lineRule="auto"/>
        <w:rPr>
          <w:rFonts w:hint="eastAsia" w:asciiTheme="minorEastAsia" w:hAnsiTheme="minorEastAsia" w:cstheme="minorEastAsia"/>
        </w:rPr>
      </w:pPr>
      <w:r>
        <w:rPr>
          <w:rFonts w:hint="eastAsia" w:ascii="黑体" w:hAnsi="黑体" w:eastAsia="黑体" w:cs="黑体"/>
        </w:rPr>
        <w:t xml:space="preserve">7.3.3  </w:t>
      </w:r>
      <w:r>
        <w:rPr>
          <w:rFonts w:hint="eastAsia" w:asciiTheme="minorEastAsia" w:hAnsiTheme="minorEastAsia" w:cstheme="minorEastAsia"/>
        </w:rPr>
        <w:t>压力钢管各检测项目的</w:t>
      </w:r>
      <w:r>
        <w:rPr>
          <w:rFonts w:asciiTheme="minorEastAsia" w:hAnsiTheme="minorEastAsia" w:cstheme="minorEastAsia"/>
        </w:rPr>
        <w:t>检测方法应符合</w:t>
      </w:r>
      <w:r>
        <w:rPr>
          <w:rFonts w:hint="eastAsia" w:asciiTheme="minorEastAsia" w:hAnsiTheme="minorEastAsia" w:cstheme="minorEastAsia"/>
        </w:rPr>
        <w:t>下列</w:t>
      </w:r>
      <w:r>
        <w:rPr>
          <w:rFonts w:asciiTheme="minorEastAsia" w:hAnsiTheme="minorEastAsia" w:cstheme="minorEastAsia"/>
        </w:rPr>
        <w:t>要求</w:t>
      </w:r>
      <w:r>
        <w:rPr>
          <w:rFonts w:hint="eastAsia" w:asciiTheme="minorEastAsia" w:hAnsiTheme="minorEastAsia" w:cstheme="minorEastAsia"/>
        </w:rPr>
        <w:t>：</w:t>
      </w:r>
    </w:p>
    <w:p>
      <w:pPr>
        <w:spacing w:line="360" w:lineRule="auto"/>
        <w:ind w:firstLine="420" w:firstLineChars="200"/>
        <w:rPr>
          <w:rFonts w:hint="eastAsia" w:asciiTheme="minorEastAsia" w:hAnsiTheme="minorEastAsia" w:cstheme="minorEastAsia"/>
          <w:color w:val="388600"/>
          <w:szCs w:val="21"/>
        </w:rPr>
      </w:pPr>
      <w:r>
        <w:rPr>
          <w:rFonts w:hint="eastAsia" w:ascii="黑体" w:hAnsi="黑体" w:eastAsia="黑体" w:cs="黑体"/>
        </w:rPr>
        <w:t xml:space="preserve">1  </w:t>
      </w:r>
      <w:r>
        <w:rPr>
          <w:rFonts w:hint="eastAsia" w:asciiTheme="minorEastAsia" w:hAnsiTheme="minorEastAsia" w:cstheme="minorEastAsia"/>
        </w:rPr>
        <w:t>水压试验：采用在试验管段装设压力表分级加压来进行试验，</w:t>
      </w:r>
      <w:r>
        <w:rPr>
          <w:rFonts w:hint="eastAsia" w:asciiTheme="minorEastAsia" w:hAnsiTheme="minorEastAsia" w:cstheme="minorEastAsia"/>
          <w:szCs w:val="21"/>
        </w:rPr>
        <w:t>通过应力、变形及声发射监测等手段监控水压试验安全。</w:t>
      </w:r>
    </w:p>
    <w:p>
      <w:pPr>
        <w:spacing w:line="360" w:lineRule="auto"/>
        <w:ind w:firstLine="420" w:firstLineChars="200"/>
        <w:rPr>
          <w:rFonts w:hint="eastAsia" w:asciiTheme="minorEastAsia" w:hAnsiTheme="minorEastAsia" w:cstheme="minorEastAsia"/>
        </w:rPr>
      </w:pPr>
      <w:r>
        <w:rPr>
          <w:rFonts w:hint="eastAsia" w:ascii="黑体" w:hAnsi="黑体" w:eastAsia="黑体" w:cs="黑体"/>
        </w:rPr>
        <w:t xml:space="preserve">2  </w:t>
      </w:r>
      <w:r>
        <w:rPr>
          <w:rFonts w:hint="eastAsia" w:asciiTheme="minorEastAsia" w:hAnsiTheme="minorEastAsia" w:cstheme="minorEastAsia"/>
        </w:rPr>
        <w:t>其他检测项目：可按7.1条的有关检测方法要求执行。</w:t>
      </w:r>
    </w:p>
    <w:p>
      <w:pPr>
        <w:spacing w:line="360" w:lineRule="auto"/>
        <w:rPr>
          <w:rFonts w:hint="eastAsia" w:asciiTheme="minorEastAsia" w:hAnsiTheme="minorEastAsia" w:cstheme="minorEastAsia"/>
        </w:rPr>
      </w:pPr>
      <w:r>
        <w:rPr>
          <w:rFonts w:hint="eastAsia" w:ascii="黑体" w:hAnsi="黑体" w:eastAsia="黑体" w:cs="黑体"/>
        </w:rPr>
        <w:t xml:space="preserve">7.3.4  </w:t>
      </w:r>
      <w:r>
        <w:rPr>
          <w:rFonts w:hint="eastAsia" w:ascii="宋体" w:hAnsi="宋体" w:eastAsia="宋体" w:cs="黑体"/>
        </w:rPr>
        <w:t>压力钢管各检测项目的</w:t>
      </w:r>
      <w:r>
        <w:rPr>
          <w:rFonts w:hint="eastAsia" w:asciiTheme="minorEastAsia" w:hAnsiTheme="minorEastAsia" w:cstheme="minorEastAsia"/>
        </w:rPr>
        <w:t>检测（抽检）数量应符合下列要求：</w:t>
      </w:r>
    </w:p>
    <w:p>
      <w:pPr>
        <w:pStyle w:val="6"/>
        <w:spacing w:line="360" w:lineRule="auto"/>
        <w:ind w:firstLine="420" w:firstLineChars="200"/>
        <w:rPr>
          <w:rFonts w:hint="eastAsia" w:ascii="宋体" w:hAnsi="宋体" w:eastAsia="宋体" w:cs="黑体"/>
          <w:sz w:val="21"/>
          <w:szCs w:val="22"/>
        </w:rPr>
      </w:pPr>
      <w:r>
        <w:rPr>
          <w:rFonts w:hint="eastAsia" w:ascii="黑体" w:hAnsi="黑体" w:eastAsia="黑体" w:cs="黑体"/>
          <w:sz w:val="21"/>
          <w:szCs w:val="22"/>
        </w:rPr>
        <w:t>1</w:t>
      </w:r>
      <w:r>
        <w:rPr>
          <w:rFonts w:hint="eastAsia" w:ascii="黑体" w:hAnsi="黑体" w:eastAsia="黑体"/>
        </w:rPr>
        <w:t xml:space="preserve"> </w:t>
      </w:r>
      <w:r>
        <w:rPr>
          <w:rFonts w:hint="eastAsia"/>
        </w:rPr>
        <w:t xml:space="preserve"> </w:t>
      </w:r>
      <w:r>
        <w:rPr>
          <w:rFonts w:hint="eastAsia" w:ascii="宋体" w:hAnsi="宋体" w:eastAsia="宋体" w:cs="黑体"/>
          <w:sz w:val="21"/>
          <w:szCs w:val="22"/>
        </w:rPr>
        <w:t>对钢板厚度和表面质量进行检测，每种规格至少抽检10%的钢板。高强钢板、板厚大于60 mm的钢板和钢岔管、弯管、厂房明管用钢板应进行内部质量超声检测。钢板标号不清或对材质有疑问时，应复验钢板化学成分和力学性能。</w:t>
      </w:r>
    </w:p>
    <w:p>
      <w:pPr>
        <w:pStyle w:val="6"/>
        <w:spacing w:line="360" w:lineRule="auto"/>
        <w:ind w:firstLine="420" w:firstLineChars="200"/>
        <w:rPr>
          <w:rFonts w:hint="eastAsia" w:ascii="宋体" w:hAnsi="宋体" w:eastAsia="宋体" w:cs="黑体"/>
          <w:sz w:val="21"/>
          <w:szCs w:val="22"/>
        </w:rPr>
      </w:pPr>
      <w:r>
        <w:rPr>
          <w:rFonts w:hint="eastAsia" w:ascii="黑体" w:hAnsi="黑体" w:eastAsia="黑体" w:cs="黑体"/>
          <w:sz w:val="21"/>
          <w:szCs w:val="22"/>
        </w:rPr>
        <w:t xml:space="preserve">2 </w:t>
      </w:r>
      <w:r>
        <w:rPr>
          <w:rFonts w:hint="eastAsia"/>
        </w:rPr>
        <w:t xml:space="preserve"> </w:t>
      </w:r>
      <w:r>
        <w:rPr>
          <w:rFonts w:hint="eastAsia" w:ascii="宋体" w:hAnsi="宋体" w:eastAsia="宋体" w:cs="黑体"/>
          <w:sz w:val="21"/>
          <w:szCs w:val="22"/>
        </w:rPr>
        <w:t>焊缝外观应进行100%的目视检查；焊缝内部无损检测比例按照SL/T 432规定执行。</w:t>
      </w:r>
    </w:p>
    <w:p>
      <w:pPr>
        <w:pStyle w:val="6"/>
        <w:spacing w:line="360" w:lineRule="auto"/>
        <w:ind w:firstLine="420" w:firstLineChars="200"/>
        <w:rPr>
          <w:rFonts w:hint="eastAsia" w:ascii="宋体" w:hAnsi="宋体" w:eastAsia="宋体" w:cs="黑体"/>
          <w:sz w:val="21"/>
          <w:szCs w:val="22"/>
        </w:rPr>
      </w:pPr>
      <w:r>
        <w:rPr>
          <w:rFonts w:hint="eastAsia" w:ascii="黑体" w:hAnsi="黑体" w:eastAsia="黑体" w:cs="黑体"/>
          <w:sz w:val="21"/>
          <w:szCs w:val="22"/>
        </w:rPr>
        <w:t xml:space="preserve">3 </w:t>
      </w:r>
      <w:r>
        <w:rPr>
          <w:rFonts w:hint="eastAsia"/>
        </w:rPr>
        <w:t xml:space="preserve"> </w:t>
      </w:r>
      <w:r>
        <w:rPr>
          <w:rFonts w:hint="eastAsia" w:ascii="宋体" w:hAnsi="宋体" w:eastAsia="宋体" w:cs="黑体"/>
          <w:sz w:val="21"/>
          <w:szCs w:val="22"/>
        </w:rPr>
        <w:t>压力钢管制造几何尺寸应逐节进行检测。</w:t>
      </w:r>
    </w:p>
    <w:p>
      <w:pPr>
        <w:pStyle w:val="6"/>
        <w:spacing w:line="360" w:lineRule="auto"/>
        <w:ind w:firstLine="420" w:firstLineChars="200"/>
        <w:rPr>
          <w:rFonts w:hint="eastAsia" w:ascii="宋体" w:hAnsi="宋体" w:eastAsia="宋体" w:cs="黑体"/>
          <w:sz w:val="21"/>
          <w:szCs w:val="22"/>
        </w:rPr>
      </w:pPr>
      <w:r>
        <w:rPr>
          <w:rFonts w:hint="eastAsia" w:ascii="黑体" w:hAnsi="黑体" w:eastAsia="黑体" w:cs="黑体"/>
          <w:sz w:val="21"/>
          <w:szCs w:val="22"/>
        </w:rPr>
        <w:t>4</w:t>
      </w:r>
      <w:r>
        <w:rPr>
          <w:rFonts w:hint="eastAsia" w:ascii="黑体" w:hAnsi="黑体" w:eastAsia="黑体"/>
        </w:rPr>
        <w:t xml:space="preserve"> </w:t>
      </w:r>
      <w:r>
        <w:rPr>
          <w:rFonts w:hint="eastAsia"/>
        </w:rPr>
        <w:t xml:space="preserve"> </w:t>
      </w:r>
      <w:r>
        <w:rPr>
          <w:rFonts w:hint="eastAsia" w:ascii="宋体" w:hAnsi="宋体" w:eastAsia="宋体" w:cs="黑体"/>
          <w:sz w:val="21"/>
          <w:szCs w:val="22"/>
        </w:rPr>
        <w:t>防腐蚀质量检测的数量按照SL/T 105的规定执行。</w:t>
      </w:r>
    </w:p>
    <w:p>
      <w:pPr>
        <w:pStyle w:val="6"/>
        <w:spacing w:line="360" w:lineRule="auto"/>
        <w:ind w:firstLine="420" w:firstLineChars="200"/>
        <w:rPr>
          <w:rFonts w:hint="eastAsia" w:ascii="宋体" w:hAnsi="宋体" w:eastAsia="宋体" w:cs="黑体"/>
          <w:sz w:val="21"/>
          <w:szCs w:val="22"/>
        </w:rPr>
      </w:pPr>
      <w:r>
        <w:rPr>
          <w:rFonts w:hint="eastAsia" w:ascii="黑体" w:hAnsi="黑体" w:eastAsia="黑体" w:cs="黑体"/>
          <w:sz w:val="21"/>
          <w:szCs w:val="22"/>
        </w:rPr>
        <w:t>5</w:t>
      </w:r>
      <w:r>
        <w:rPr>
          <w:rFonts w:hint="eastAsia"/>
        </w:rPr>
        <w:t xml:space="preserve">  </w:t>
      </w:r>
      <w:r>
        <w:rPr>
          <w:rFonts w:hint="eastAsia" w:ascii="宋体" w:hAnsi="宋体" w:eastAsia="宋体" w:cs="黑体"/>
          <w:sz w:val="21"/>
          <w:szCs w:val="22"/>
        </w:rPr>
        <w:t>压力钢管安装位置与尺寸应逐段进行检测。</w:t>
      </w:r>
    </w:p>
    <w:p>
      <w:pPr>
        <w:pStyle w:val="6"/>
        <w:spacing w:line="360" w:lineRule="auto"/>
        <w:ind w:firstLine="420" w:firstLineChars="200"/>
        <w:rPr>
          <w:rFonts w:hint="eastAsia" w:ascii="宋体" w:hAnsi="宋体" w:eastAsia="宋体" w:cs="黑体"/>
          <w:sz w:val="21"/>
          <w:szCs w:val="22"/>
        </w:rPr>
      </w:pPr>
      <w:r>
        <w:rPr>
          <w:rFonts w:hint="eastAsia" w:ascii="黑体" w:hAnsi="黑体" w:eastAsia="黑体" w:cs="黑体"/>
          <w:sz w:val="21"/>
          <w:szCs w:val="22"/>
        </w:rPr>
        <w:t xml:space="preserve">6 </w:t>
      </w:r>
      <w:r>
        <w:rPr>
          <w:rFonts w:hint="eastAsia"/>
        </w:rPr>
        <w:t xml:space="preserve"> </w:t>
      </w:r>
      <w:r>
        <w:rPr>
          <w:rFonts w:hint="eastAsia" w:ascii="宋体" w:hAnsi="宋体" w:eastAsia="宋体" w:cs="黑体"/>
          <w:sz w:val="21"/>
          <w:szCs w:val="22"/>
        </w:rPr>
        <w:t>压力钢管水压试验应符合设计文件规定。</w:t>
      </w:r>
    </w:p>
    <w:p>
      <w:pPr>
        <w:spacing w:line="360" w:lineRule="auto"/>
        <w:rPr>
          <w:rFonts w:hint="eastAsia" w:asciiTheme="minorEastAsia" w:hAnsiTheme="minorEastAsia" w:cstheme="minorEastAsia"/>
        </w:rPr>
      </w:pPr>
      <w:r>
        <w:rPr>
          <w:rFonts w:hint="eastAsia" w:ascii="黑体" w:hAnsi="黑体" w:eastAsia="黑体" w:cs="黑体"/>
        </w:rPr>
        <w:t xml:space="preserve">7.3.5  </w:t>
      </w:r>
      <w:r>
        <w:rPr>
          <w:rFonts w:hint="eastAsia" w:asciiTheme="minorEastAsia" w:hAnsiTheme="minorEastAsia" w:cstheme="minorEastAsia"/>
        </w:rPr>
        <w:t>检测项目满足下列要求的，质量检测结果评价为合格：</w:t>
      </w:r>
    </w:p>
    <w:p>
      <w:pPr>
        <w:pStyle w:val="6"/>
        <w:spacing w:line="360" w:lineRule="auto"/>
        <w:ind w:firstLine="420" w:firstLineChars="200"/>
        <w:rPr>
          <w:rFonts w:hint="eastAsia" w:ascii="宋体" w:hAnsi="宋体" w:eastAsia="宋体" w:cs="黑体"/>
          <w:sz w:val="21"/>
          <w:szCs w:val="22"/>
        </w:rPr>
      </w:pPr>
      <w:r>
        <w:rPr>
          <w:rFonts w:hint="eastAsia" w:ascii="黑体" w:hAnsi="黑体" w:eastAsia="黑体" w:cs="黑体"/>
          <w:sz w:val="21"/>
          <w:szCs w:val="22"/>
        </w:rPr>
        <w:t>1</w:t>
      </w:r>
      <w:r>
        <w:rPr>
          <w:rFonts w:hint="eastAsia" w:ascii="黑体" w:hAnsi="黑体" w:eastAsia="黑体"/>
        </w:rPr>
        <w:t xml:space="preserve"> </w:t>
      </w:r>
      <w:r>
        <w:rPr>
          <w:rFonts w:hint="eastAsia"/>
        </w:rPr>
        <w:t xml:space="preserve"> </w:t>
      </w:r>
      <w:r>
        <w:rPr>
          <w:rFonts w:hint="eastAsia" w:ascii="宋体" w:hAnsi="宋体" w:eastAsia="宋体" w:cs="黑体"/>
          <w:sz w:val="21"/>
          <w:szCs w:val="22"/>
        </w:rPr>
        <w:t>钢板厚度符合设计文件和</w:t>
      </w:r>
      <w:r>
        <w:rPr>
          <w:rFonts w:hint="eastAsia" w:asciiTheme="minorEastAsia" w:hAnsiTheme="minorEastAsia" w:eastAsiaTheme="minorEastAsia" w:cstheme="minorEastAsia"/>
          <w:sz w:val="21"/>
          <w:szCs w:val="22"/>
        </w:rPr>
        <w:t>热轧钢板国家标准</w:t>
      </w:r>
      <w:r>
        <w:rPr>
          <w:rFonts w:hint="eastAsia" w:ascii="宋体" w:hAnsi="宋体" w:eastAsia="宋体" w:cs="黑体"/>
          <w:sz w:val="21"/>
          <w:szCs w:val="22"/>
        </w:rPr>
        <w:t>的规定。</w:t>
      </w:r>
    </w:p>
    <w:p>
      <w:pPr>
        <w:pStyle w:val="6"/>
        <w:spacing w:line="360" w:lineRule="auto"/>
        <w:ind w:firstLine="420" w:firstLineChars="200"/>
        <w:rPr>
          <w:rFonts w:hint="eastAsia" w:ascii="宋体" w:hAnsi="宋体" w:eastAsia="宋体" w:cs="黑体"/>
          <w:sz w:val="21"/>
          <w:szCs w:val="22"/>
        </w:rPr>
      </w:pPr>
      <w:r>
        <w:rPr>
          <w:rFonts w:hint="eastAsia" w:ascii="黑体" w:hAnsi="黑体" w:eastAsia="黑体" w:cs="黑体"/>
          <w:sz w:val="21"/>
          <w:szCs w:val="22"/>
        </w:rPr>
        <w:t>2</w:t>
      </w:r>
      <w:r>
        <w:rPr>
          <w:rFonts w:hint="eastAsia"/>
        </w:rPr>
        <w:t xml:space="preserve">  </w:t>
      </w:r>
      <w:r>
        <w:rPr>
          <w:rFonts w:hint="eastAsia" w:ascii="宋体" w:hAnsi="宋体" w:eastAsia="宋体" w:cs="黑体"/>
          <w:sz w:val="21"/>
          <w:szCs w:val="22"/>
        </w:rPr>
        <w:t>钢板表面质量符合</w:t>
      </w:r>
      <w:bookmarkStart w:id="110" w:name="_Hlk177573137"/>
      <w:r>
        <w:rPr>
          <w:rFonts w:hint="eastAsia" w:ascii="宋体" w:hAnsi="宋体" w:eastAsia="宋体" w:cs="黑体"/>
          <w:sz w:val="21"/>
          <w:szCs w:val="22"/>
        </w:rPr>
        <w:t>GB/T 14977</w:t>
      </w:r>
      <w:bookmarkEnd w:id="110"/>
      <w:r>
        <w:rPr>
          <w:rFonts w:hint="eastAsia" w:ascii="宋体" w:hAnsi="宋体" w:eastAsia="宋体" w:cs="黑体"/>
          <w:sz w:val="21"/>
          <w:szCs w:val="22"/>
        </w:rPr>
        <w:t>的规定。</w:t>
      </w:r>
    </w:p>
    <w:p>
      <w:pPr>
        <w:pStyle w:val="6"/>
        <w:spacing w:line="360" w:lineRule="auto"/>
        <w:ind w:firstLine="420" w:firstLineChars="200"/>
        <w:rPr>
          <w:rFonts w:hint="eastAsia" w:ascii="宋体" w:hAnsi="宋体" w:eastAsia="宋体" w:cs="黑体"/>
          <w:sz w:val="21"/>
          <w:szCs w:val="22"/>
        </w:rPr>
      </w:pPr>
      <w:r>
        <w:rPr>
          <w:rFonts w:hint="eastAsia" w:ascii="黑体" w:hAnsi="黑体" w:eastAsia="黑体" w:cs="黑体"/>
          <w:sz w:val="21"/>
          <w:szCs w:val="22"/>
        </w:rPr>
        <w:t>3</w:t>
      </w:r>
      <w:r>
        <w:rPr>
          <w:rFonts w:hint="eastAsia"/>
        </w:rPr>
        <w:t xml:space="preserve">  </w:t>
      </w:r>
      <w:r>
        <w:rPr>
          <w:rFonts w:hint="eastAsia" w:ascii="宋体" w:hAnsi="宋体" w:eastAsia="宋体" w:cs="黑体"/>
          <w:sz w:val="21"/>
          <w:szCs w:val="22"/>
        </w:rPr>
        <w:t>月牙肋岔管的肋梁板内部质量符合GB/T 2970的Ⅰ级，高强钢钢板内部质量不低于GB/T 2970的Ⅱ级，其他钢板内部质量不低于GB/T 2970的Ⅲ级。</w:t>
      </w:r>
    </w:p>
    <w:p>
      <w:pPr>
        <w:pStyle w:val="6"/>
        <w:spacing w:line="360" w:lineRule="auto"/>
        <w:ind w:firstLine="420" w:firstLineChars="200"/>
        <w:rPr>
          <w:rFonts w:hint="eastAsia" w:ascii="宋体" w:hAnsi="宋体" w:eastAsia="宋体" w:cs="黑体"/>
          <w:sz w:val="21"/>
          <w:szCs w:val="22"/>
        </w:rPr>
      </w:pPr>
      <w:r>
        <w:rPr>
          <w:rFonts w:hint="eastAsia" w:ascii="黑体" w:hAnsi="黑体" w:eastAsia="黑体" w:cs="黑体"/>
          <w:sz w:val="21"/>
          <w:szCs w:val="22"/>
        </w:rPr>
        <w:t>4</w:t>
      </w:r>
      <w:r>
        <w:rPr>
          <w:rFonts w:hint="eastAsia"/>
        </w:rPr>
        <w:t xml:space="preserve">  </w:t>
      </w:r>
      <w:r>
        <w:rPr>
          <w:rFonts w:hint="eastAsia" w:ascii="宋体" w:hAnsi="宋体" w:eastAsia="宋体" w:cs="黑体"/>
          <w:sz w:val="21"/>
          <w:szCs w:val="22"/>
        </w:rPr>
        <w:t>焊缝外观和焊缝内部质量符合设计文件和SL/T 432的规定。</w:t>
      </w:r>
    </w:p>
    <w:p>
      <w:pPr>
        <w:pStyle w:val="6"/>
        <w:spacing w:line="360" w:lineRule="auto"/>
        <w:ind w:firstLine="420" w:firstLineChars="200"/>
        <w:rPr>
          <w:rFonts w:hint="eastAsia" w:ascii="宋体" w:hAnsi="宋体" w:eastAsia="宋体" w:cs="黑体"/>
          <w:sz w:val="21"/>
          <w:szCs w:val="22"/>
        </w:rPr>
      </w:pPr>
      <w:r>
        <w:rPr>
          <w:rFonts w:hint="eastAsia" w:ascii="黑体" w:hAnsi="黑体" w:eastAsia="黑体" w:cs="黑体"/>
          <w:sz w:val="21"/>
          <w:szCs w:val="22"/>
        </w:rPr>
        <w:t>5</w:t>
      </w:r>
      <w:r>
        <w:rPr>
          <w:rFonts w:hint="eastAsia"/>
        </w:rPr>
        <w:t xml:space="preserve">  </w:t>
      </w:r>
      <w:r>
        <w:rPr>
          <w:rFonts w:hint="eastAsia" w:ascii="宋体" w:hAnsi="宋体" w:eastAsia="宋体" w:cs="黑体"/>
          <w:sz w:val="21"/>
          <w:szCs w:val="22"/>
        </w:rPr>
        <w:t>压力钢管制造几何尺寸符合设计文件和SL/T 432的规定。</w:t>
      </w:r>
    </w:p>
    <w:p>
      <w:pPr>
        <w:pStyle w:val="6"/>
        <w:spacing w:line="360" w:lineRule="auto"/>
        <w:ind w:firstLine="420" w:firstLineChars="200"/>
        <w:rPr>
          <w:rFonts w:hint="eastAsia" w:ascii="宋体" w:hAnsi="宋体" w:eastAsia="宋体" w:cs="黑体"/>
          <w:sz w:val="21"/>
          <w:szCs w:val="22"/>
        </w:rPr>
      </w:pPr>
      <w:r>
        <w:rPr>
          <w:rFonts w:hint="eastAsia" w:ascii="黑体" w:hAnsi="黑体" w:eastAsia="黑体" w:cs="黑体"/>
          <w:sz w:val="21"/>
          <w:szCs w:val="22"/>
        </w:rPr>
        <w:t>6</w:t>
      </w:r>
      <w:r>
        <w:rPr>
          <w:rFonts w:hint="eastAsia"/>
        </w:rPr>
        <w:t xml:space="preserve">  </w:t>
      </w:r>
      <w:r>
        <w:rPr>
          <w:rFonts w:hint="eastAsia" w:ascii="宋体" w:hAnsi="宋体" w:eastAsia="宋体" w:cs="黑体"/>
          <w:sz w:val="21"/>
          <w:szCs w:val="22"/>
        </w:rPr>
        <w:t>防腐蚀质量符合设计文件和SL/T 105的规定。</w:t>
      </w:r>
    </w:p>
    <w:p>
      <w:pPr>
        <w:pStyle w:val="6"/>
        <w:spacing w:line="360" w:lineRule="auto"/>
        <w:ind w:firstLine="420" w:firstLineChars="200"/>
        <w:rPr>
          <w:rFonts w:hint="eastAsia" w:ascii="宋体" w:hAnsi="宋体" w:eastAsia="宋体" w:cs="黑体"/>
          <w:sz w:val="21"/>
          <w:szCs w:val="22"/>
        </w:rPr>
      </w:pPr>
      <w:r>
        <w:rPr>
          <w:rFonts w:hint="eastAsia" w:ascii="黑体" w:hAnsi="黑体" w:eastAsia="黑体" w:cs="黑体"/>
          <w:sz w:val="21"/>
          <w:szCs w:val="22"/>
        </w:rPr>
        <w:t>7</w:t>
      </w:r>
      <w:r>
        <w:rPr>
          <w:rFonts w:hint="eastAsia" w:ascii="黑体" w:hAnsi="黑体" w:eastAsia="黑体"/>
        </w:rPr>
        <w:t xml:space="preserve"> </w:t>
      </w:r>
      <w:r>
        <w:rPr>
          <w:rFonts w:hint="eastAsia"/>
        </w:rPr>
        <w:t xml:space="preserve"> </w:t>
      </w:r>
      <w:r>
        <w:rPr>
          <w:rFonts w:hint="eastAsia" w:ascii="宋体" w:hAnsi="宋体" w:eastAsia="宋体" w:cs="黑体"/>
          <w:sz w:val="21"/>
          <w:szCs w:val="22"/>
        </w:rPr>
        <w:t>压力钢管安装位置与尺寸符合设计文件和SL 635的规定。</w:t>
      </w:r>
    </w:p>
    <w:p>
      <w:pPr>
        <w:pStyle w:val="6"/>
        <w:spacing w:line="360" w:lineRule="auto"/>
        <w:ind w:firstLine="420" w:firstLineChars="200"/>
        <w:rPr>
          <w:rFonts w:hint="eastAsia" w:ascii="宋体" w:hAnsi="宋体" w:eastAsia="宋体" w:cs="黑体"/>
          <w:sz w:val="21"/>
          <w:szCs w:val="22"/>
        </w:rPr>
      </w:pPr>
      <w:r>
        <w:rPr>
          <w:rFonts w:hint="eastAsia" w:ascii="黑体" w:hAnsi="黑体" w:eastAsia="黑体" w:cs="黑体"/>
          <w:sz w:val="21"/>
          <w:szCs w:val="22"/>
        </w:rPr>
        <w:t>8</w:t>
      </w:r>
      <w:r>
        <w:rPr>
          <w:rFonts w:hint="eastAsia" w:ascii="黑体" w:hAnsi="黑体" w:eastAsia="黑体"/>
        </w:rPr>
        <w:t xml:space="preserve"> </w:t>
      </w:r>
      <w:r>
        <w:rPr>
          <w:rFonts w:hint="eastAsia"/>
        </w:rPr>
        <w:t xml:space="preserve"> </w:t>
      </w:r>
      <w:r>
        <w:rPr>
          <w:rFonts w:hint="eastAsia" w:ascii="宋体" w:hAnsi="宋体" w:eastAsia="宋体" w:cs="黑体"/>
          <w:sz w:val="21"/>
          <w:szCs w:val="22"/>
        </w:rPr>
        <w:t>压力钢管水压试验符合设计文件和SL/T 432的规定。</w:t>
      </w:r>
    </w:p>
    <w:p>
      <w:pPr>
        <w:pStyle w:val="3"/>
        <w:snapToGrid w:val="0"/>
        <w:spacing w:beforeLines="50" w:afterLines="50" w:line="360" w:lineRule="auto"/>
        <w:jc w:val="center"/>
        <w:rPr>
          <w:rFonts w:ascii="黑体" w:hAnsi="黑体" w:cs="黑体"/>
          <w:sz w:val="24"/>
          <w:szCs w:val="24"/>
        </w:rPr>
      </w:pPr>
      <w:bookmarkStart w:id="111" w:name="_Toc29014"/>
      <w:r>
        <w:rPr>
          <w:rFonts w:ascii="黑体" w:hAnsi="黑体" w:cs="黑体"/>
          <w:sz w:val="24"/>
          <w:szCs w:val="24"/>
        </w:rPr>
        <w:t>7.4  启 闭 机</w:t>
      </w:r>
      <w:bookmarkEnd w:id="109"/>
      <w:bookmarkEnd w:id="111"/>
    </w:p>
    <w:p>
      <w:pPr>
        <w:spacing w:line="360" w:lineRule="auto"/>
        <w:rPr>
          <w:rFonts w:hint="eastAsia" w:asciiTheme="minorEastAsia" w:hAnsiTheme="minorEastAsia" w:cstheme="minorEastAsia"/>
        </w:rPr>
      </w:pPr>
      <w:r>
        <w:rPr>
          <w:rFonts w:hint="eastAsia" w:ascii="黑体" w:hAnsi="黑体" w:eastAsia="黑体" w:cs="黑体"/>
        </w:rPr>
        <w:t xml:space="preserve">7.4.1 </w:t>
      </w:r>
      <w:r>
        <w:rPr>
          <w:rFonts w:hint="eastAsia" w:asciiTheme="minorEastAsia" w:hAnsiTheme="minorEastAsia" w:cstheme="minorEastAsia"/>
        </w:rPr>
        <w:t xml:space="preserve"> 启闭机检测项目宜包括下列内容：</w:t>
      </w:r>
    </w:p>
    <w:p>
      <w:pPr>
        <w:spacing w:line="360" w:lineRule="auto"/>
        <w:ind w:firstLine="420" w:firstLineChars="200"/>
      </w:pPr>
      <w:r>
        <w:rPr>
          <w:rFonts w:hint="eastAsia" w:ascii="黑体" w:hAnsi="黑体" w:eastAsia="黑体" w:cs="黑体"/>
        </w:rPr>
        <w:t xml:space="preserve">1  </w:t>
      </w:r>
      <w:r>
        <w:rPr>
          <w:rFonts w:hint="eastAsia" w:cs="黑体" w:asciiTheme="minorEastAsia" w:hAnsiTheme="minorEastAsia"/>
        </w:rPr>
        <w:t>螺杆式启闭机制造</w:t>
      </w:r>
      <w:r>
        <w:rPr>
          <w:rFonts w:hint="eastAsia" w:asciiTheme="minorEastAsia" w:hAnsiTheme="minorEastAsia" w:cstheme="minorEastAsia"/>
        </w:rPr>
        <w:t>质量检测项目包括螺杆、螺母、蜗轮、蜗杆、机箱、机座、电气控制柜（箱）等</w:t>
      </w:r>
      <w:r>
        <w:rPr>
          <w:rFonts w:hint="eastAsia"/>
        </w:rPr>
        <w:t>主要零部件质量和厂内运行试验。</w:t>
      </w:r>
    </w:p>
    <w:p>
      <w:pPr>
        <w:spacing w:line="360" w:lineRule="auto"/>
        <w:ind w:firstLine="420" w:firstLineChars="200"/>
      </w:pPr>
      <w:r>
        <w:rPr>
          <w:rFonts w:hint="eastAsia" w:ascii="黑体" w:hAnsi="黑体" w:eastAsia="黑体" w:cs="黑体"/>
        </w:rPr>
        <w:t>2</w:t>
      </w:r>
      <w:r>
        <w:rPr>
          <w:rFonts w:hint="eastAsia"/>
        </w:rPr>
        <w:t xml:space="preserve">  </w:t>
      </w:r>
      <w:bookmarkStart w:id="112" w:name="_Hlk176968209"/>
      <w:r>
        <w:rPr>
          <w:rFonts w:hint="eastAsia"/>
        </w:rPr>
        <w:t>螺杆式启闭机安装质量检测项目包括安装平台的高程和里程、启闭机安装位置、机座与基础板的间隙和接触面积检测，以及线路绝缘电阻、电动机三相电流不平衡度、限位开关性能、开度指示准确性、荷载控制功能等现场运行试验项目。</w:t>
      </w:r>
      <w:bookmarkEnd w:id="112"/>
    </w:p>
    <w:p>
      <w:pPr>
        <w:spacing w:line="360" w:lineRule="auto"/>
        <w:ind w:firstLine="420" w:firstLineChars="200"/>
      </w:pPr>
      <w:r>
        <w:rPr>
          <w:rFonts w:hint="eastAsia" w:ascii="黑体" w:hAnsi="黑体" w:eastAsia="黑体" w:cs="黑体"/>
        </w:rPr>
        <w:t>3</w:t>
      </w:r>
      <w:r>
        <w:rPr>
          <w:rFonts w:hint="eastAsia"/>
        </w:rPr>
        <w:t xml:space="preserve">  固定卷扬式启闭机制造质量检测项目包括机架、卷筒、开式齿轮、减速器、制动器、电动机、滑轮组、联轴器、钢丝绳和</w:t>
      </w:r>
      <w:r>
        <w:rPr>
          <w:rFonts w:hint="eastAsia" w:asciiTheme="minorEastAsia" w:hAnsiTheme="minorEastAsia" w:cstheme="minorEastAsia"/>
        </w:rPr>
        <w:t>电气控制柜</w:t>
      </w:r>
      <w:r>
        <w:rPr>
          <w:rFonts w:hint="eastAsia"/>
        </w:rPr>
        <w:t>等主要零部件制造及整机组装质量和厂内运行试验等。</w:t>
      </w:r>
    </w:p>
    <w:p>
      <w:pPr>
        <w:spacing w:line="360" w:lineRule="auto"/>
        <w:ind w:firstLine="420" w:firstLineChars="200"/>
      </w:pPr>
      <w:r>
        <w:rPr>
          <w:rFonts w:hint="eastAsia" w:ascii="黑体" w:hAnsi="黑体" w:eastAsia="黑体" w:cs="黑体"/>
        </w:rPr>
        <w:t xml:space="preserve">4 </w:t>
      </w:r>
      <w:r>
        <w:rPr>
          <w:rFonts w:hint="eastAsia"/>
        </w:rPr>
        <w:t xml:space="preserve"> 固定卷扬式启闭机安装质量检测项目包括安装平台的高程和里程、启闭机安装位置、组装质量检测，以及线路绝缘电阻、电动机三相电流不平衡度、限位开关性能、开度指示准确性、荷载控制功能等现场运行试验项目。</w:t>
      </w:r>
    </w:p>
    <w:p>
      <w:pPr>
        <w:spacing w:line="360" w:lineRule="auto"/>
        <w:ind w:firstLine="420" w:firstLineChars="200"/>
      </w:pPr>
      <w:r>
        <w:rPr>
          <w:rFonts w:hint="eastAsia" w:ascii="黑体" w:hAnsi="黑体" w:eastAsia="黑体" w:cs="黑体"/>
        </w:rPr>
        <w:t xml:space="preserve">5 </w:t>
      </w:r>
      <w:r>
        <w:rPr>
          <w:rFonts w:hint="eastAsia"/>
        </w:rPr>
        <w:t xml:space="preserve"> 移动式启闭机制造质量检测项目包括门（桥）架、卷筒、开式齿轮、减速器、制动器、电动机、滑轮组、联轴器、钢丝绳、车轮和</w:t>
      </w:r>
      <w:r>
        <w:rPr>
          <w:rFonts w:hint="eastAsia" w:asciiTheme="minorEastAsia" w:hAnsiTheme="minorEastAsia" w:cstheme="minorEastAsia"/>
        </w:rPr>
        <w:t>电气控制柜</w:t>
      </w:r>
      <w:r>
        <w:rPr>
          <w:rFonts w:hint="eastAsia"/>
        </w:rPr>
        <w:t>等主要零部件制造质量，起升机构及大、小车运行机构的组装质量，防腐蚀质量和厂内运行试验等。</w:t>
      </w:r>
    </w:p>
    <w:p>
      <w:pPr>
        <w:spacing w:line="360" w:lineRule="auto"/>
        <w:ind w:firstLine="420" w:firstLineChars="200"/>
      </w:pPr>
      <w:r>
        <w:rPr>
          <w:rFonts w:hint="eastAsia" w:ascii="黑体" w:hAnsi="黑体" w:eastAsia="黑体" w:cs="黑体"/>
        </w:rPr>
        <w:t xml:space="preserve">6 </w:t>
      </w:r>
      <w:r>
        <w:rPr>
          <w:rFonts w:hint="eastAsia"/>
        </w:rPr>
        <w:t xml:space="preserve"> 移动式启闭机安装质量检测项目包括轨道安装质量、门（桥）架组装与安装质量、运行机构组装与安装质量、起升机构组装与安装质量检测，以及线路绝缘电阻、电动机三相电流不平衡度、限位开关性能、开度指示准确性、荷载控制功能等现场运行试验项目。</w:t>
      </w:r>
    </w:p>
    <w:p>
      <w:pPr>
        <w:spacing w:line="360" w:lineRule="auto"/>
        <w:ind w:firstLine="420" w:firstLineChars="200"/>
      </w:pPr>
      <w:r>
        <w:rPr>
          <w:rFonts w:hint="eastAsia" w:ascii="黑体" w:hAnsi="黑体" w:eastAsia="黑体" w:cs="黑体"/>
        </w:rPr>
        <w:t>7</w:t>
      </w:r>
      <w:r>
        <w:rPr>
          <w:rFonts w:hint="eastAsia"/>
        </w:rPr>
        <w:t xml:space="preserve">  液压式启闭机制造质量检测项目包括缸体和活塞杆的制造质量、泵站质量、</w:t>
      </w:r>
      <w:r>
        <w:rPr>
          <w:rFonts w:hint="eastAsia" w:asciiTheme="minorEastAsia" w:hAnsiTheme="minorEastAsia" w:cstheme="minorEastAsia"/>
        </w:rPr>
        <w:t>电气控制柜质量、</w:t>
      </w:r>
      <w:r>
        <w:rPr>
          <w:rFonts w:hint="eastAsia"/>
        </w:rPr>
        <w:t>防腐蚀质量、厂内运行试验等。</w:t>
      </w:r>
    </w:p>
    <w:p>
      <w:pPr>
        <w:spacing w:line="360" w:lineRule="auto"/>
        <w:ind w:firstLine="420" w:firstLineChars="200"/>
        <w:rPr>
          <w:rFonts w:hint="eastAsia" w:ascii="黑体" w:hAnsi="黑体" w:eastAsia="黑体" w:cs="黑体"/>
        </w:rPr>
      </w:pPr>
      <w:r>
        <w:rPr>
          <w:rFonts w:hint="eastAsia" w:ascii="黑体" w:hAnsi="黑体" w:eastAsia="黑体" w:cs="黑体"/>
        </w:rPr>
        <w:t xml:space="preserve">8 </w:t>
      </w:r>
      <w:r>
        <w:rPr>
          <w:rFonts w:hint="eastAsia"/>
        </w:rPr>
        <w:t xml:space="preserve"> 液压式启闭机安装质量检测项目包括埋件和油缸的安装位置检测、线路绝缘电阻、电动机三相电流不平衡度、限位开关性能、开度指示准确性、荷载控制功能等现场运行试验项目。</w:t>
      </w:r>
    </w:p>
    <w:p>
      <w:pPr>
        <w:spacing w:line="360" w:lineRule="auto"/>
        <w:rPr>
          <w:rFonts w:hint="eastAsia" w:asciiTheme="minorEastAsia" w:hAnsiTheme="minorEastAsia" w:cstheme="minorEastAsia"/>
        </w:rPr>
      </w:pPr>
      <w:r>
        <w:rPr>
          <w:rFonts w:hint="eastAsia" w:ascii="黑体" w:hAnsi="黑体" w:eastAsia="黑体" w:cs="黑体"/>
        </w:rPr>
        <w:t xml:space="preserve">7.4.2 </w:t>
      </w:r>
      <w:r>
        <w:rPr>
          <w:rFonts w:hint="eastAsia" w:asciiTheme="minorEastAsia" w:hAnsiTheme="minorEastAsia" w:cstheme="minorEastAsia"/>
        </w:rPr>
        <w:t xml:space="preserve"> 启闭机检测单元按下列要求划分：</w:t>
      </w:r>
    </w:p>
    <w:p>
      <w:pPr>
        <w:spacing w:line="360" w:lineRule="auto"/>
        <w:ind w:firstLine="420" w:firstLineChars="200"/>
        <w:rPr>
          <w:rFonts w:hint="eastAsia" w:cs="黑体" w:asciiTheme="minorEastAsia" w:hAnsiTheme="minorEastAsia"/>
        </w:rPr>
      </w:pPr>
      <w:r>
        <w:rPr>
          <w:rFonts w:hint="eastAsia" w:ascii="黑体" w:hAnsi="黑体" w:eastAsia="黑体" w:cs="黑体"/>
        </w:rPr>
        <w:t>1</w:t>
      </w:r>
      <w:r>
        <w:rPr>
          <w:rFonts w:hint="eastAsia" w:cs="黑体" w:asciiTheme="minorEastAsia" w:hAnsiTheme="minorEastAsia"/>
        </w:rPr>
        <w:t xml:space="preserve">  每台（套）启闭机在制造阶段作为一个检测单元。</w:t>
      </w:r>
    </w:p>
    <w:p>
      <w:pPr>
        <w:spacing w:line="360" w:lineRule="auto"/>
        <w:ind w:firstLine="420" w:firstLineChars="200"/>
        <w:rPr>
          <w:rFonts w:hint="eastAsia" w:cs="黑体" w:asciiTheme="minorEastAsia" w:hAnsiTheme="minorEastAsia"/>
        </w:rPr>
      </w:pPr>
      <w:r>
        <w:rPr>
          <w:rFonts w:hint="eastAsia" w:ascii="黑体" w:hAnsi="黑体" w:eastAsia="黑体" w:cstheme="minorEastAsia"/>
        </w:rPr>
        <w:t xml:space="preserve">2 </w:t>
      </w:r>
      <w:r>
        <w:rPr>
          <w:rFonts w:hint="eastAsia" w:cs="黑体" w:asciiTheme="minorEastAsia" w:hAnsiTheme="minorEastAsia"/>
        </w:rPr>
        <w:t xml:space="preserve"> 每台（套）启闭机在安装阶段作为一个检测单元。</w:t>
      </w:r>
    </w:p>
    <w:p>
      <w:pPr>
        <w:spacing w:line="360" w:lineRule="auto"/>
        <w:rPr>
          <w:rFonts w:hint="eastAsia" w:ascii="黑体" w:hAnsi="黑体" w:eastAsia="黑体" w:cstheme="minorEastAsia"/>
        </w:rPr>
      </w:pPr>
      <w:r>
        <w:rPr>
          <w:rFonts w:hint="eastAsia" w:ascii="黑体" w:hAnsi="黑体" w:eastAsia="黑体" w:cstheme="minorEastAsia"/>
        </w:rPr>
        <w:t xml:space="preserve">7.4.3  </w:t>
      </w:r>
      <w:r>
        <w:rPr>
          <w:rFonts w:hint="eastAsia" w:ascii="宋体" w:hAnsi="宋体" w:eastAsia="宋体" w:cs="黑体"/>
        </w:rPr>
        <w:t>启闭机应进行制造质量检测、厂内运行试验和安装运行检测，检测方法应符合SL/T 582的要求。启闭机其他检测项目可按 7.1规定的检测方法执行。</w:t>
      </w:r>
    </w:p>
    <w:p>
      <w:pPr>
        <w:spacing w:line="360" w:lineRule="auto"/>
        <w:rPr>
          <w:rFonts w:hint="eastAsia" w:asciiTheme="minorEastAsia" w:hAnsiTheme="minorEastAsia" w:cstheme="minorEastAsia"/>
        </w:rPr>
      </w:pPr>
      <w:r>
        <w:rPr>
          <w:rFonts w:hint="eastAsia" w:ascii="黑体" w:hAnsi="黑体" w:eastAsia="黑体" w:cs="黑体"/>
        </w:rPr>
        <w:t xml:space="preserve">7.4.4  </w:t>
      </w:r>
      <w:r>
        <w:rPr>
          <w:rFonts w:hint="eastAsia" w:ascii="宋体" w:hAnsi="宋体" w:eastAsia="宋体" w:cs="黑体"/>
        </w:rPr>
        <w:t>启闭机各检测项目的</w:t>
      </w:r>
      <w:r>
        <w:rPr>
          <w:rFonts w:hint="eastAsia" w:asciiTheme="minorEastAsia" w:hAnsiTheme="minorEastAsia" w:cstheme="minorEastAsia"/>
        </w:rPr>
        <w:t>检测（抽检）数量应符合下列要求：</w:t>
      </w:r>
    </w:p>
    <w:p>
      <w:pPr>
        <w:pStyle w:val="6"/>
        <w:spacing w:line="360" w:lineRule="auto"/>
        <w:ind w:firstLine="420" w:firstLineChars="200"/>
        <w:rPr>
          <w:rFonts w:hint="eastAsia"/>
        </w:rPr>
      </w:pPr>
      <w:r>
        <w:rPr>
          <w:rFonts w:hint="eastAsia" w:ascii="黑体" w:hAnsi="黑体" w:eastAsia="黑体" w:cs="黑体"/>
          <w:sz w:val="21"/>
          <w:szCs w:val="22"/>
        </w:rPr>
        <w:t xml:space="preserve">1 </w:t>
      </w:r>
      <w:r>
        <w:rPr>
          <w:rFonts w:hint="eastAsia"/>
        </w:rPr>
        <w:t xml:space="preserve"> </w:t>
      </w:r>
      <w:r>
        <w:rPr>
          <w:rFonts w:hint="eastAsia" w:asciiTheme="minorHAnsi" w:hAnsiTheme="minorHAnsi" w:eastAsiaTheme="minorEastAsia" w:cstheme="minorBidi"/>
          <w:sz w:val="21"/>
          <w:szCs w:val="22"/>
        </w:rPr>
        <w:t>螺杆式启闭机螺杆、螺母、蜗轮、蜗杆、机箱、机座、电气控制柜（箱）等主要零部件在制造厂内应全部检测，出厂前配套的螺杆和螺母应逐对进行厂内运行试验。</w:t>
      </w:r>
    </w:p>
    <w:p>
      <w:pPr>
        <w:pStyle w:val="6"/>
        <w:spacing w:line="360" w:lineRule="auto"/>
        <w:ind w:firstLine="420" w:firstLineChars="200"/>
        <w:rPr>
          <w:rFonts w:asciiTheme="minorHAnsi" w:hAnsiTheme="minorHAnsi" w:eastAsiaTheme="minorEastAsia" w:cstheme="minorBidi"/>
          <w:sz w:val="21"/>
          <w:szCs w:val="22"/>
        </w:rPr>
      </w:pPr>
      <w:r>
        <w:rPr>
          <w:rFonts w:hint="eastAsia" w:ascii="黑体" w:hAnsi="黑体" w:eastAsia="黑体" w:cs="黑体"/>
          <w:sz w:val="21"/>
          <w:szCs w:val="22"/>
        </w:rPr>
        <w:t>2</w:t>
      </w:r>
      <w:r>
        <w:rPr>
          <w:rFonts w:hint="eastAsia" w:ascii="黑体" w:hAnsi="黑体" w:eastAsia="黑体"/>
        </w:rPr>
        <w:t xml:space="preserve"> </w:t>
      </w:r>
      <w:r>
        <w:rPr>
          <w:rFonts w:hint="eastAsia"/>
        </w:rPr>
        <w:t xml:space="preserve"> </w:t>
      </w:r>
      <w:r>
        <w:rPr>
          <w:rFonts w:hint="eastAsia" w:asciiTheme="minorHAnsi" w:hAnsiTheme="minorHAnsi" w:eastAsiaTheme="minorEastAsia" w:cstheme="minorBidi"/>
          <w:sz w:val="21"/>
          <w:szCs w:val="22"/>
        </w:rPr>
        <w:t>固定卷扬式启闭机机架、卷筒、开式齿轮、减速器、制动器、电动机、滑轮组、联轴器、钢丝绳和电气控制柜等主要零部件在制造厂内应全部检测，机架焊接质量无损检测数量和比例应符</w:t>
      </w:r>
      <w:r>
        <w:rPr>
          <w:rFonts w:hint="eastAsia" w:asciiTheme="minorEastAsia" w:hAnsiTheme="minorEastAsia" w:eastAsiaTheme="minorEastAsia" w:cstheme="minorBidi"/>
          <w:sz w:val="21"/>
          <w:szCs w:val="22"/>
        </w:rPr>
        <w:t>合SL 36的</w:t>
      </w:r>
      <w:r>
        <w:rPr>
          <w:rFonts w:hint="eastAsia" w:asciiTheme="minorHAnsi" w:hAnsiTheme="minorHAnsi" w:eastAsiaTheme="minorEastAsia" w:cstheme="minorBidi"/>
          <w:sz w:val="21"/>
          <w:szCs w:val="22"/>
        </w:rPr>
        <w:t>规定；每台启闭机均应在厂内进行整体组装检测和厂内运行试验。</w:t>
      </w:r>
    </w:p>
    <w:p>
      <w:pPr>
        <w:spacing w:line="360" w:lineRule="auto"/>
        <w:ind w:firstLine="420" w:firstLineChars="200"/>
      </w:pPr>
      <w:r>
        <w:rPr>
          <w:rFonts w:hint="eastAsia" w:ascii="黑体" w:hAnsi="黑体" w:eastAsia="黑体" w:cs="黑体"/>
        </w:rPr>
        <w:t>3</w:t>
      </w:r>
      <w:r>
        <w:rPr>
          <w:rFonts w:hint="eastAsia"/>
        </w:rPr>
        <w:t xml:space="preserve">  移动式启闭机门（桥）架、卷筒、开式齿轮、减速器、制动器、电动机、滑轮组、联轴器、钢丝绳、车轮和</w:t>
      </w:r>
      <w:r>
        <w:rPr>
          <w:rFonts w:hint="eastAsia" w:asciiTheme="minorEastAsia" w:hAnsiTheme="minorEastAsia" w:cstheme="minorEastAsia"/>
        </w:rPr>
        <w:t>电气控制柜</w:t>
      </w:r>
      <w:r>
        <w:rPr>
          <w:rFonts w:hint="eastAsia"/>
        </w:rPr>
        <w:t>等主要零部件在制造厂内应全部检测，门（桥）架焊接质量无损检测数量和比例应符合</w:t>
      </w:r>
      <w:r>
        <w:rPr>
          <w:rFonts w:asciiTheme="minorEastAsia" w:hAnsiTheme="minorEastAsia"/>
        </w:rPr>
        <w:t>SL 36</w:t>
      </w:r>
      <w:r>
        <w:rPr>
          <w:rFonts w:hint="eastAsia"/>
        </w:rPr>
        <w:t>的规定；起升机构、运行机构应在厂内分别进行组装检测和运行试验，台车式启闭机应在厂内进行整体组装检测和运行试验，门式和桥式启闭机整体组装检测和运行试验应符合合同文件和设计文件的规定。</w:t>
      </w:r>
    </w:p>
    <w:p>
      <w:pPr>
        <w:spacing w:line="360" w:lineRule="auto"/>
        <w:ind w:firstLine="420" w:firstLineChars="200"/>
      </w:pPr>
      <w:r>
        <w:rPr>
          <w:rFonts w:hint="eastAsia" w:ascii="黑体" w:hAnsi="黑体" w:eastAsia="黑体" w:cs="黑体"/>
        </w:rPr>
        <w:t xml:space="preserve">4 </w:t>
      </w:r>
      <w:r>
        <w:rPr>
          <w:rFonts w:hint="eastAsia"/>
        </w:rPr>
        <w:t xml:space="preserve"> 液压式启闭机缸体、活塞杆、泵站、</w:t>
      </w:r>
      <w:r>
        <w:rPr>
          <w:rFonts w:hint="eastAsia" w:asciiTheme="minorEastAsia" w:hAnsiTheme="minorEastAsia" w:cstheme="minorEastAsia"/>
        </w:rPr>
        <w:t>电气控制柜</w:t>
      </w:r>
      <w:r>
        <w:rPr>
          <w:rFonts w:hint="eastAsia"/>
        </w:rPr>
        <w:t>等主要零部件在制造厂内应全部检测，缸体对接焊缝</w:t>
      </w:r>
      <w:r>
        <w:rPr>
          <w:rFonts w:hint="eastAsia" w:asciiTheme="minorEastAsia" w:hAnsiTheme="minorEastAsia"/>
        </w:rPr>
        <w:t>应</w:t>
      </w:r>
      <w:r>
        <w:rPr>
          <w:rFonts w:asciiTheme="minorEastAsia" w:hAnsiTheme="minorEastAsia"/>
        </w:rPr>
        <w:t>100%</w:t>
      </w:r>
      <w:r>
        <w:rPr>
          <w:rFonts w:hint="eastAsia" w:asciiTheme="minorEastAsia" w:hAnsiTheme="minorEastAsia"/>
        </w:rPr>
        <w:t>无损</w:t>
      </w:r>
      <w:r>
        <w:rPr>
          <w:rFonts w:hint="eastAsia"/>
        </w:rPr>
        <w:t>检测，液压缸应在制造厂内逐个进行最低启动压力、耐压、行程、内外泄漏等试验，液压泵站应在制造厂内逐台进行保压、耐压、保护功能等试验，同型号液压启闭机至少抽检1台（套）进行机电液联调试验。</w:t>
      </w:r>
    </w:p>
    <w:p>
      <w:pPr>
        <w:spacing w:line="360" w:lineRule="auto"/>
        <w:ind w:firstLine="420" w:firstLineChars="200"/>
      </w:pPr>
      <w:r>
        <w:rPr>
          <w:rFonts w:hint="eastAsia" w:ascii="黑体" w:hAnsi="黑体" w:eastAsia="黑体" w:cs="黑体"/>
        </w:rPr>
        <w:t xml:space="preserve">5 </w:t>
      </w:r>
      <w:r>
        <w:rPr>
          <w:rFonts w:hint="eastAsia"/>
        </w:rPr>
        <w:t xml:space="preserve"> </w:t>
      </w:r>
      <w:bookmarkStart w:id="113" w:name="_Hlk177035160"/>
      <w:r>
        <w:rPr>
          <w:rFonts w:hint="eastAsia"/>
        </w:rPr>
        <w:t>螺杆式启闭机、固定卷扬式启闭机、移动式启闭机和液压式启闭机</w:t>
      </w:r>
      <w:bookmarkEnd w:id="113"/>
      <w:r>
        <w:rPr>
          <w:rFonts w:hint="eastAsia"/>
        </w:rPr>
        <w:t>安装检测项目的检测数量应按照</w:t>
      </w:r>
      <w:r>
        <w:rPr>
          <w:rFonts w:hint="eastAsia" w:asciiTheme="minorEastAsia" w:hAnsiTheme="minorEastAsia"/>
        </w:rPr>
        <w:t>SL 635</w:t>
      </w:r>
      <w:r>
        <w:rPr>
          <w:rFonts w:hint="eastAsia"/>
        </w:rPr>
        <w:t>的规定执行。</w:t>
      </w:r>
    </w:p>
    <w:p>
      <w:pPr>
        <w:spacing w:line="360" w:lineRule="auto"/>
        <w:rPr>
          <w:rFonts w:hint="eastAsia" w:asciiTheme="minorEastAsia" w:hAnsiTheme="minorEastAsia" w:cstheme="minorEastAsia"/>
        </w:rPr>
      </w:pPr>
      <w:r>
        <w:rPr>
          <w:rFonts w:hint="eastAsia" w:ascii="黑体" w:hAnsi="黑体" w:eastAsia="黑体" w:cs="黑体"/>
        </w:rPr>
        <w:t xml:space="preserve">7.4.5 </w:t>
      </w:r>
      <w:r>
        <w:rPr>
          <w:rFonts w:hint="eastAsia" w:asciiTheme="minorEastAsia" w:hAnsiTheme="minorEastAsia" w:cstheme="minorEastAsia"/>
        </w:rPr>
        <w:t xml:space="preserve"> 检测项目满足下列要求的，质量检测结果评价为合格：</w:t>
      </w:r>
    </w:p>
    <w:p>
      <w:pPr>
        <w:spacing w:line="360" w:lineRule="auto"/>
        <w:ind w:firstLine="420" w:firstLineChars="200"/>
      </w:pPr>
      <w:r>
        <w:rPr>
          <w:rFonts w:hint="eastAsia"/>
        </w:rPr>
        <w:t>螺杆式启闭机、固定卷扬式启闭机、移动式启闭机和液压式启闭机制造质量符合设计文件</w:t>
      </w:r>
      <w:r>
        <w:rPr>
          <w:rFonts w:hint="eastAsia" w:asciiTheme="minorEastAsia" w:hAnsiTheme="minorEastAsia" w:cstheme="minorEastAsia"/>
        </w:rPr>
        <w:t>和SL/T 381的规定，启闭机制造质量检测结果可评价为合格</w:t>
      </w:r>
      <w:r>
        <w:rPr>
          <w:rFonts w:hint="eastAsia"/>
        </w:rPr>
        <w:t>。螺杆式启闭机、固定卷扬式启闭机、移动式启闭机和液压式启闭机安装质量符合设计文</w:t>
      </w:r>
      <w:r>
        <w:rPr>
          <w:rFonts w:hint="eastAsia" w:asciiTheme="minorEastAsia" w:hAnsiTheme="minorEastAsia"/>
        </w:rPr>
        <w:t>件和SL 635的规定</w:t>
      </w:r>
      <w:r>
        <w:rPr>
          <w:rFonts w:hint="eastAsia" w:asciiTheme="minorEastAsia" w:hAnsiTheme="minorEastAsia" w:cstheme="minorEastAsia"/>
        </w:rPr>
        <w:t>，启闭机安装质量检测结果可评价为合格</w:t>
      </w:r>
      <w:r>
        <w:rPr>
          <w:rFonts w:hint="eastAsia"/>
        </w:rPr>
        <w:t>。</w:t>
      </w:r>
    </w:p>
    <w:p>
      <w:pPr>
        <w:pStyle w:val="3"/>
        <w:snapToGrid w:val="0"/>
        <w:spacing w:beforeLines="50" w:afterLines="50" w:line="360" w:lineRule="auto"/>
        <w:jc w:val="center"/>
        <w:rPr>
          <w:rFonts w:ascii="黑体" w:hAnsi="黑体" w:cs="黑体"/>
          <w:sz w:val="24"/>
          <w:szCs w:val="24"/>
        </w:rPr>
      </w:pPr>
      <w:bookmarkStart w:id="114" w:name="_Toc177635363"/>
      <w:bookmarkStart w:id="115" w:name="_Toc8564"/>
      <w:r>
        <w:rPr>
          <w:rFonts w:ascii="黑体" w:hAnsi="黑体" w:cs="黑体"/>
          <w:sz w:val="24"/>
          <w:szCs w:val="24"/>
        </w:rPr>
        <w:t xml:space="preserve">7.5  </w:t>
      </w:r>
      <w:bookmarkStart w:id="116" w:name="_Hlk177536819"/>
      <w:r>
        <w:rPr>
          <w:rFonts w:ascii="黑体" w:hAnsi="黑体" w:cs="黑体"/>
          <w:sz w:val="24"/>
          <w:szCs w:val="24"/>
        </w:rPr>
        <w:t>清 污 机</w:t>
      </w:r>
      <w:bookmarkEnd w:id="114"/>
      <w:bookmarkEnd w:id="115"/>
      <w:bookmarkEnd w:id="116"/>
    </w:p>
    <w:p>
      <w:pPr>
        <w:spacing w:line="360" w:lineRule="auto"/>
        <w:rPr>
          <w:rFonts w:hint="eastAsia" w:asciiTheme="minorEastAsia" w:hAnsiTheme="minorEastAsia" w:cstheme="minorEastAsia"/>
        </w:rPr>
      </w:pPr>
      <w:r>
        <w:rPr>
          <w:rFonts w:hint="eastAsia" w:ascii="黑体" w:hAnsi="黑体" w:eastAsia="黑体" w:cs="黑体"/>
        </w:rPr>
        <w:t xml:space="preserve">7.5.1 </w:t>
      </w:r>
      <w:r>
        <w:rPr>
          <w:rFonts w:hint="eastAsia" w:asciiTheme="minorEastAsia" w:hAnsiTheme="minorEastAsia" w:cstheme="minorEastAsia"/>
        </w:rPr>
        <w:t xml:space="preserve"> 清污机检测项目宜包括下列内容：</w:t>
      </w:r>
    </w:p>
    <w:p>
      <w:pPr>
        <w:spacing w:line="360" w:lineRule="auto"/>
        <w:ind w:firstLine="420" w:firstLineChars="200"/>
      </w:pPr>
      <w:r>
        <w:rPr>
          <w:rFonts w:hint="eastAsia" w:ascii="黑体" w:hAnsi="黑体" w:eastAsia="黑体" w:cs="黑体"/>
        </w:rPr>
        <w:t>1</w:t>
      </w:r>
      <w:r>
        <w:rPr>
          <w:rFonts w:hint="eastAsia"/>
        </w:rPr>
        <w:t xml:space="preserve">  回转式清污机制造质量检测项目包括机架、栅体、齿耙、链轮轴、链轮、链条和</w:t>
      </w:r>
      <w:r>
        <w:rPr>
          <w:rFonts w:hint="eastAsia" w:asciiTheme="minorEastAsia" w:hAnsiTheme="minorEastAsia" w:cstheme="minorEastAsia"/>
        </w:rPr>
        <w:t>电气控制柜</w:t>
      </w:r>
      <w:r>
        <w:rPr>
          <w:rFonts w:hint="eastAsia"/>
        </w:rPr>
        <w:t>等主要零部件制造及整机组装质量和厂内运行试验等。</w:t>
      </w:r>
    </w:p>
    <w:p>
      <w:pPr>
        <w:spacing w:line="360" w:lineRule="auto"/>
        <w:ind w:firstLine="420" w:firstLineChars="200"/>
      </w:pPr>
      <w:r>
        <w:rPr>
          <w:rFonts w:hint="eastAsia" w:ascii="黑体" w:hAnsi="黑体" w:eastAsia="黑体" w:cs="黑体"/>
        </w:rPr>
        <w:t>2</w:t>
      </w:r>
      <w:r>
        <w:rPr>
          <w:rFonts w:hint="eastAsia"/>
        </w:rPr>
        <w:t xml:space="preserve">  回转式清污机安装质量检测项目包括安装位置与尺寸、组装质量检测，以及线路绝缘电阻、电动机三相电流不平衡度、荷载限制功能、电气保护功能、急停保护功能等现场运行试验项目。</w:t>
      </w:r>
    </w:p>
    <w:p>
      <w:pPr>
        <w:spacing w:line="360" w:lineRule="auto"/>
        <w:ind w:firstLine="420" w:firstLineChars="200"/>
      </w:pPr>
      <w:r>
        <w:rPr>
          <w:rFonts w:hint="eastAsia" w:ascii="黑体" w:hAnsi="黑体" w:eastAsia="黑体" w:cs="黑体"/>
        </w:rPr>
        <w:t>3</w:t>
      </w:r>
      <w:r>
        <w:rPr>
          <w:rFonts w:hint="eastAsia"/>
        </w:rPr>
        <w:t xml:space="preserve">  耙（抓）斗式清污机制造质量检测项目包括门（机）架、卷筒、开式齿轮、减速器、制动器、电动机、滑轮组、联轴器、钢丝绳、车轮、自动挂脱梁、耙（抓）斗和</w:t>
      </w:r>
      <w:r>
        <w:rPr>
          <w:rFonts w:hint="eastAsia" w:asciiTheme="minorEastAsia" w:hAnsiTheme="minorEastAsia" w:cstheme="minorEastAsia"/>
        </w:rPr>
        <w:t>电气控制柜</w:t>
      </w:r>
      <w:r>
        <w:rPr>
          <w:rFonts w:hint="eastAsia"/>
        </w:rPr>
        <w:t>等主要零部件制造质量，耙（抓）斗控制机构及运行机构的组装质量，防腐蚀质量和厂内运行试验等。</w:t>
      </w:r>
    </w:p>
    <w:p>
      <w:pPr>
        <w:spacing w:line="360" w:lineRule="auto"/>
        <w:ind w:firstLine="420" w:firstLineChars="200"/>
        <w:rPr>
          <w:rFonts w:hint="eastAsia" w:ascii="黑体" w:hAnsi="黑体" w:eastAsia="黑体" w:cs="黑体"/>
        </w:rPr>
      </w:pPr>
      <w:r>
        <w:rPr>
          <w:rFonts w:hint="eastAsia" w:ascii="黑体" w:hAnsi="黑体" w:eastAsia="黑体" w:cs="黑体"/>
        </w:rPr>
        <w:t>4</w:t>
      </w:r>
      <w:r>
        <w:rPr>
          <w:rFonts w:hint="eastAsia"/>
        </w:rPr>
        <w:t xml:space="preserve">  耙（抓）斗式清污机安装质量检测项目包括轨道安装质量、门（机）架组装与安装质量、运行机构组装与安装质量、耙（抓）斗控制机构组装与安装质量检测，以及线路绝缘电阻、电动机三相电流不平衡度、行程限制器功能、荷载控制功能等现场运行试验项目。</w:t>
      </w:r>
    </w:p>
    <w:p>
      <w:pPr>
        <w:spacing w:line="360" w:lineRule="auto"/>
        <w:rPr>
          <w:rFonts w:hint="eastAsia" w:asciiTheme="minorEastAsia" w:hAnsiTheme="minorEastAsia" w:cstheme="minorEastAsia"/>
        </w:rPr>
      </w:pPr>
      <w:r>
        <w:rPr>
          <w:rFonts w:hint="eastAsia" w:ascii="黑体" w:hAnsi="黑体" w:eastAsia="黑体" w:cs="黑体"/>
        </w:rPr>
        <w:t xml:space="preserve">7.5.2 </w:t>
      </w:r>
      <w:r>
        <w:rPr>
          <w:rFonts w:hint="eastAsia" w:asciiTheme="minorEastAsia" w:hAnsiTheme="minorEastAsia" w:cstheme="minorEastAsia"/>
        </w:rPr>
        <w:t xml:space="preserve"> 清污机检测单元按下列要求划分：</w:t>
      </w:r>
    </w:p>
    <w:p>
      <w:pPr>
        <w:spacing w:line="360" w:lineRule="auto"/>
        <w:ind w:firstLine="420" w:firstLineChars="200"/>
        <w:rPr>
          <w:rFonts w:hint="eastAsia" w:cs="黑体" w:asciiTheme="minorEastAsia" w:hAnsiTheme="minorEastAsia"/>
        </w:rPr>
      </w:pPr>
      <w:r>
        <w:rPr>
          <w:rFonts w:hint="eastAsia" w:ascii="黑体" w:hAnsi="黑体" w:eastAsia="黑体" w:cs="黑体"/>
        </w:rPr>
        <w:t>1</w:t>
      </w:r>
      <w:r>
        <w:rPr>
          <w:rFonts w:hint="eastAsia" w:cs="黑体" w:asciiTheme="minorEastAsia" w:hAnsiTheme="minorEastAsia"/>
        </w:rPr>
        <w:t xml:space="preserve">  每台清污机在制造阶段作为一个检测单元。</w:t>
      </w:r>
    </w:p>
    <w:p>
      <w:pPr>
        <w:spacing w:line="360" w:lineRule="auto"/>
        <w:ind w:firstLine="420" w:firstLineChars="200"/>
        <w:rPr>
          <w:rFonts w:hint="eastAsia" w:cs="黑体" w:asciiTheme="minorEastAsia" w:hAnsiTheme="minorEastAsia"/>
        </w:rPr>
      </w:pPr>
      <w:r>
        <w:rPr>
          <w:rFonts w:hint="eastAsia" w:ascii="黑体" w:hAnsi="黑体" w:eastAsia="黑体" w:cs="黑体"/>
        </w:rPr>
        <w:t>2</w:t>
      </w:r>
      <w:r>
        <w:rPr>
          <w:rFonts w:hint="eastAsia" w:cs="黑体" w:asciiTheme="minorEastAsia" w:hAnsiTheme="minorEastAsia"/>
        </w:rPr>
        <w:t xml:space="preserve">  每台清污机在安装阶段作为一个检测单元。</w:t>
      </w:r>
    </w:p>
    <w:p>
      <w:pPr>
        <w:spacing w:line="360" w:lineRule="auto"/>
        <w:rPr>
          <w:rFonts w:hint="eastAsia" w:ascii="宋体" w:hAnsi="宋体" w:eastAsia="宋体" w:cs="黑体"/>
        </w:rPr>
      </w:pPr>
      <w:r>
        <w:rPr>
          <w:rFonts w:hint="eastAsia" w:ascii="黑体" w:hAnsi="黑体" w:eastAsia="黑体" w:cs="黑体"/>
        </w:rPr>
        <w:t xml:space="preserve">7.5.3  </w:t>
      </w:r>
      <w:r>
        <w:rPr>
          <w:rFonts w:hint="eastAsia" w:ascii="宋体" w:hAnsi="宋体" w:eastAsia="宋体" w:cs="黑体"/>
        </w:rPr>
        <w:t>清污机各检测项目的</w:t>
      </w:r>
      <w:r>
        <w:rPr>
          <w:spacing w:val="19"/>
        </w:rPr>
        <w:t>检测方法应符合</w:t>
      </w:r>
      <w:r>
        <w:rPr>
          <w:rFonts w:hint="eastAsia"/>
          <w:spacing w:val="19"/>
        </w:rPr>
        <w:t>下列</w:t>
      </w:r>
      <w:r>
        <w:rPr>
          <w:spacing w:val="19"/>
        </w:rPr>
        <w:t>要求</w:t>
      </w:r>
      <w:r>
        <w:rPr>
          <w:rFonts w:hint="eastAsia" w:ascii="宋体" w:hAnsi="宋体" w:eastAsia="宋体" w:cs="黑体"/>
        </w:rPr>
        <w:t>：</w:t>
      </w:r>
    </w:p>
    <w:p>
      <w:pPr>
        <w:spacing w:line="360" w:lineRule="auto"/>
        <w:ind w:firstLine="420" w:firstLineChars="200"/>
      </w:pPr>
      <w:r>
        <w:rPr>
          <w:rFonts w:hint="eastAsia" w:ascii="黑体" w:hAnsi="黑体" w:eastAsia="黑体" w:cs="黑体"/>
        </w:rPr>
        <w:t xml:space="preserve">1  </w:t>
      </w:r>
      <w:r>
        <w:rPr>
          <w:rFonts w:hint="eastAsia" w:ascii="宋体" w:hAnsi="宋体" w:eastAsia="宋体"/>
          <w:szCs w:val="21"/>
        </w:rPr>
        <w:t>回转式清污机制造质量检测</w:t>
      </w:r>
      <w:r>
        <w:rPr>
          <w:rFonts w:hint="eastAsia" w:ascii="宋体" w:hAnsi="宋体" w:eastAsia="宋体" w:cs="微软雅黑"/>
          <w:szCs w:val="21"/>
        </w:rPr>
        <w:t>：</w:t>
      </w:r>
      <w:r>
        <w:rPr>
          <w:rFonts w:hint="eastAsia" w:ascii="宋体" w:hAnsi="宋体" w:eastAsia="宋体"/>
          <w:szCs w:val="21"/>
        </w:rPr>
        <w:t>参照SL/T 582中对回转式清污机厂内制造及试运行的检测方法。</w:t>
      </w:r>
    </w:p>
    <w:p>
      <w:pPr>
        <w:spacing w:line="360" w:lineRule="auto"/>
        <w:ind w:firstLine="420" w:firstLineChars="200"/>
      </w:pPr>
      <w:r>
        <w:rPr>
          <w:rFonts w:hint="eastAsia" w:ascii="黑体" w:hAnsi="黑体" w:eastAsia="黑体" w:cs="黑体"/>
        </w:rPr>
        <w:t>2</w:t>
      </w:r>
      <w:r>
        <w:rPr>
          <w:rFonts w:hint="eastAsia"/>
        </w:rPr>
        <w:t xml:space="preserve">  回转式清污机安装质量检测：参照</w:t>
      </w:r>
      <w:r>
        <w:rPr>
          <w:rFonts w:hint="eastAsia" w:asciiTheme="minorEastAsia" w:hAnsiTheme="minorEastAsia"/>
        </w:rPr>
        <w:t>SL/T 582</w:t>
      </w:r>
      <w:r>
        <w:rPr>
          <w:rFonts w:hint="eastAsia"/>
        </w:rPr>
        <w:t>中对回转式清污机安装质量最终检验和试验方法。</w:t>
      </w:r>
    </w:p>
    <w:p>
      <w:pPr>
        <w:spacing w:line="360" w:lineRule="auto"/>
        <w:ind w:firstLine="420" w:firstLineChars="200"/>
      </w:pPr>
      <w:r>
        <w:rPr>
          <w:rFonts w:hint="eastAsia" w:ascii="黑体" w:hAnsi="黑体" w:eastAsia="黑体" w:cs="黑体"/>
        </w:rPr>
        <w:t xml:space="preserve">3  </w:t>
      </w:r>
      <w:r>
        <w:rPr>
          <w:rFonts w:hint="eastAsia"/>
        </w:rPr>
        <w:t>耙（抓）斗式清污机制造质量检测：参照</w:t>
      </w:r>
      <w:r>
        <w:rPr>
          <w:rFonts w:hint="eastAsia" w:asciiTheme="minorEastAsia" w:hAnsiTheme="minorEastAsia"/>
        </w:rPr>
        <w:t>SL/T 582</w:t>
      </w:r>
      <w:r>
        <w:rPr>
          <w:rFonts w:hint="eastAsia"/>
        </w:rPr>
        <w:t>中对回转式清污机厂内制造及试运行的检测方法。</w:t>
      </w:r>
    </w:p>
    <w:p>
      <w:pPr>
        <w:spacing w:line="360" w:lineRule="auto"/>
        <w:ind w:firstLine="420" w:firstLineChars="200"/>
      </w:pPr>
      <w:r>
        <w:rPr>
          <w:rFonts w:hint="eastAsia" w:ascii="黑体" w:hAnsi="黑体" w:eastAsia="黑体" w:cs="黑体"/>
        </w:rPr>
        <w:t xml:space="preserve">4  </w:t>
      </w:r>
      <w:r>
        <w:rPr>
          <w:rFonts w:hint="eastAsia"/>
        </w:rPr>
        <w:t>耙（抓）斗式清污机安装质量检测：参照</w:t>
      </w:r>
      <w:r>
        <w:rPr>
          <w:rFonts w:hint="eastAsia" w:asciiTheme="minorEastAsia" w:hAnsiTheme="minorEastAsia"/>
        </w:rPr>
        <w:t>SL/T 582</w:t>
      </w:r>
      <w:r>
        <w:rPr>
          <w:rFonts w:hint="eastAsia"/>
        </w:rPr>
        <w:t>中对耙（抓）斗式清污机安装后质量最终检验和试验方法。</w:t>
      </w:r>
    </w:p>
    <w:p>
      <w:pPr>
        <w:spacing w:line="360" w:lineRule="auto"/>
        <w:ind w:firstLine="420" w:firstLineChars="200"/>
        <w:rPr>
          <w:rFonts w:hint="eastAsia" w:ascii="宋体" w:hAnsi="宋体" w:eastAsia="宋体" w:cs="黑体"/>
        </w:rPr>
      </w:pPr>
      <w:r>
        <w:rPr>
          <w:rFonts w:hint="eastAsia" w:ascii="黑体" w:hAnsi="黑体" w:eastAsia="黑体" w:cs="黑体"/>
        </w:rPr>
        <w:t xml:space="preserve">5  </w:t>
      </w:r>
      <w:r>
        <w:rPr>
          <w:rFonts w:hint="eastAsia" w:ascii="宋体" w:hAnsi="宋体" w:eastAsia="宋体" w:cs="黑体"/>
        </w:rPr>
        <w:t>其他检测项目：可按 7.1条的有关检测方法要求执行。</w:t>
      </w:r>
    </w:p>
    <w:p>
      <w:pPr>
        <w:spacing w:line="360" w:lineRule="auto"/>
        <w:rPr>
          <w:rFonts w:hint="eastAsia" w:asciiTheme="minorEastAsia" w:hAnsiTheme="minorEastAsia" w:cstheme="minorEastAsia"/>
        </w:rPr>
      </w:pPr>
      <w:r>
        <w:rPr>
          <w:rFonts w:hint="eastAsia" w:ascii="黑体" w:hAnsi="黑体" w:eastAsia="黑体" w:cs="黑体"/>
        </w:rPr>
        <w:t xml:space="preserve">7.5.4 </w:t>
      </w:r>
      <w:r>
        <w:rPr>
          <w:rFonts w:hint="eastAsia" w:ascii="宋体" w:hAnsi="宋体" w:eastAsia="宋体" w:cs="黑体"/>
        </w:rPr>
        <w:t>清污机各检测项目的</w:t>
      </w:r>
      <w:r>
        <w:rPr>
          <w:rFonts w:hint="eastAsia" w:asciiTheme="minorEastAsia" w:hAnsiTheme="minorEastAsia" w:cstheme="minorEastAsia"/>
        </w:rPr>
        <w:t>检测（抽检）数量应符合下列要求：</w:t>
      </w:r>
    </w:p>
    <w:p>
      <w:pPr>
        <w:pStyle w:val="6"/>
        <w:spacing w:line="360" w:lineRule="auto"/>
        <w:ind w:firstLine="420" w:firstLineChars="200"/>
        <w:rPr>
          <w:rFonts w:hint="eastAsia" w:ascii="宋体" w:hAnsi="宋体" w:eastAsia="宋体" w:cs="黑体"/>
          <w:sz w:val="21"/>
          <w:szCs w:val="22"/>
        </w:rPr>
      </w:pPr>
      <w:r>
        <w:rPr>
          <w:rFonts w:hint="eastAsia" w:ascii="黑体" w:hAnsi="黑体" w:eastAsia="黑体" w:cs="黑体"/>
          <w:sz w:val="21"/>
          <w:szCs w:val="22"/>
        </w:rPr>
        <w:t>1</w:t>
      </w:r>
      <w:r>
        <w:rPr>
          <w:rFonts w:ascii="黑体" w:hAnsi="黑体" w:eastAsia="黑体" w:cs="黑体"/>
          <w:sz w:val="21"/>
          <w:szCs w:val="22"/>
        </w:rPr>
        <w:t xml:space="preserve"> </w:t>
      </w:r>
      <w:r>
        <w:rPr>
          <w:rFonts w:ascii="黑体" w:hAnsi="黑体" w:eastAsia="黑体"/>
        </w:rPr>
        <w:t xml:space="preserve"> </w:t>
      </w:r>
      <w:r>
        <w:rPr>
          <w:rFonts w:hint="eastAsia" w:ascii="宋体" w:hAnsi="宋体" w:eastAsia="宋体" w:cs="黑体"/>
          <w:sz w:val="21"/>
          <w:szCs w:val="22"/>
        </w:rPr>
        <w:t>回转式清污机制造质量检测项目包括机架、栅体、齿耙、链轮轴、链轮、链条和电气控制柜等主要零部件在制造厂内应全部检测，栅体焊接质量无损检测数量和比例应符合SL 36的规定；每台回转式清污机应在厂内进行整机组装检测和运行试验。</w:t>
      </w:r>
    </w:p>
    <w:p>
      <w:pPr>
        <w:spacing w:line="360" w:lineRule="auto"/>
        <w:ind w:firstLine="420" w:firstLineChars="200"/>
      </w:pPr>
      <w:r>
        <w:rPr>
          <w:rFonts w:hint="eastAsia" w:ascii="黑体" w:hAnsi="黑体" w:eastAsia="黑体" w:cs="黑体"/>
        </w:rPr>
        <w:t>2</w:t>
      </w:r>
      <w:r>
        <w:rPr>
          <w:rFonts w:hint="eastAsia"/>
        </w:rPr>
        <w:t xml:space="preserve">  耙（抓）斗式清污机门（机）架、卷筒、开式齿轮、减速器、制动器、电动机、滑轮组、联轴器、钢丝绳、车轮、自动挂脱梁、耙（抓）斗和</w:t>
      </w:r>
      <w:r>
        <w:rPr>
          <w:rFonts w:hint="eastAsia" w:asciiTheme="minorEastAsia" w:hAnsiTheme="minorEastAsia" w:cstheme="minorEastAsia"/>
        </w:rPr>
        <w:t>电气控制柜</w:t>
      </w:r>
      <w:r>
        <w:rPr>
          <w:rFonts w:hint="eastAsia"/>
        </w:rPr>
        <w:t>等主要零部件在制造厂内应全部检测，门（机）架焊接质量无损检测数量和比例应符合</w:t>
      </w:r>
      <w:r>
        <w:rPr>
          <w:rFonts w:asciiTheme="minorEastAsia" w:hAnsiTheme="minorEastAsia"/>
        </w:rPr>
        <w:t>SL 36</w:t>
      </w:r>
      <w:r>
        <w:rPr>
          <w:rFonts w:hint="eastAsia"/>
        </w:rPr>
        <w:t>的规定；每台耙（抓）斗控制机构、运行机构应在厂内分别进行组装检测和运行试验，清污机整体组装检测和运行试验应符合合同文件和设计文件的规定。</w:t>
      </w:r>
    </w:p>
    <w:p>
      <w:pPr>
        <w:spacing w:line="360" w:lineRule="auto"/>
        <w:ind w:firstLine="420" w:firstLineChars="200"/>
      </w:pPr>
      <w:r>
        <w:rPr>
          <w:rFonts w:hint="eastAsia" w:ascii="黑体" w:hAnsi="黑体" w:eastAsia="黑体" w:cs="黑体"/>
        </w:rPr>
        <w:t>3</w:t>
      </w:r>
      <w:r>
        <w:rPr>
          <w:rFonts w:hint="eastAsia"/>
        </w:rPr>
        <w:t xml:space="preserve"> 回转式清污机和耙（抓）斗式清污机安装检测项目的检测数量应按照</w:t>
      </w:r>
      <w:r>
        <w:rPr>
          <w:rFonts w:hint="eastAsia" w:asciiTheme="minorEastAsia" w:hAnsiTheme="minorEastAsia"/>
        </w:rPr>
        <w:t>SL/T 635</w:t>
      </w:r>
      <w:r>
        <w:rPr>
          <w:rFonts w:hint="eastAsia"/>
        </w:rPr>
        <w:t>的规定执行。</w:t>
      </w:r>
    </w:p>
    <w:p>
      <w:pPr>
        <w:spacing w:line="360" w:lineRule="auto"/>
        <w:rPr>
          <w:rFonts w:hint="eastAsia" w:asciiTheme="minorEastAsia" w:hAnsiTheme="minorEastAsia" w:cstheme="minorEastAsia"/>
        </w:rPr>
      </w:pPr>
      <w:r>
        <w:rPr>
          <w:rFonts w:hint="eastAsia" w:ascii="黑体" w:hAnsi="黑体" w:eastAsia="黑体" w:cs="黑体"/>
        </w:rPr>
        <w:t xml:space="preserve">7.5.5 </w:t>
      </w:r>
      <w:r>
        <w:rPr>
          <w:rFonts w:hint="eastAsia" w:asciiTheme="minorEastAsia" w:hAnsiTheme="minorEastAsia" w:cstheme="minorEastAsia"/>
        </w:rPr>
        <w:t xml:space="preserve"> 检测项目满足下列要求的，质量检测结果评价为合格：</w:t>
      </w:r>
    </w:p>
    <w:p>
      <w:pPr>
        <w:pStyle w:val="6"/>
        <w:spacing w:line="360" w:lineRule="auto"/>
        <w:ind w:firstLine="420" w:firstLineChars="200"/>
        <w:rPr>
          <w:rFonts w:hint="eastAsia" w:asciiTheme="minorEastAsia" w:hAnsiTheme="minorEastAsia" w:eastAsiaTheme="minorEastAsia" w:cstheme="minorBidi"/>
          <w:sz w:val="21"/>
          <w:szCs w:val="22"/>
        </w:rPr>
      </w:pPr>
      <w:r>
        <w:rPr>
          <w:rFonts w:hint="eastAsia" w:ascii="黑体" w:hAnsi="黑体" w:eastAsia="黑体" w:cs="黑体"/>
          <w:sz w:val="21"/>
          <w:szCs w:val="22"/>
        </w:rPr>
        <w:t xml:space="preserve">1 </w:t>
      </w:r>
      <w:r>
        <w:rPr>
          <w:rFonts w:hint="eastAsia"/>
        </w:rPr>
        <w:t xml:space="preserve"> </w:t>
      </w:r>
      <w:r>
        <w:rPr>
          <w:rFonts w:hint="eastAsia" w:asciiTheme="minorHAnsi" w:hAnsiTheme="minorHAnsi" w:eastAsiaTheme="minorEastAsia" w:cstheme="minorBidi"/>
          <w:sz w:val="21"/>
          <w:szCs w:val="22"/>
        </w:rPr>
        <w:t>清污机制造质量符合设计文</w:t>
      </w:r>
      <w:r>
        <w:rPr>
          <w:rFonts w:hint="eastAsia" w:asciiTheme="minorEastAsia" w:hAnsiTheme="minorEastAsia" w:eastAsiaTheme="minorEastAsia" w:cstheme="minorBidi"/>
          <w:sz w:val="21"/>
          <w:szCs w:val="22"/>
        </w:rPr>
        <w:t>件和相关标准的规定，清污机制造质量检测结果可评价为合格。</w:t>
      </w:r>
    </w:p>
    <w:p>
      <w:pPr>
        <w:pStyle w:val="6"/>
        <w:spacing w:line="360" w:lineRule="auto"/>
        <w:ind w:firstLine="420" w:firstLineChars="200"/>
        <w:rPr>
          <w:rFonts w:asciiTheme="minorHAnsi" w:hAnsiTheme="minorHAnsi" w:eastAsiaTheme="minorEastAsia" w:cstheme="minorBidi"/>
          <w:sz w:val="21"/>
          <w:szCs w:val="22"/>
        </w:rPr>
      </w:pPr>
      <w:r>
        <w:rPr>
          <w:rFonts w:hint="eastAsia" w:ascii="黑体" w:hAnsi="黑体" w:eastAsia="黑体" w:cs="黑体"/>
          <w:sz w:val="21"/>
          <w:szCs w:val="22"/>
        </w:rPr>
        <w:t>2</w:t>
      </w:r>
      <w:r>
        <w:rPr>
          <w:rFonts w:hint="eastAsia" w:asciiTheme="minorEastAsia" w:hAnsiTheme="minorEastAsia" w:eastAsiaTheme="minorEastAsia" w:cstheme="minorBidi"/>
          <w:sz w:val="21"/>
          <w:szCs w:val="22"/>
        </w:rPr>
        <w:t xml:space="preserve">  清污机安装质量符合设计文件和SL 635的规定，</w:t>
      </w:r>
      <w:r>
        <w:rPr>
          <w:rFonts w:hint="eastAsia" w:asciiTheme="minorHAnsi" w:hAnsiTheme="minorHAnsi" w:eastAsiaTheme="minorEastAsia" w:cstheme="minorBidi"/>
          <w:sz w:val="21"/>
          <w:szCs w:val="22"/>
        </w:rPr>
        <w:t>清污机安装质量检测结果可评价为合格。</w:t>
      </w:r>
    </w:p>
    <w:p>
      <w:pPr>
        <w:pStyle w:val="6"/>
        <w:spacing w:line="360" w:lineRule="auto"/>
        <w:ind w:firstLine="420" w:firstLineChars="200"/>
        <w:rPr>
          <w:rFonts w:asciiTheme="minorHAnsi" w:hAnsiTheme="minorHAnsi" w:eastAsiaTheme="minorEastAsia" w:cstheme="minorBidi"/>
          <w:sz w:val="21"/>
          <w:szCs w:val="22"/>
        </w:rPr>
      </w:pPr>
    </w:p>
    <w:p>
      <w:pPr>
        <w:pStyle w:val="6"/>
        <w:spacing w:line="360" w:lineRule="auto"/>
        <w:ind w:firstLine="420" w:firstLineChars="200"/>
        <w:rPr>
          <w:rFonts w:asciiTheme="minorHAnsi" w:hAnsiTheme="minorHAnsi" w:eastAsiaTheme="minorEastAsia" w:cstheme="minorBidi"/>
          <w:sz w:val="21"/>
          <w:szCs w:val="22"/>
        </w:rPr>
      </w:pPr>
    </w:p>
    <w:p>
      <w:pPr>
        <w:rPr>
          <w:rFonts w:hint="eastAsia" w:ascii="宋体" w:hAnsi="宋体" w:eastAsia="宋体" w:cs="宋体"/>
        </w:rPr>
      </w:pPr>
      <w:r>
        <w:rPr>
          <w:rFonts w:hint="eastAsia" w:ascii="宋体" w:hAnsi="宋体" w:eastAsia="宋体" w:cs="宋体"/>
        </w:rPr>
        <w:br w:type="page"/>
      </w:r>
    </w:p>
    <w:p>
      <w:pPr>
        <w:pStyle w:val="2"/>
        <w:spacing w:line="240" w:lineRule="auto"/>
        <w:rPr>
          <w:rFonts w:hint="eastAsia" w:ascii="黑体" w:hAnsi="黑体" w:eastAsia="黑体" w:cs="黑体"/>
          <w:b w:val="0"/>
          <w:bCs w:val="0"/>
          <w:sz w:val="28"/>
          <w:szCs w:val="28"/>
        </w:rPr>
      </w:pPr>
      <w:bookmarkStart w:id="117" w:name="_Toc11462"/>
      <w:r>
        <w:rPr>
          <w:rFonts w:hint="eastAsia" w:ascii="黑体" w:hAnsi="黑体" w:eastAsia="黑体" w:cs="黑体"/>
          <w:b w:val="0"/>
          <w:bCs w:val="0"/>
          <w:sz w:val="28"/>
          <w:szCs w:val="28"/>
        </w:rPr>
        <w:t>8   机 械 电 气</w:t>
      </w:r>
      <w:bookmarkEnd w:id="117"/>
    </w:p>
    <w:p>
      <w:pPr>
        <w:pStyle w:val="3"/>
        <w:snapToGrid w:val="0"/>
        <w:spacing w:beforeLines="50" w:afterLines="50"/>
        <w:jc w:val="center"/>
        <w:rPr>
          <w:rFonts w:ascii="黑体" w:hAnsi="黑体" w:cs="黑体"/>
          <w:sz w:val="24"/>
          <w:szCs w:val="24"/>
        </w:rPr>
      </w:pPr>
      <w:bookmarkStart w:id="118" w:name="_Toc22529"/>
      <w:r>
        <w:rPr>
          <w:rFonts w:ascii="黑体" w:hAnsi="黑体" w:cs="黑体"/>
          <w:sz w:val="24"/>
          <w:szCs w:val="24"/>
        </w:rPr>
        <w:t>8.1  一般规定</w:t>
      </w:r>
      <w:bookmarkEnd w:id="118"/>
    </w:p>
    <w:p>
      <w:pPr>
        <w:widowControl/>
        <w:kinsoku w:val="0"/>
        <w:autoSpaceDE w:val="0"/>
        <w:autoSpaceDN w:val="0"/>
        <w:adjustRightInd w:val="0"/>
        <w:snapToGrid w:val="0"/>
        <w:textAlignment w:val="baseline"/>
        <w:rPr>
          <w:rFonts w:hint="eastAsia" w:asciiTheme="minorEastAsia" w:hAnsiTheme="minorEastAsia" w:cstheme="minorEastAsia"/>
          <w:snapToGrid w:val="0"/>
          <w:color w:val="000000"/>
          <w:spacing w:val="20"/>
          <w:kern w:val="0"/>
          <w:szCs w:val="21"/>
        </w:rPr>
      </w:pPr>
    </w:p>
    <w:p>
      <w:pPr>
        <w:widowControl/>
        <w:kinsoku w:val="0"/>
        <w:autoSpaceDE w:val="0"/>
        <w:autoSpaceDN w:val="0"/>
        <w:adjustRightInd w:val="0"/>
        <w:snapToGrid w:val="0"/>
        <w:spacing w:line="360" w:lineRule="auto"/>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8.1.1</w:t>
      </w:r>
      <w:r>
        <w:rPr>
          <w:rFonts w:hint="eastAsia" w:asciiTheme="minorEastAsia" w:hAnsiTheme="minorEastAsia" w:cstheme="minorEastAsia"/>
          <w:snapToGrid w:val="0"/>
          <w:color w:val="000000"/>
          <w:kern w:val="0"/>
          <w:szCs w:val="21"/>
        </w:rPr>
        <w:t xml:space="preserve"> 机械电气质量检测分为设备制造质量检测、设备安装质量检测、设备性能参数质量检测。</w:t>
      </w:r>
    </w:p>
    <w:p>
      <w:pPr>
        <w:widowControl/>
        <w:kinsoku w:val="0"/>
        <w:autoSpaceDE w:val="0"/>
        <w:autoSpaceDN w:val="0"/>
        <w:adjustRightInd w:val="0"/>
        <w:snapToGrid w:val="0"/>
        <w:spacing w:line="360" w:lineRule="auto"/>
        <w:textAlignment w:val="baseline"/>
        <w:rPr>
          <w:rFonts w:hint="eastAsia" w:asciiTheme="minorEastAsia" w:hAnsiTheme="minorEastAsia" w:cstheme="minorEastAsia"/>
          <w:snapToGrid w:val="0"/>
          <w:color w:val="000000"/>
          <w:kern w:val="0"/>
          <w:szCs w:val="21"/>
        </w:rPr>
      </w:pPr>
      <w:r>
        <w:rPr>
          <w:rFonts w:hint="eastAsia" w:asciiTheme="minorEastAsia" w:hAnsiTheme="minorEastAsia" w:cstheme="minorEastAsia"/>
          <w:snapToGrid w:val="0"/>
          <w:color w:val="000000"/>
          <w:kern w:val="0"/>
          <w:szCs w:val="21"/>
        </w:rPr>
        <w:t xml:space="preserve">   </w:t>
      </w:r>
      <w:r>
        <w:rPr>
          <w:rFonts w:hint="eastAsia" w:ascii="黑体" w:hAnsi="黑体" w:eastAsia="黑体" w:cs="黑体"/>
          <w:snapToGrid w:val="0"/>
          <w:color w:val="000000"/>
          <w:kern w:val="0"/>
          <w:szCs w:val="21"/>
        </w:rPr>
        <w:t xml:space="preserve"> 1</w:t>
      </w:r>
      <w:r>
        <w:rPr>
          <w:rFonts w:hint="eastAsia" w:asciiTheme="minorEastAsia" w:hAnsiTheme="minorEastAsia" w:cstheme="minorEastAsia"/>
          <w:snapToGrid w:val="0"/>
          <w:color w:val="000000"/>
          <w:kern w:val="0"/>
          <w:szCs w:val="21"/>
        </w:rPr>
        <w:t xml:space="preserve">  水轮发电机组及其附属设备制造质量检测按DL/T 443有关规定执行。</w:t>
      </w:r>
    </w:p>
    <w:p>
      <w:pPr>
        <w:widowControl/>
        <w:kinsoku w:val="0"/>
        <w:autoSpaceDE w:val="0"/>
        <w:autoSpaceDN w:val="0"/>
        <w:adjustRightInd w:val="0"/>
        <w:snapToGrid w:val="0"/>
        <w:spacing w:line="360" w:lineRule="auto"/>
        <w:textAlignment w:val="baseline"/>
        <w:rPr>
          <w:rFonts w:hint="eastAsia" w:asciiTheme="minorEastAsia" w:hAnsiTheme="minorEastAsia" w:cstheme="minorEastAsia"/>
          <w:snapToGrid w:val="0"/>
          <w:color w:val="000000"/>
          <w:kern w:val="0"/>
          <w:szCs w:val="21"/>
        </w:rPr>
      </w:pPr>
      <w:r>
        <w:rPr>
          <w:rFonts w:hint="eastAsia" w:asciiTheme="minorEastAsia" w:hAnsiTheme="minorEastAsia" w:cstheme="minorEastAsia"/>
          <w:snapToGrid w:val="0"/>
          <w:color w:val="000000"/>
          <w:kern w:val="0"/>
          <w:szCs w:val="21"/>
        </w:rPr>
        <w:t xml:space="preserve">  </w:t>
      </w:r>
      <w:r>
        <w:rPr>
          <w:rFonts w:hint="eastAsia" w:ascii="黑体" w:hAnsi="黑体" w:eastAsia="黑体" w:cs="黑体"/>
          <w:snapToGrid w:val="0"/>
          <w:color w:val="000000"/>
          <w:kern w:val="0"/>
          <w:szCs w:val="21"/>
        </w:rPr>
        <w:t xml:space="preserve">  2</w:t>
      </w:r>
      <w:r>
        <w:rPr>
          <w:rFonts w:hint="eastAsia" w:asciiTheme="minorEastAsia" w:hAnsiTheme="minorEastAsia" w:cstheme="minorEastAsia"/>
          <w:snapToGrid w:val="0"/>
          <w:color w:val="000000"/>
          <w:kern w:val="0"/>
          <w:szCs w:val="21"/>
        </w:rPr>
        <w:t xml:space="preserve">  水轮发电机组安装质量检测按SL 636有关规定执行。</w:t>
      </w:r>
    </w:p>
    <w:p>
      <w:pPr>
        <w:widowControl/>
        <w:kinsoku w:val="0"/>
        <w:autoSpaceDE w:val="0"/>
        <w:autoSpaceDN w:val="0"/>
        <w:adjustRightInd w:val="0"/>
        <w:snapToGrid w:val="0"/>
        <w:spacing w:line="360" w:lineRule="auto"/>
        <w:textAlignment w:val="baseline"/>
        <w:rPr>
          <w:rFonts w:hint="eastAsia" w:asciiTheme="minorEastAsia" w:hAnsiTheme="minorEastAsia" w:cstheme="minorEastAsia"/>
          <w:snapToGrid w:val="0"/>
          <w:color w:val="000000"/>
          <w:kern w:val="0"/>
          <w:szCs w:val="21"/>
        </w:rPr>
      </w:pPr>
      <w:r>
        <w:rPr>
          <w:rFonts w:hint="eastAsia" w:asciiTheme="minorEastAsia" w:hAnsiTheme="minorEastAsia" w:cstheme="minorEastAsia"/>
          <w:snapToGrid w:val="0"/>
          <w:color w:val="000000"/>
          <w:kern w:val="0"/>
          <w:szCs w:val="21"/>
        </w:rPr>
        <w:t xml:space="preserve">   </w:t>
      </w:r>
      <w:r>
        <w:rPr>
          <w:rFonts w:hint="eastAsia" w:ascii="黑体" w:hAnsi="黑体" w:eastAsia="黑体" w:cs="黑体"/>
          <w:snapToGrid w:val="0"/>
          <w:color w:val="000000"/>
          <w:kern w:val="0"/>
          <w:szCs w:val="21"/>
        </w:rPr>
        <w:t xml:space="preserve"> 3</w:t>
      </w:r>
      <w:r>
        <w:rPr>
          <w:rFonts w:hint="eastAsia" w:asciiTheme="minorEastAsia" w:hAnsiTheme="minorEastAsia" w:cstheme="minorEastAsia"/>
          <w:snapToGrid w:val="0"/>
          <w:color w:val="000000"/>
          <w:kern w:val="0"/>
          <w:szCs w:val="21"/>
        </w:rPr>
        <w:t xml:space="preserve">  水力机械附属设备安装质量检测按SL 637有关规定执行。</w:t>
      </w:r>
    </w:p>
    <w:p>
      <w:pPr>
        <w:widowControl/>
        <w:kinsoku w:val="0"/>
        <w:autoSpaceDE w:val="0"/>
        <w:autoSpaceDN w:val="0"/>
        <w:adjustRightInd w:val="0"/>
        <w:snapToGrid w:val="0"/>
        <w:spacing w:line="360" w:lineRule="auto"/>
        <w:textAlignment w:val="baseline"/>
        <w:rPr>
          <w:rFonts w:hint="eastAsia" w:asciiTheme="minorEastAsia" w:hAnsiTheme="minorEastAsia" w:cstheme="minorEastAsia"/>
          <w:snapToGrid w:val="0"/>
          <w:color w:val="000000"/>
          <w:kern w:val="0"/>
          <w:szCs w:val="21"/>
        </w:rPr>
      </w:pPr>
      <w:r>
        <w:rPr>
          <w:rFonts w:hint="eastAsia" w:asciiTheme="minorEastAsia" w:hAnsiTheme="minorEastAsia" w:cstheme="minorEastAsia"/>
          <w:snapToGrid w:val="0"/>
          <w:color w:val="000000"/>
          <w:kern w:val="0"/>
          <w:szCs w:val="21"/>
        </w:rPr>
        <w:t xml:space="preserve">   </w:t>
      </w:r>
      <w:r>
        <w:rPr>
          <w:rFonts w:hint="eastAsia" w:ascii="黑体" w:hAnsi="黑体" w:eastAsia="黑体" w:cs="黑体"/>
          <w:snapToGrid w:val="0"/>
          <w:color w:val="000000"/>
          <w:kern w:val="0"/>
          <w:szCs w:val="21"/>
        </w:rPr>
        <w:t xml:space="preserve"> 4</w:t>
      </w:r>
      <w:r>
        <w:rPr>
          <w:rFonts w:hint="eastAsia" w:asciiTheme="minorEastAsia" w:hAnsiTheme="minorEastAsia" w:cstheme="minorEastAsia"/>
          <w:snapToGrid w:val="0"/>
          <w:color w:val="000000"/>
          <w:kern w:val="0"/>
          <w:szCs w:val="21"/>
        </w:rPr>
        <w:t xml:space="preserve">  水轮发电机组启动试运行质量检测按DL/T 507、DL/T 827、GB/T 18482有关规定执行。</w:t>
      </w:r>
    </w:p>
    <w:p>
      <w:pPr>
        <w:widowControl/>
        <w:kinsoku w:val="0"/>
        <w:autoSpaceDE w:val="0"/>
        <w:autoSpaceDN w:val="0"/>
        <w:adjustRightInd w:val="0"/>
        <w:snapToGrid w:val="0"/>
        <w:spacing w:line="360" w:lineRule="auto"/>
        <w:textAlignment w:val="baseline"/>
        <w:rPr>
          <w:rFonts w:hint="eastAsia" w:asciiTheme="minorEastAsia" w:hAnsiTheme="minorEastAsia" w:cstheme="minorEastAsia"/>
          <w:snapToGrid w:val="0"/>
          <w:color w:val="000000"/>
          <w:kern w:val="0"/>
          <w:szCs w:val="21"/>
        </w:rPr>
      </w:pPr>
      <w:r>
        <w:rPr>
          <w:rFonts w:hint="eastAsia" w:asciiTheme="minorEastAsia" w:hAnsiTheme="minorEastAsia" w:cstheme="minorEastAsia"/>
          <w:snapToGrid w:val="0"/>
          <w:color w:val="000000"/>
          <w:kern w:val="0"/>
          <w:szCs w:val="21"/>
        </w:rPr>
        <w:t xml:space="preserve">  </w:t>
      </w:r>
      <w:r>
        <w:rPr>
          <w:rFonts w:hint="eastAsia" w:ascii="黑体" w:hAnsi="黑体" w:eastAsia="黑体" w:cs="黑体"/>
          <w:snapToGrid w:val="0"/>
          <w:color w:val="000000"/>
          <w:kern w:val="0"/>
          <w:szCs w:val="21"/>
        </w:rPr>
        <w:t xml:space="preserve">  5</w:t>
      </w:r>
      <w:r>
        <w:rPr>
          <w:rFonts w:hint="eastAsia" w:asciiTheme="minorEastAsia" w:hAnsiTheme="minorEastAsia" w:cstheme="minorEastAsia"/>
          <w:snapToGrid w:val="0"/>
          <w:color w:val="000000"/>
          <w:kern w:val="0"/>
          <w:szCs w:val="21"/>
        </w:rPr>
        <w:t xml:space="preserve">  泵站机电设备安装及启动试运行质量检测按SL 317有关规定执行。</w:t>
      </w:r>
    </w:p>
    <w:p>
      <w:pPr>
        <w:widowControl/>
        <w:kinsoku w:val="0"/>
        <w:autoSpaceDE w:val="0"/>
        <w:autoSpaceDN w:val="0"/>
        <w:adjustRightInd w:val="0"/>
        <w:snapToGrid w:val="0"/>
        <w:spacing w:line="360" w:lineRule="auto"/>
        <w:ind w:firstLine="42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6</w:t>
      </w:r>
      <w:r>
        <w:rPr>
          <w:rFonts w:hint="eastAsia" w:asciiTheme="minorEastAsia" w:hAnsiTheme="minorEastAsia" w:cstheme="minorEastAsia"/>
          <w:snapToGrid w:val="0"/>
          <w:color w:val="000000"/>
          <w:kern w:val="0"/>
          <w:szCs w:val="21"/>
        </w:rPr>
        <w:t xml:space="preserve">  高压电气设备交接试验按GB 50150有关规定执行。</w:t>
      </w:r>
    </w:p>
    <w:p>
      <w:pPr>
        <w:widowControl/>
        <w:kinsoku w:val="0"/>
        <w:autoSpaceDE w:val="0"/>
        <w:autoSpaceDN w:val="0"/>
        <w:adjustRightInd w:val="0"/>
        <w:snapToGrid w:val="0"/>
        <w:spacing w:line="360" w:lineRule="auto"/>
        <w:ind w:firstLine="42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7 </w:t>
      </w:r>
      <w:r>
        <w:rPr>
          <w:rFonts w:hint="eastAsia" w:asciiTheme="minorEastAsia" w:hAnsiTheme="minorEastAsia" w:cstheme="minorEastAsia"/>
          <w:snapToGrid w:val="0"/>
          <w:color w:val="000000"/>
          <w:kern w:val="0"/>
          <w:szCs w:val="21"/>
        </w:rPr>
        <w:t xml:space="preserve"> 电力设备预防性试验按DL/T 596有关规定执行。</w:t>
      </w:r>
    </w:p>
    <w:p>
      <w:pPr>
        <w:widowControl/>
        <w:kinsoku w:val="0"/>
        <w:autoSpaceDE w:val="0"/>
        <w:autoSpaceDN w:val="0"/>
        <w:adjustRightInd w:val="0"/>
        <w:snapToGrid w:val="0"/>
        <w:spacing w:line="360" w:lineRule="auto"/>
        <w:ind w:firstLine="42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8 </w:t>
      </w:r>
      <w:r>
        <w:rPr>
          <w:rFonts w:hint="eastAsia" w:asciiTheme="minorEastAsia" w:hAnsiTheme="minorEastAsia" w:cstheme="minorEastAsia"/>
          <w:snapToGrid w:val="0"/>
          <w:color w:val="000000"/>
          <w:kern w:val="0"/>
          <w:szCs w:val="21"/>
        </w:rPr>
        <w:t xml:space="preserve"> 电站/泵站机电设备性能保证质量检测按合同要求执行。</w:t>
      </w:r>
    </w:p>
    <w:p>
      <w:pPr>
        <w:widowControl/>
        <w:kinsoku w:val="0"/>
        <w:autoSpaceDE w:val="0"/>
        <w:autoSpaceDN w:val="0"/>
        <w:adjustRightInd w:val="0"/>
        <w:snapToGrid w:val="0"/>
        <w:spacing w:line="360" w:lineRule="auto"/>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8.1.2 </w:t>
      </w:r>
      <w:r>
        <w:rPr>
          <w:rFonts w:hint="eastAsia" w:ascii="黑体" w:hAnsi="黑体" w:eastAsia="黑体" w:cs="微软雅黑"/>
          <w:snapToGrid w:val="0"/>
          <w:color w:val="000000"/>
          <w:kern w:val="0"/>
          <w:sz w:val="19"/>
          <w:szCs w:val="19"/>
        </w:rPr>
        <w:t xml:space="preserve"> </w:t>
      </w:r>
      <w:r>
        <w:rPr>
          <w:rFonts w:hint="eastAsia" w:asciiTheme="minorEastAsia" w:hAnsiTheme="minorEastAsia" w:cstheme="minorEastAsia"/>
          <w:snapToGrid w:val="0"/>
          <w:color w:val="000000"/>
          <w:kern w:val="0"/>
          <w:szCs w:val="21"/>
        </w:rPr>
        <w:t>检测前，应完成检测大纲或实施方案的编制、审核和批准工作，并制定安全保护措施。</w:t>
      </w:r>
    </w:p>
    <w:p>
      <w:pPr>
        <w:widowControl/>
        <w:kinsoku w:val="0"/>
        <w:autoSpaceDE w:val="0"/>
        <w:autoSpaceDN w:val="0"/>
        <w:adjustRightInd w:val="0"/>
        <w:snapToGrid w:val="0"/>
        <w:spacing w:line="360" w:lineRule="auto"/>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8.1.3</w:t>
      </w:r>
      <w:r>
        <w:rPr>
          <w:rFonts w:hint="eastAsia" w:ascii="黑体" w:hAnsi="黑体" w:eastAsia="黑体" w:cs="微软雅黑"/>
          <w:snapToGrid w:val="0"/>
          <w:color w:val="000000"/>
          <w:kern w:val="0"/>
          <w:sz w:val="19"/>
          <w:szCs w:val="19"/>
        </w:rPr>
        <w:t xml:space="preserve">  </w:t>
      </w:r>
      <w:r>
        <w:rPr>
          <w:rFonts w:hint="eastAsia" w:asciiTheme="minorEastAsia" w:hAnsiTheme="minorEastAsia" w:cstheme="minorEastAsia"/>
          <w:snapToGrid w:val="0"/>
          <w:color w:val="000000"/>
          <w:kern w:val="0"/>
          <w:szCs w:val="21"/>
        </w:rPr>
        <w:t>应根据电站/泵站现场条件选择符合测量不确定度要求、对电站/泵站设施设备破坏小、检测成本低的检测方法。</w:t>
      </w:r>
    </w:p>
    <w:p>
      <w:pPr>
        <w:widowControl/>
        <w:kinsoku w:val="0"/>
        <w:autoSpaceDE w:val="0"/>
        <w:autoSpaceDN w:val="0"/>
        <w:adjustRightInd w:val="0"/>
        <w:snapToGrid w:val="0"/>
        <w:spacing w:line="360" w:lineRule="auto"/>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8.1.4 </w:t>
      </w:r>
      <w:r>
        <w:rPr>
          <w:rFonts w:hint="eastAsia" w:ascii="黑体" w:hAnsi="黑体" w:eastAsia="黑体" w:cstheme="minorEastAsia"/>
          <w:snapToGrid w:val="0"/>
          <w:color w:val="000000"/>
          <w:kern w:val="0"/>
          <w:szCs w:val="21"/>
        </w:rPr>
        <w:t xml:space="preserve"> </w:t>
      </w:r>
      <w:r>
        <w:rPr>
          <w:rFonts w:hint="eastAsia" w:asciiTheme="minorEastAsia" w:hAnsiTheme="minorEastAsia" w:cstheme="minorEastAsia"/>
          <w:snapToGrid w:val="0"/>
          <w:color w:val="000000"/>
          <w:kern w:val="0"/>
          <w:szCs w:val="21"/>
        </w:rPr>
        <w:t>检测用的仪器、仪表和设备，宜使所测数值在其满量程的30%～95%范围内，并应经法定计量检定机构校准或检定合格，且在规定的有效期内。对于某些专业仪器、仪表和设备，当检定机构不能检定时，可采用实验室间比对的方法校准。</w:t>
      </w:r>
    </w:p>
    <w:p>
      <w:pPr>
        <w:widowControl/>
        <w:kinsoku w:val="0"/>
        <w:autoSpaceDE w:val="0"/>
        <w:autoSpaceDN w:val="0"/>
        <w:adjustRightInd w:val="0"/>
        <w:snapToGrid w:val="0"/>
        <w:spacing w:line="360" w:lineRule="auto"/>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8.1.5 </w:t>
      </w:r>
      <w:bookmarkStart w:id="119" w:name="OLE_LINK23"/>
      <w:r>
        <w:rPr>
          <w:rFonts w:hint="eastAsia" w:ascii="黑体" w:hAnsi="黑体" w:eastAsia="黑体" w:cs="微软雅黑"/>
          <w:snapToGrid w:val="0"/>
          <w:color w:val="000000"/>
          <w:kern w:val="0"/>
          <w:sz w:val="19"/>
          <w:szCs w:val="19"/>
        </w:rPr>
        <w:t xml:space="preserve"> </w:t>
      </w:r>
      <w:r>
        <w:rPr>
          <w:rFonts w:hint="eastAsia" w:asciiTheme="minorEastAsia" w:hAnsiTheme="minorEastAsia" w:cstheme="minorEastAsia"/>
          <w:snapToGrid w:val="0"/>
          <w:color w:val="000000"/>
          <w:kern w:val="0"/>
          <w:szCs w:val="21"/>
        </w:rPr>
        <w:t>检测过程中</w:t>
      </w:r>
      <w:bookmarkEnd w:id="119"/>
      <w:r>
        <w:rPr>
          <w:rFonts w:hint="eastAsia" w:asciiTheme="minorEastAsia" w:hAnsiTheme="minorEastAsia" w:cstheme="minorEastAsia"/>
          <w:snapToGrid w:val="0"/>
          <w:color w:val="000000"/>
          <w:kern w:val="0"/>
          <w:szCs w:val="21"/>
        </w:rPr>
        <w:t>，检测人员应严格遵守电站/泵站的安全规程制度，保证人身、电站/泵站设施设备和检测仪器设备的安全。</w:t>
      </w:r>
    </w:p>
    <w:p>
      <w:pPr>
        <w:widowControl/>
        <w:kinsoku w:val="0"/>
        <w:autoSpaceDE w:val="0"/>
        <w:autoSpaceDN w:val="0"/>
        <w:adjustRightInd w:val="0"/>
        <w:snapToGrid w:val="0"/>
        <w:spacing w:line="360" w:lineRule="auto"/>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8.1.6</w:t>
      </w:r>
      <w:r>
        <w:rPr>
          <w:rFonts w:hint="eastAsia" w:ascii="黑体" w:hAnsi="黑体" w:eastAsia="黑体" w:cs="微软雅黑"/>
          <w:snapToGrid w:val="0"/>
          <w:color w:val="000000"/>
          <w:kern w:val="0"/>
          <w:sz w:val="19"/>
          <w:szCs w:val="19"/>
        </w:rPr>
        <w:t xml:space="preserve"> </w:t>
      </w:r>
      <w:r>
        <w:rPr>
          <w:rFonts w:hint="eastAsia" w:ascii="黑体" w:hAnsi="黑体" w:eastAsia="黑体" w:cstheme="minorEastAsia"/>
          <w:snapToGrid w:val="0"/>
          <w:color w:val="000000"/>
          <w:kern w:val="0"/>
          <w:szCs w:val="21"/>
        </w:rPr>
        <w:t xml:space="preserve"> </w:t>
      </w:r>
      <w:bookmarkStart w:id="120" w:name="_Hlk186123234"/>
      <w:r>
        <w:rPr>
          <w:rFonts w:hint="eastAsia" w:asciiTheme="minorEastAsia" w:hAnsiTheme="minorEastAsia" w:cstheme="minorEastAsia"/>
          <w:snapToGrid w:val="0"/>
          <w:color w:val="000000"/>
          <w:kern w:val="0"/>
          <w:szCs w:val="21"/>
        </w:rPr>
        <w:t>检测过程中，</w:t>
      </w:r>
      <w:bookmarkEnd w:id="120"/>
      <w:bookmarkStart w:id="121" w:name="_Hlk186123259"/>
      <w:r>
        <w:rPr>
          <w:rFonts w:hint="eastAsia" w:asciiTheme="minorEastAsia" w:hAnsiTheme="minorEastAsia" w:cstheme="minorEastAsia"/>
          <w:snapToGrid w:val="0"/>
          <w:color w:val="000000"/>
          <w:kern w:val="0"/>
          <w:szCs w:val="21"/>
        </w:rPr>
        <w:t>应实时观察测量仪器、仪表和设备的工作状态，判定数据的有效性</w:t>
      </w:r>
      <w:bookmarkEnd w:id="121"/>
      <w:r>
        <w:rPr>
          <w:rFonts w:hint="eastAsia" w:asciiTheme="minorEastAsia" w:hAnsiTheme="minorEastAsia" w:cstheme="minorEastAsia"/>
          <w:snapToGrid w:val="0"/>
          <w:color w:val="000000"/>
          <w:kern w:val="0"/>
          <w:szCs w:val="21"/>
        </w:rPr>
        <w:t>。</w:t>
      </w:r>
    </w:p>
    <w:p>
      <w:pPr>
        <w:widowControl/>
        <w:kinsoku w:val="0"/>
        <w:autoSpaceDE w:val="0"/>
        <w:autoSpaceDN w:val="0"/>
        <w:adjustRightInd w:val="0"/>
        <w:snapToGrid w:val="0"/>
        <w:spacing w:line="360" w:lineRule="auto"/>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8.1.7 </w:t>
      </w:r>
      <w:r>
        <w:rPr>
          <w:rFonts w:hint="eastAsia" w:ascii="黑体" w:hAnsi="黑体" w:eastAsia="黑体" w:cs="微软雅黑"/>
          <w:snapToGrid w:val="0"/>
          <w:color w:val="000000"/>
          <w:kern w:val="0"/>
          <w:sz w:val="19"/>
          <w:szCs w:val="19"/>
        </w:rPr>
        <w:t xml:space="preserve"> </w:t>
      </w:r>
      <w:r>
        <w:rPr>
          <w:rFonts w:hint="eastAsia" w:asciiTheme="minorEastAsia" w:hAnsiTheme="minorEastAsia" w:cstheme="minorEastAsia"/>
          <w:snapToGrid w:val="0"/>
          <w:color w:val="000000"/>
          <w:kern w:val="0"/>
          <w:szCs w:val="21"/>
        </w:rPr>
        <w:t>检测工作完成后，检测单位应及时清理并恢复现场，并将原始检测记录整理归档，提交检测报告。检测报告的内容宜包括工程概况、检测目的与任务、检测人员、检测依据、检测内容、检测方法、检测数据、检测成果及分析评价等。</w:t>
      </w:r>
    </w:p>
    <w:p>
      <w:pPr>
        <w:pStyle w:val="3"/>
        <w:snapToGrid w:val="0"/>
        <w:spacing w:beforeLines="50" w:afterLines="50"/>
        <w:jc w:val="center"/>
        <w:rPr>
          <w:rFonts w:ascii="黑体" w:hAnsi="黑体" w:cs="黑体"/>
          <w:sz w:val="24"/>
          <w:szCs w:val="24"/>
        </w:rPr>
      </w:pPr>
      <w:bookmarkStart w:id="122" w:name="_Toc20012"/>
      <w:r>
        <w:rPr>
          <w:rFonts w:ascii="黑体" w:hAnsi="黑体" w:cs="黑体"/>
          <w:sz w:val="24"/>
          <w:szCs w:val="24"/>
        </w:rPr>
        <w:t>8.2  水力机械及附属设备</w:t>
      </w:r>
      <w:bookmarkEnd w:id="122"/>
    </w:p>
    <w:p>
      <w:pPr>
        <w:widowControl/>
        <w:kinsoku w:val="0"/>
        <w:autoSpaceDE w:val="0"/>
        <w:autoSpaceDN w:val="0"/>
        <w:adjustRightInd w:val="0"/>
        <w:snapToGrid w:val="0"/>
        <w:spacing w:line="360" w:lineRule="auto"/>
        <w:textAlignment w:val="baseline"/>
        <w:rPr>
          <w:rFonts w:hint="eastAsia" w:asciiTheme="minorEastAsia" w:hAnsiTheme="minorEastAsia" w:cstheme="minorEastAsia"/>
          <w:snapToGrid w:val="0"/>
          <w:color w:val="000000"/>
          <w:kern w:val="0"/>
          <w:position w:val="-2"/>
          <w:szCs w:val="21"/>
        </w:rPr>
      </w:pPr>
      <w:r>
        <w:rPr>
          <w:rFonts w:hint="eastAsia" w:ascii="黑体" w:hAnsi="黑体" w:eastAsia="黑体" w:cs="黑体"/>
          <w:snapToGrid w:val="0"/>
          <w:color w:val="000000"/>
          <w:kern w:val="0"/>
          <w:szCs w:val="21"/>
        </w:rPr>
        <w:t>8.2.1</w:t>
      </w:r>
      <w:r>
        <w:rPr>
          <w:rFonts w:hint="eastAsia" w:asciiTheme="minorEastAsia" w:hAnsiTheme="minorEastAsia" w:cstheme="minorEastAsia"/>
          <w:snapToGrid w:val="0"/>
          <w:color w:val="000000"/>
          <w:kern w:val="0"/>
          <w:position w:val="-2"/>
          <w:szCs w:val="21"/>
        </w:rPr>
        <w:t xml:space="preserve">  </w:t>
      </w:r>
      <w:r>
        <w:rPr>
          <w:rFonts w:hint="eastAsia" w:asciiTheme="minorEastAsia" w:hAnsiTheme="minorEastAsia" w:cstheme="minorEastAsia"/>
          <w:snapToGrid w:val="0"/>
          <w:color w:val="000000"/>
          <w:kern w:val="0"/>
          <w:szCs w:val="21"/>
        </w:rPr>
        <w:t>检测项目宜包括下列内容：</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position w:val="-2"/>
          <w:szCs w:val="21"/>
        </w:rPr>
      </w:pPr>
      <w:r>
        <w:rPr>
          <w:rFonts w:hint="eastAsia" w:ascii="黑体" w:hAnsi="黑体" w:eastAsia="黑体" w:cs="黑体"/>
          <w:snapToGrid w:val="0"/>
          <w:color w:val="000000"/>
          <w:kern w:val="0"/>
          <w:szCs w:val="21"/>
        </w:rPr>
        <w:t>1</w:t>
      </w:r>
      <w:r>
        <w:rPr>
          <w:rFonts w:hint="eastAsia" w:asciiTheme="minorEastAsia" w:hAnsiTheme="minorEastAsia" w:cstheme="minorEastAsia"/>
          <w:snapToGrid w:val="0"/>
          <w:color w:val="000000"/>
          <w:kern w:val="0"/>
          <w:position w:val="-2"/>
          <w:szCs w:val="21"/>
        </w:rPr>
        <w:t xml:space="preserve">  水轮机/水泵水轮机制造及安装质量检测项目宜包括：通流部件的几何型线及尺寸、波浪度、粗糙度、硬度、平面度、圆度、同轴度、垂直度、中心偏差、高程。必要时，可增加材料力学性能、焊缝质量、残余应力、止漏环间隙。</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2 </w:t>
      </w:r>
      <w:r>
        <w:rPr>
          <w:rFonts w:hint="eastAsia" w:asciiTheme="minorEastAsia" w:hAnsiTheme="minorEastAsia" w:cstheme="minorEastAsia"/>
          <w:snapToGrid w:val="0"/>
          <w:color w:val="000000"/>
          <w:kern w:val="0"/>
          <w:szCs w:val="21"/>
        </w:rPr>
        <w:t xml:space="preserve"> 水轮机/水泵水轮机性能参数质量检测项目宜包括：水头/扬程、流量、出力（轴功率）、效率、顶盖振动、水导摆度、压力脉动、转速、噪声、应力、空蚀和磨蚀、导叶漏水量。</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position w:val="-2"/>
          <w:szCs w:val="21"/>
        </w:rPr>
      </w:pPr>
      <w:r>
        <w:rPr>
          <w:rFonts w:hint="eastAsia" w:ascii="黑体" w:hAnsi="黑体" w:eastAsia="黑体" w:cs="黑体"/>
          <w:snapToGrid w:val="0"/>
          <w:color w:val="000000"/>
          <w:kern w:val="0"/>
          <w:szCs w:val="21"/>
        </w:rPr>
        <w:t>3</w:t>
      </w:r>
      <w:r>
        <w:rPr>
          <w:rFonts w:hint="eastAsia" w:asciiTheme="minorEastAsia" w:hAnsiTheme="minorEastAsia" w:cstheme="minorEastAsia"/>
          <w:snapToGrid w:val="0"/>
          <w:color w:val="000000"/>
          <w:kern w:val="0"/>
          <w:position w:val="-2"/>
          <w:szCs w:val="21"/>
        </w:rPr>
        <w:t xml:space="preserve">  水泵制造及安装质量检测项目宜包括</w:t>
      </w:r>
      <w:bookmarkStart w:id="123" w:name="_Hlk163328603"/>
      <w:r>
        <w:rPr>
          <w:rFonts w:hint="eastAsia" w:asciiTheme="minorEastAsia" w:hAnsiTheme="minorEastAsia" w:cstheme="minorEastAsia"/>
          <w:snapToGrid w:val="0"/>
          <w:color w:val="000000"/>
          <w:kern w:val="0"/>
          <w:position w:val="-2"/>
          <w:szCs w:val="21"/>
        </w:rPr>
        <w:t>：几何尺寸、粗糙度、平面度、圆度、同轴度、垂直度、中心偏差、高程。必要时，可增加材料力学性能、焊缝质量。</w:t>
      </w:r>
      <w:bookmarkEnd w:id="123"/>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4 </w:t>
      </w:r>
      <w:r>
        <w:rPr>
          <w:rFonts w:hint="eastAsia" w:asciiTheme="minorEastAsia" w:hAnsiTheme="minorEastAsia" w:cstheme="minorEastAsia"/>
          <w:snapToGrid w:val="0"/>
          <w:color w:val="000000"/>
          <w:kern w:val="0"/>
          <w:szCs w:val="21"/>
        </w:rPr>
        <w:t xml:space="preserve"> 水泵性能参数质量检测项目宜包括：流量、扬程、转速、轴功率、效率、振动、摆度、压力脉动、噪声、空蚀和磨蚀。</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position w:val="-2"/>
          <w:szCs w:val="21"/>
        </w:rPr>
      </w:pPr>
      <w:r>
        <w:rPr>
          <w:rFonts w:hint="eastAsia" w:ascii="黑体" w:hAnsi="黑体" w:eastAsia="黑体" w:cs="黑体"/>
          <w:snapToGrid w:val="0"/>
          <w:color w:val="000000"/>
          <w:kern w:val="0"/>
          <w:szCs w:val="21"/>
        </w:rPr>
        <w:t>5</w:t>
      </w:r>
      <w:r>
        <w:rPr>
          <w:rFonts w:hint="eastAsia" w:asciiTheme="minorEastAsia" w:hAnsiTheme="minorEastAsia" w:cstheme="minorEastAsia"/>
          <w:snapToGrid w:val="0"/>
          <w:color w:val="000000"/>
          <w:kern w:val="0"/>
          <w:position w:val="-2"/>
          <w:szCs w:val="21"/>
        </w:rPr>
        <w:t xml:space="preserve">  调速系统质量检测项目宜包括：调速系统静态及动态特性。</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position w:val="-2"/>
          <w:szCs w:val="21"/>
        </w:rPr>
      </w:pPr>
      <w:r>
        <w:rPr>
          <w:rFonts w:hint="eastAsia" w:ascii="黑体" w:hAnsi="黑体" w:eastAsia="黑体" w:cs="黑体"/>
          <w:snapToGrid w:val="0"/>
          <w:color w:val="000000"/>
          <w:kern w:val="0"/>
          <w:szCs w:val="21"/>
        </w:rPr>
        <w:t>6</w:t>
      </w:r>
      <w:r>
        <w:rPr>
          <w:rFonts w:hint="eastAsia" w:asciiTheme="minorEastAsia" w:hAnsiTheme="minorEastAsia" w:cstheme="minorEastAsia"/>
          <w:snapToGrid w:val="0"/>
          <w:color w:val="000000"/>
          <w:kern w:val="0"/>
          <w:position w:val="-2"/>
          <w:szCs w:val="21"/>
        </w:rPr>
        <w:t xml:space="preserve">  进水阀质量检测项目宜包括：静水动作试验和动水关闭试验。</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position w:val="-2"/>
          <w:szCs w:val="21"/>
        </w:rPr>
      </w:pPr>
      <w:r>
        <w:rPr>
          <w:rFonts w:hint="eastAsia" w:ascii="黑体" w:hAnsi="黑体" w:eastAsia="黑体" w:cs="黑体"/>
          <w:snapToGrid w:val="0"/>
          <w:color w:val="000000"/>
          <w:kern w:val="0"/>
          <w:szCs w:val="21"/>
        </w:rPr>
        <w:t>7</w:t>
      </w:r>
      <w:r>
        <w:rPr>
          <w:rFonts w:hint="eastAsia" w:asciiTheme="minorEastAsia" w:hAnsiTheme="minorEastAsia" w:cstheme="minorEastAsia"/>
          <w:snapToGrid w:val="0"/>
          <w:color w:val="000000"/>
          <w:kern w:val="0"/>
          <w:position w:val="-2"/>
          <w:szCs w:val="21"/>
        </w:rPr>
        <w:t xml:space="preserve">  水轮发电机组综合性能检测：机组启动试运行试验、水轮机性能试验、水轮发电机性能试验。</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position w:val="-2"/>
          <w:szCs w:val="21"/>
        </w:rPr>
      </w:pPr>
      <w:r>
        <w:rPr>
          <w:rFonts w:hint="eastAsia" w:ascii="黑体" w:hAnsi="黑体" w:eastAsia="黑体" w:cs="黑体"/>
          <w:snapToGrid w:val="0"/>
          <w:color w:val="000000"/>
          <w:kern w:val="0"/>
          <w:szCs w:val="21"/>
        </w:rPr>
        <w:t xml:space="preserve">8 </w:t>
      </w:r>
      <w:r>
        <w:rPr>
          <w:rFonts w:hint="eastAsia" w:asciiTheme="minorEastAsia" w:hAnsiTheme="minorEastAsia" w:cstheme="minorEastAsia"/>
          <w:snapToGrid w:val="0"/>
          <w:color w:val="000000"/>
          <w:kern w:val="0"/>
          <w:position w:val="-2"/>
          <w:szCs w:val="21"/>
        </w:rPr>
        <w:t xml:space="preserve"> 水泵机组综合性能检测：流量、扬程、转速、输入功率、装置效率。</w:t>
      </w:r>
    </w:p>
    <w:p>
      <w:pPr>
        <w:widowControl/>
        <w:kinsoku w:val="0"/>
        <w:autoSpaceDE w:val="0"/>
        <w:autoSpaceDN w:val="0"/>
        <w:adjustRightInd w:val="0"/>
        <w:snapToGrid w:val="0"/>
        <w:spacing w:line="360" w:lineRule="auto"/>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8.2.2 </w:t>
      </w:r>
      <w:r>
        <w:rPr>
          <w:rFonts w:hint="eastAsia" w:asciiTheme="minorEastAsia" w:hAnsiTheme="minorEastAsia" w:cstheme="minorEastAsia"/>
          <w:snapToGrid w:val="0"/>
          <w:color w:val="000000"/>
          <w:kern w:val="0"/>
          <w:szCs w:val="21"/>
        </w:rPr>
        <w:t xml:space="preserve"> 检测单元划分： </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1</w:t>
      </w:r>
      <w:r>
        <w:rPr>
          <w:rFonts w:hint="eastAsia" w:asciiTheme="minorEastAsia" w:hAnsiTheme="minorEastAsia" w:cstheme="minorEastAsia"/>
          <w:snapToGrid w:val="0"/>
          <w:color w:val="000000"/>
          <w:kern w:val="0"/>
          <w:szCs w:val="21"/>
        </w:rPr>
        <w:t xml:space="preserve">  每台水轮机、水泵、调速系统、进水阀为1个检测单元。</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2</w:t>
      </w:r>
      <w:r>
        <w:rPr>
          <w:rFonts w:hint="eastAsia" w:asciiTheme="minorEastAsia" w:hAnsiTheme="minorEastAsia" w:cstheme="minorEastAsia"/>
          <w:snapToGrid w:val="0"/>
          <w:color w:val="000000"/>
          <w:kern w:val="0"/>
          <w:szCs w:val="21"/>
        </w:rPr>
        <w:t xml:space="preserve">  水轮发电机组综合性能检测：每整台(套)水轮发电机组为1个检测单元。</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3 </w:t>
      </w:r>
      <w:r>
        <w:rPr>
          <w:rFonts w:hint="eastAsia" w:asciiTheme="minorEastAsia" w:hAnsiTheme="minorEastAsia" w:cstheme="minorEastAsia"/>
          <w:snapToGrid w:val="0"/>
          <w:color w:val="000000"/>
          <w:kern w:val="0"/>
          <w:szCs w:val="21"/>
        </w:rPr>
        <w:t xml:space="preserve"> 水泵机组综合性能检测：每台(套)水泵机组为1个检测单元。</w:t>
      </w:r>
    </w:p>
    <w:p>
      <w:pPr>
        <w:widowControl/>
        <w:kinsoku w:val="0"/>
        <w:autoSpaceDE w:val="0"/>
        <w:autoSpaceDN w:val="0"/>
        <w:adjustRightInd w:val="0"/>
        <w:snapToGrid w:val="0"/>
        <w:spacing w:line="360" w:lineRule="auto"/>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8.2.3</w:t>
      </w:r>
      <w:r>
        <w:rPr>
          <w:rFonts w:hint="eastAsia" w:asciiTheme="minorEastAsia" w:hAnsiTheme="minorEastAsia" w:cstheme="minorEastAsia"/>
          <w:snapToGrid w:val="0"/>
          <w:color w:val="000000"/>
          <w:kern w:val="0"/>
          <w:position w:val="-2"/>
          <w:szCs w:val="21"/>
        </w:rPr>
        <w:t xml:space="preserve">  </w:t>
      </w:r>
      <w:r>
        <w:rPr>
          <w:rFonts w:hint="eastAsia" w:asciiTheme="minorEastAsia" w:hAnsiTheme="minorEastAsia" w:cstheme="minorEastAsia"/>
          <w:snapToGrid w:val="0"/>
          <w:color w:val="000000"/>
          <w:kern w:val="0"/>
          <w:szCs w:val="21"/>
        </w:rPr>
        <w:t>检测数量布置：检测单元内的检测项目均应进行检测。</w:t>
      </w:r>
      <w:bookmarkStart w:id="124" w:name="_Hlk177988352"/>
      <w:r>
        <w:rPr>
          <w:rFonts w:hint="eastAsia" w:asciiTheme="minorEastAsia" w:hAnsiTheme="minorEastAsia" w:cstheme="minorEastAsia"/>
          <w:snapToGrid w:val="0"/>
          <w:color w:val="000000"/>
          <w:kern w:val="0"/>
          <w:szCs w:val="21"/>
        </w:rPr>
        <w:t>对于性能检测项目应至少选择1台水轮机/水泵水轮机进行检测。</w:t>
      </w:r>
      <w:bookmarkEnd w:id="124"/>
    </w:p>
    <w:p>
      <w:pPr>
        <w:widowControl/>
        <w:kinsoku w:val="0"/>
        <w:autoSpaceDE w:val="0"/>
        <w:autoSpaceDN w:val="0"/>
        <w:adjustRightInd w:val="0"/>
        <w:snapToGrid w:val="0"/>
        <w:spacing w:line="360" w:lineRule="auto"/>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8.2.4 </w:t>
      </w:r>
      <w:r>
        <w:rPr>
          <w:rFonts w:hint="eastAsia" w:asciiTheme="minorEastAsia" w:hAnsiTheme="minorEastAsia" w:cstheme="minorEastAsia"/>
          <w:snapToGrid w:val="0"/>
          <w:color w:val="000000"/>
          <w:kern w:val="0"/>
          <w:szCs w:val="21"/>
        </w:rPr>
        <w:t xml:space="preserve"> 检测方法应符合下列要求：</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position w:val="-2"/>
          <w:szCs w:val="21"/>
        </w:rPr>
      </w:pPr>
      <w:r>
        <w:rPr>
          <w:rFonts w:hint="eastAsia" w:ascii="黑体" w:hAnsi="黑体" w:eastAsia="黑体" w:cs="黑体"/>
          <w:snapToGrid w:val="0"/>
          <w:color w:val="000000"/>
          <w:kern w:val="0"/>
          <w:szCs w:val="21"/>
        </w:rPr>
        <w:t xml:space="preserve">1 </w:t>
      </w:r>
      <w:r>
        <w:rPr>
          <w:rFonts w:hint="eastAsia" w:asciiTheme="minorEastAsia" w:hAnsiTheme="minorEastAsia" w:cstheme="minorEastAsia"/>
          <w:snapToGrid w:val="0"/>
          <w:color w:val="000000"/>
          <w:kern w:val="0"/>
          <w:szCs w:val="21"/>
        </w:rPr>
        <w:t xml:space="preserve"> 水轮机/水泵水轮机制造及安装质量检测方法</w:t>
      </w:r>
      <w:r>
        <w:rPr>
          <w:rFonts w:hint="eastAsia" w:asciiTheme="minorEastAsia" w:hAnsiTheme="minorEastAsia" w:cstheme="minorEastAsia"/>
          <w:snapToGrid w:val="0"/>
          <w:color w:val="000000"/>
          <w:kern w:val="0"/>
          <w:position w:val="-2"/>
          <w:szCs w:val="21"/>
        </w:rPr>
        <w:t>应符合下列要求：</w:t>
      </w:r>
    </w:p>
    <w:p>
      <w:pPr>
        <w:widowControl/>
        <w:kinsoku w:val="0"/>
        <w:autoSpaceDE w:val="0"/>
        <w:autoSpaceDN w:val="0"/>
        <w:adjustRightInd w:val="0"/>
        <w:snapToGrid w:val="0"/>
        <w:spacing w:line="360" w:lineRule="auto"/>
        <w:ind w:left="1058" w:leftChars="300" w:hanging="428" w:hangingChars="204"/>
        <w:textAlignment w:val="baseline"/>
        <w:rPr>
          <w:rFonts w:hint="eastAsia" w:asciiTheme="minorEastAsia" w:hAnsiTheme="minorEastAsia" w:cstheme="minorEastAsia"/>
          <w:snapToGrid w:val="0"/>
          <w:color w:val="000000"/>
          <w:kern w:val="0"/>
          <w:szCs w:val="21"/>
        </w:rPr>
      </w:pPr>
      <w:r>
        <w:rPr>
          <w:rFonts w:ascii="黑体" w:hAnsi="黑体" w:eastAsia="黑体" w:cs="黑体"/>
          <w:snapToGrid w:val="0"/>
          <w:color w:val="000000"/>
          <w:kern w:val="0"/>
          <w:szCs w:val="21"/>
        </w:rPr>
        <w:t>1)</w:t>
      </w:r>
      <w:r>
        <w:rPr>
          <w:rFonts w:hint="eastAsia" w:asciiTheme="minorEastAsia" w:hAnsiTheme="minorEastAsia" w:cstheme="minorEastAsia"/>
          <w:snapToGrid w:val="0"/>
          <w:color w:val="000000"/>
          <w:kern w:val="0"/>
          <w:szCs w:val="21"/>
        </w:rPr>
        <w:t xml:space="preserve"> 通流部件几何型线及尺寸：使用CMM(坐标测量仪)光学测量系统、样板等方法检测。</w:t>
      </w:r>
    </w:p>
    <w:p>
      <w:pPr>
        <w:widowControl/>
        <w:kinsoku w:val="0"/>
        <w:autoSpaceDE w:val="0"/>
        <w:autoSpaceDN w:val="0"/>
        <w:adjustRightInd w:val="0"/>
        <w:snapToGrid w:val="0"/>
        <w:spacing w:line="360" w:lineRule="auto"/>
        <w:ind w:left="1058" w:leftChars="300" w:hanging="428" w:hangingChars="204"/>
        <w:textAlignment w:val="baseline"/>
        <w:rPr>
          <w:rFonts w:hint="eastAsia" w:asciiTheme="minorEastAsia" w:hAnsiTheme="minorEastAsia" w:cstheme="minorEastAsia"/>
          <w:snapToGrid w:val="0"/>
          <w:color w:val="000000"/>
          <w:kern w:val="0"/>
          <w:szCs w:val="21"/>
        </w:rPr>
      </w:pPr>
      <w:r>
        <w:rPr>
          <w:rFonts w:ascii="黑体" w:hAnsi="黑体" w:eastAsia="黑体" w:cs="黑体"/>
          <w:snapToGrid w:val="0"/>
          <w:color w:val="000000"/>
          <w:kern w:val="0"/>
          <w:szCs w:val="21"/>
        </w:rPr>
        <w:t>2)</w:t>
      </w:r>
      <w:r>
        <w:rPr>
          <w:rFonts w:hint="eastAsia" w:asciiTheme="minorEastAsia" w:hAnsiTheme="minorEastAsia" w:cstheme="minorEastAsia"/>
          <w:snapToGrid w:val="0"/>
          <w:color w:val="000000"/>
          <w:kern w:val="0"/>
          <w:szCs w:val="21"/>
        </w:rPr>
        <w:t xml:space="preserve"> 波浪度：采用挠性尺进行检测，挠性尺与叶片表面两个接触峰点之间最小距离不应小于10mm。</w:t>
      </w:r>
    </w:p>
    <w:p>
      <w:pPr>
        <w:widowControl/>
        <w:kinsoku w:val="0"/>
        <w:autoSpaceDE w:val="0"/>
        <w:autoSpaceDN w:val="0"/>
        <w:adjustRightInd w:val="0"/>
        <w:snapToGrid w:val="0"/>
        <w:spacing w:line="360" w:lineRule="auto"/>
        <w:ind w:left="1058" w:leftChars="300" w:hanging="428" w:hangingChars="204"/>
        <w:textAlignment w:val="baseline"/>
        <w:rPr>
          <w:rFonts w:hint="eastAsia" w:asciiTheme="minorEastAsia" w:hAnsiTheme="minorEastAsia" w:cstheme="minorEastAsia"/>
          <w:snapToGrid w:val="0"/>
          <w:color w:val="000000"/>
          <w:kern w:val="0"/>
          <w:szCs w:val="21"/>
        </w:rPr>
      </w:pPr>
      <w:r>
        <w:rPr>
          <w:rFonts w:ascii="黑体" w:hAnsi="黑体" w:eastAsia="黑体" w:cs="黑体"/>
          <w:snapToGrid w:val="0"/>
          <w:color w:val="000000"/>
          <w:kern w:val="0"/>
          <w:szCs w:val="21"/>
        </w:rPr>
        <w:t>3)</w:t>
      </w:r>
      <w:r>
        <w:rPr>
          <w:rFonts w:hint="eastAsia" w:asciiTheme="minorEastAsia" w:hAnsiTheme="minorEastAsia" w:cstheme="minorEastAsia"/>
          <w:snapToGrid w:val="0"/>
          <w:color w:val="000000"/>
          <w:kern w:val="0"/>
          <w:szCs w:val="21"/>
        </w:rPr>
        <w:t xml:space="preserve"> 粗糙度：采用粗糙度仪或表面粗糙度比较样块进行检测。</w:t>
      </w:r>
    </w:p>
    <w:p>
      <w:pPr>
        <w:widowControl/>
        <w:kinsoku w:val="0"/>
        <w:autoSpaceDE w:val="0"/>
        <w:autoSpaceDN w:val="0"/>
        <w:adjustRightInd w:val="0"/>
        <w:snapToGrid w:val="0"/>
        <w:spacing w:line="360" w:lineRule="auto"/>
        <w:ind w:left="1058" w:leftChars="300" w:hanging="428" w:hangingChars="204"/>
        <w:textAlignment w:val="baseline"/>
        <w:rPr>
          <w:rFonts w:hint="eastAsia" w:asciiTheme="minorEastAsia" w:hAnsiTheme="minorEastAsia" w:cstheme="minorEastAsia"/>
          <w:snapToGrid w:val="0"/>
          <w:color w:val="000000"/>
          <w:kern w:val="0"/>
          <w:szCs w:val="21"/>
        </w:rPr>
      </w:pPr>
      <w:r>
        <w:rPr>
          <w:rFonts w:ascii="黑体" w:hAnsi="黑体" w:eastAsia="黑体" w:cs="黑体"/>
          <w:snapToGrid w:val="0"/>
          <w:color w:val="000000"/>
          <w:kern w:val="0"/>
          <w:szCs w:val="21"/>
        </w:rPr>
        <w:t>4)</w:t>
      </w:r>
      <w:r>
        <w:rPr>
          <w:rFonts w:hint="eastAsia" w:asciiTheme="minorEastAsia" w:hAnsiTheme="minorEastAsia" w:cstheme="minorEastAsia"/>
          <w:snapToGrid w:val="0"/>
          <w:color w:val="000000"/>
          <w:kern w:val="0"/>
          <w:szCs w:val="21"/>
        </w:rPr>
        <w:t xml:space="preserve"> 硬度：采用里氏硬度计进行检测，每个测点应至少进行三次试验，并计算其算术平均值。如果硬度值相互之差超过20HL，应增加试验次数，并计算算术平均值。</w:t>
      </w:r>
    </w:p>
    <w:p>
      <w:pPr>
        <w:widowControl/>
        <w:kinsoku w:val="0"/>
        <w:autoSpaceDE w:val="0"/>
        <w:autoSpaceDN w:val="0"/>
        <w:adjustRightInd w:val="0"/>
        <w:snapToGrid w:val="0"/>
        <w:spacing w:line="360" w:lineRule="auto"/>
        <w:ind w:left="1058" w:leftChars="300" w:hanging="428" w:hangingChars="204"/>
        <w:textAlignment w:val="baseline"/>
        <w:rPr>
          <w:rFonts w:hint="eastAsia" w:asciiTheme="minorEastAsia" w:hAnsiTheme="minorEastAsia" w:cstheme="minorEastAsia"/>
          <w:snapToGrid w:val="0"/>
          <w:color w:val="000000"/>
          <w:kern w:val="0"/>
          <w:szCs w:val="21"/>
        </w:rPr>
      </w:pPr>
      <w:r>
        <w:rPr>
          <w:rFonts w:ascii="黑体" w:hAnsi="黑体" w:eastAsia="黑体" w:cs="黑体"/>
          <w:snapToGrid w:val="0"/>
          <w:color w:val="000000"/>
          <w:kern w:val="0"/>
          <w:szCs w:val="21"/>
        </w:rPr>
        <w:t>5)</w:t>
      </w:r>
      <w:r>
        <w:rPr>
          <w:rFonts w:hint="eastAsia" w:asciiTheme="minorEastAsia" w:hAnsiTheme="minorEastAsia" w:cstheme="minorEastAsia"/>
          <w:snapToGrid w:val="0"/>
          <w:color w:val="000000"/>
          <w:kern w:val="0"/>
          <w:szCs w:val="21"/>
        </w:rPr>
        <w:t xml:space="preserve"> 平面度：采用平衡梁、方型水平仪或水准仪或全站仪检测。</w:t>
      </w:r>
    </w:p>
    <w:p>
      <w:pPr>
        <w:widowControl/>
        <w:kinsoku w:val="0"/>
        <w:autoSpaceDE w:val="0"/>
        <w:autoSpaceDN w:val="0"/>
        <w:adjustRightInd w:val="0"/>
        <w:snapToGrid w:val="0"/>
        <w:spacing w:line="360" w:lineRule="auto"/>
        <w:ind w:left="1058" w:leftChars="504"/>
        <w:textAlignment w:val="baseline"/>
        <w:rPr>
          <w:rFonts w:hint="eastAsia" w:asciiTheme="minorEastAsia" w:hAnsiTheme="minorEastAsia" w:cstheme="minorEastAsia"/>
          <w:snapToGrid w:val="0"/>
          <w:color w:val="000000"/>
          <w:kern w:val="0"/>
          <w:szCs w:val="21"/>
        </w:rPr>
      </w:pPr>
      <w:r>
        <w:rPr>
          <w:rFonts w:hint="eastAsia" w:asciiTheme="minorEastAsia" w:hAnsiTheme="minorEastAsia" w:cstheme="minorEastAsia"/>
          <w:snapToGrid w:val="0"/>
          <w:color w:val="000000"/>
          <w:kern w:val="0"/>
          <w:szCs w:val="21"/>
        </w:rPr>
        <w:t>圆度/同轴度：采用挂钢琴线，用测杆方法检测。</w:t>
      </w:r>
    </w:p>
    <w:p>
      <w:pPr>
        <w:widowControl/>
        <w:kinsoku w:val="0"/>
        <w:autoSpaceDE w:val="0"/>
        <w:autoSpaceDN w:val="0"/>
        <w:adjustRightInd w:val="0"/>
        <w:snapToGrid w:val="0"/>
        <w:spacing w:line="360" w:lineRule="auto"/>
        <w:ind w:left="1058" w:leftChars="504"/>
        <w:textAlignment w:val="baseline"/>
        <w:rPr>
          <w:rFonts w:hint="eastAsia" w:asciiTheme="minorEastAsia" w:hAnsiTheme="minorEastAsia" w:cstheme="minorEastAsia"/>
          <w:snapToGrid w:val="0"/>
          <w:color w:val="000000"/>
          <w:kern w:val="0"/>
          <w:szCs w:val="21"/>
        </w:rPr>
      </w:pPr>
      <w:r>
        <w:rPr>
          <w:rFonts w:hint="eastAsia" w:asciiTheme="minorEastAsia" w:hAnsiTheme="minorEastAsia" w:cstheme="minorEastAsia"/>
          <w:snapToGrid w:val="0"/>
          <w:color w:val="000000"/>
          <w:kern w:val="0"/>
          <w:szCs w:val="21"/>
        </w:rPr>
        <w:t>垂直度：采用方型水平仪检测。</w:t>
      </w:r>
    </w:p>
    <w:p>
      <w:pPr>
        <w:widowControl/>
        <w:kinsoku w:val="0"/>
        <w:autoSpaceDE w:val="0"/>
        <w:autoSpaceDN w:val="0"/>
        <w:adjustRightInd w:val="0"/>
        <w:snapToGrid w:val="0"/>
        <w:spacing w:line="360" w:lineRule="auto"/>
        <w:ind w:left="855" w:leftChars="407" w:firstLine="203" w:firstLineChars="97"/>
        <w:textAlignment w:val="baseline"/>
        <w:rPr>
          <w:rFonts w:hint="eastAsia" w:asciiTheme="minorEastAsia" w:hAnsiTheme="minorEastAsia" w:cstheme="minorEastAsia"/>
          <w:snapToGrid w:val="0"/>
          <w:color w:val="000000"/>
          <w:kern w:val="0"/>
          <w:szCs w:val="21"/>
        </w:rPr>
      </w:pPr>
      <w:r>
        <w:rPr>
          <w:rFonts w:hint="eastAsia" w:asciiTheme="minorEastAsia" w:hAnsiTheme="minorEastAsia" w:cstheme="minorEastAsia"/>
          <w:snapToGrid w:val="0"/>
          <w:color w:val="000000"/>
          <w:kern w:val="0"/>
          <w:szCs w:val="21"/>
        </w:rPr>
        <w:t>中心偏差：采用挂钢琴线，用钢板尺方法检测。</w:t>
      </w:r>
    </w:p>
    <w:p>
      <w:pPr>
        <w:widowControl/>
        <w:kinsoku w:val="0"/>
        <w:autoSpaceDE w:val="0"/>
        <w:autoSpaceDN w:val="0"/>
        <w:adjustRightInd w:val="0"/>
        <w:snapToGrid w:val="0"/>
        <w:spacing w:line="360" w:lineRule="auto"/>
        <w:ind w:left="1056" w:leftChars="503"/>
        <w:textAlignment w:val="baseline"/>
        <w:rPr>
          <w:rFonts w:hint="eastAsia" w:asciiTheme="minorEastAsia" w:hAnsiTheme="minorEastAsia" w:cstheme="minorEastAsia"/>
          <w:snapToGrid w:val="0"/>
          <w:color w:val="000000"/>
          <w:kern w:val="0"/>
          <w:szCs w:val="21"/>
        </w:rPr>
      </w:pPr>
      <w:r>
        <w:rPr>
          <w:rFonts w:hint="eastAsia" w:asciiTheme="minorEastAsia" w:hAnsiTheme="minorEastAsia" w:cstheme="minorEastAsia"/>
          <w:snapToGrid w:val="0"/>
          <w:color w:val="000000"/>
          <w:kern w:val="0"/>
          <w:szCs w:val="21"/>
        </w:rPr>
        <w:t>高程：采用水准仪、钢板尺检测。</w:t>
      </w:r>
    </w:p>
    <w:p>
      <w:pPr>
        <w:widowControl/>
        <w:kinsoku w:val="0"/>
        <w:autoSpaceDE w:val="0"/>
        <w:autoSpaceDN w:val="0"/>
        <w:adjustRightInd w:val="0"/>
        <w:snapToGrid w:val="0"/>
        <w:spacing w:line="360" w:lineRule="auto"/>
        <w:ind w:left="840" w:leftChars="400" w:firstLine="218" w:firstLineChars="104"/>
        <w:textAlignment w:val="baseline"/>
        <w:rPr>
          <w:rFonts w:hint="eastAsia" w:asciiTheme="minorEastAsia" w:hAnsiTheme="minorEastAsia" w:cstheme="minorEastAsia"/>
          <w:snapToGrid w:val="0"/>
          <w:color w:val="000000"/>
          <w:kern w:val="0"/>
          <w:szCs w:val="21"/>
        </w:rPr>
      </w:pPr>
      <w:r>
        <w:rPr>
          <w:rFonts w:hint="eastAsia" w:asciiTheme="minorEastAsia" w:hAnsiTheme="minorEastAsia" w:cstheme="minorEastAsia"/>
          <w:snapToGrid w:val="0"/>
          <w:color w:val="000000"/>
          <w:kern w:val="0"/>
          <w:szCs w:val="21"/>
        </w:rPr>
        <w:t>止漏环间隙：采用塞尺检测。</w:t>
      </w:r>
    </w:p>
    <w:p>
      <w:pPr>
        <w:widowControl/>
        <w:kinsoku w:val="0"/>
        <w:autoSpaceDE w:val="0"/>
        <w:autoSpaceDN w:val="0"/>
        <w:adjustRightInd w:val="0"/>
        <w:snapToGrid w:val="0"/>
        <w:spacing w:line="360" w:lineRule="auto"/>
        <w:ind w:left="1058" w:leftChars="300" w:hanging="428" w:hangingChars="204"/>
        <w:textAlignment w:val="baseline"/>
        <w:rPr>
          <w:rFonts w:hint="eastAsia" w:asciiTheme="minorEastAsia" w:hAnsiTheme="minorEastAsia" w:cstheme="minorEastAsia"/>
          <w:snapToGrid w:val="0"/>
          <w:color w:val="000000"/>
          <w:kern w:val="0"/>
          <w:szCs w:val="21"/>
        </w:rPr>
      </w:pPr>
      <w:r>
        <w:rPr>
          <w:rFonts w:ascii="黑体" w:hAnsi="黑体" w:eastAsia="黑体" w:cs="黑体"/>
          <w:snapToGrid w:val="0"/>
          <w:color w:val="000000"/>
          <w:kern w:val="0"/>
          <w:szCs w:val="21"/>
        </w:rPr>
        <w:t>6)</w:t>
      </w:r>
      <w:r>
        <w:rPr>
          <w:rFonts w:hint="eastAsia" w:asciiTheme="minorEastAsia" w:hAnsiTheme="minorEastAsia" w:cstheme="minorEastAsia"/>
          <w:snapToGrid w:val="0"/>
          <w:color w:val="000000"/>
          <w:kern w:val="0"/>
          <w:szCs w:val="21"/>
        </w:rPr>
        <w:t xml:space="preserve"> 残余应力：采用钻孔应变法检测。</w:t>
      </w:r>
    </w:p>
    <w:p>
      <w:pPr>
        <w:widowControl/>
        <w:kinsoku w:val="0"/>
        <w:autoSpaceDE w:val="0"/>
        <w:autoSpaceDN w:val="0"/>
        <w:adjustRightInd w:val="0"/>
        <w:snapToGrid w:val="0"/>
        <w:spacing w:line="360" w:lineRule="auto"/>
        <w:ind w:left="1058" w:leftChars="300" w:hanging="428" w:hangingChars="204"/>
        <w:textAlignment w:val="baseline"/>
        <w:rPr>
          <w:rFonts w:hint="eastAsia" w:asciiTheme="minorEastAsia" w:hAnsiTheme="minorEastAsia" w:cstheme="minorEastAsia"/>
          <w:snapToGrid w:val="0"/>
          <w:color w:val="000000"/>
          <w:kern w:val="0"/>
          <w:szCs w:val="21"/>
        </w:rPr>
      </w:pPr>
      <w:r>
        <w:rPr>
          <w:rFonts w:ascii="黑体" w:hAnsi="黑体" w:eastAsia="黑体" w:cs="黑体"/>
          <w:snapToGrid w:val="0"/>
          <w:color w:val="000000"/>
          <w:kern w:val="0"/>
          <w:szCs w:val="21"/>
        </w:rPr>
        <w:t>7)</w:t>
      </w:r>
      <w:r>
        <w:rPr>
          <w:rFonts w:hint="eastAsia" w:asciiTheme="minorEastAsia" w:hAnsiTheme="minorEastAsia" w:cstheme="minorEastAsia"/>
          <w:snapToGrid w:val="0"/>
          <w:color w:val="000000"/>
          <w:kern w:val="0"/>
          <w:szCs w:val="21"/>
        </w:rPr>
        <w:t xml:space="preserve"> 材料力学性能、焊缝质量按7.1.2条和7.1.4条有关规定执行。</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2  </w:t>
      </w:r>
      <w:r>
        <w:rPr>
          <w:rFonts w:hint="eastAsia" w:asciiTheme="minorEastAsia" w:hAnsiTheme="minorEastAsia" w:cstheme="minorEastAsia"/>
          <w:snapToGrid w:val="0"/>
          <w:color w:val="000000"/>
          <w:kern w:val="0"/>
          <w:szCs w:val="21"/>
        </w:rPr>
        <w:t>水轮机/水泵水轮机性能参数检测方法应符合下列要求：</w:t>
      </w:r>
    </w:p>
    <w:p>
      <w:pPr>
        <w:widowControl/>
        <w:kinsoku w:val="0"/>
        <w:autoSpaceDE w:val="0"/>
        <w:autoSpaceDN w:val="0"/>
        <w:adjustRightInd w:val="0"/>
        <w:snapToGrid w:val="0"/>
        <w:spacing w:line="360" w:lineRule="auto"/>
        <w:ind w:left="1058" w:leftChars="300" w:hanging="428" w:hangingChars="204"/>
        <w:textAlignment w:val="baseline"/>
        <w:rPr>
          <w:rFonts w:hint="eastAsia" w:asciiTheme="minorEastAsia" w:hAnsiTheme="minorEastAsia" w:cstheme="minorEastAsia"/>
          <w:snapToGrid w:val="0"/>
          <w:color w:val="000000"/>
          <w:kern w:val="0"/>
          <w:szCs w:val="21"/>
        </w:rPr>
      </w:pPr>
      <w:bookmarkStart w:id="125" w:name="_Hlk177984724"/>
      <w:r>
        <w:rPr>
          <w:rFonts w:ascii="黑体" w:hAnsi="黑体" w:eastAsia="黑体" w:cs="黑体"/>
          <w:snapToGrid w:val="0"/>
          <w:color w:val="000000"/>
          <w:kern w:val="0"/>
          <w:szCs w:val="21"/>
        </w:rPr>
        <w:t>1)</w:t>
      </w:r>
      <w:r>
        <w:rPr>
          <w:rFonts w:hint="eastAsia" w:asciiTheme="minorEastAsia" w:hAnsiTheme="minorEastAsia" w:cstheme="minorEastAsia"/>
          <w:snapToGrid w:val="0"/>
          <w:color w:val="000000"/>
          <w:kern w:val="0"/>
          <w:szCs w:val="21"/>
        </w:rPr>
        <w:t xml:space="preserve"> 水头/扬程、流量、出力（轴功率）、效率</w:t>
      </w:r>
      <w:bookmarkEnd w:id="125"/>
      <w:r>
        <w:rPr>
          <w:rFonts w:hint="eastAsia" w:asciiTheme="minorEastAsia" w:hAnsiTheme="minorEastAsia" w:cstheme="minorEastAsia"/>
          <w:snapToGrid w:val="0"/>
          <w:color w:val="000000"/>
          <w:kern w:val="0"/>
          <w:szCs w:val="21"/>
        </w:rPr>
        <w:t>：应执行GB/T 20043的规定；小型水轮机应执行SL 555的规定。</w:t>
      </w:r>
    </w:p>
    <w:p>
      <w:pPr>
        <w:widowControl/>
        <w:kinsoku w:val="0"/>
        <w:autoSpaceDE w:val="0"/>
        <w:autoSpaceDN w:val="0"/>
        <w:adjustRightInd w:val="0"/>
        <w:snapToGrid w:val="0"/>
        <w:spacing w:line="360" w:lineRule="auto"/>
        <w:ind w:left="1058" w:leftChars="300" w:hanging="428" w:hangingChars="204"/>
        <w:textAlignment w:val="baseline"/>
        <w:rPr>
          <w:rFonts w:hint="eastAsia" w:asciiTheme="minorEastAsia" w:hAnsiTheme="minorEastAsia" w:cstheme="minorEastAsia"/>
          <w:snapToGrid w:val="0"/>
          <w:color w:val="000000"/>
          <w:kern w:val="0"/>
          <w:szCs w:val="21"/>
        </w:rPr>
      </w:pPr>
      <w:r>
        <w:rPr>
          <w:rFonts w:ascii="黑体" w:hAnsi="黑体" w:eastAsia="黑体" w:cs="黑体"/>
          <w:snapToGrid w:val="0"/>
          <w:color w:val="000000"/>
          <w:kern w:val="0"/>
          <w:szCs w:val="21"/>
        </w:rPr>
        <w:t>2)</w:t>
      </w:r>
      <w:r>
        <w:rPr>
          <w:rFonts w:hint="eastAsia" w:asciiTheme="minorEastAsia" w:hAnsiTheme="minorEastAsia" w:cstheme="minorEastAsia"/>
          <w:snapToGrid w:val="0"/>
          <w:color w:val="000000"/>
          <w:kern w:val="0"/>
          <w:szCs w:val="21"/>
        </w:rPr>
        <w:t xml:space="preserve"> 顶盖振动：采用振动传感器检测。</w:t>
      </w:r>
    </w:p>
    <w:p>
      <w:pPr>
        <w:widowControl/>
        <w:kinsoku w:val="0"/>
        <w:autoSpaceDE w:val="0"/>
        <w:autoSpaceDN w:val="0"/>
        <w:adjustRightInd w:val="0"/>
        <w:snapToGrid w:val="0"/>
        <w:spacing w:line="360" w:lineRule="auto"/>
        <w:ind w:left="1058" w:leftChars="300" w:hanging="428" w:hangingChars="204"/>
        <w:textAlignment w:val="baseline"/>
        <w:rPr>
          <w:rFonts w:hint="eastAsia" w:asciiTheme="minorEastAsia" w:hAnsiTheme="minorEastAsia" w:cstheme="minorEastAsia"/>
          <w:snapToGrid w:val="0"/>
          <w:color w:val="000000"/>
          <w:kern w:val="0"/>
          <w:szCs w:val="21"/>
        </w:rPr>
      </w:pPr>
      <w:r>
        <w:rPr>
          <w:rFonts w:ascii="黑体" w:hAnsi="黑体" w:eastAsia="黑体" w:cs="黑体"/>
          <w:snapToGrid w:val="0"/>
          <w:color w:val="000000"/>
          <w:kern w:val="0"/>
          <w:szCs w:val="21"/>
        </w:rPr>
        <w:t>3)</w:t>
      </w:r>
      <w:r>
        <w:rPr>
          <w:rFonts w:hint="eastAsia" w:asciiTheme="minorEastAsia" w:hAnsiTheme="minorEastAsia" w:cstheme="minorEastAsia"/>
          <w:snapToGrid w:val="0"/>
          <w:color w:val="000000"/>
          <w:kern w:val="0"/>
          <w:szCs w:val="21"/>
        </w:rPr>
        <w:t xml:space="preserve"> 水导摆度：采用电涡流传感器检测。</w:t>
      </w:r>
    </w:p>
    <w:p>
      <w:pPr>
        <w:widowControl/>
        <w:kinsoku w:val="0"/>
        <w:autoSpaceDE w:val="0"/>
        <w:autoSpaceDN w:val="0"/>
        <w:adjustRightInd w:val="0"/>
        <w:snapToGrid w:val="0"/>
        <w:spacing w:line="360" w:lineRule="auto"/>
        <w:ind w:left="1058" w:leftChars="300" w:hanging="428" w:hangingChars="204"/>
        <w:textAlignment w:val="baseline"/>
        <w:rPr>
          <w:rFonts w:hint="eastAsia" w:asciiTheme="minorEastAsia" w:hAnsiTheme="minorEastAsia" w:cstheme="minorEastAsia"/>
          <w:snapToGrid w:val="0"/>
          <w:color w:val="000000"/>
          <w:kern w:val="0"/>
          <w:szCs w:val="21"/>
        </w:rPr>
      </w:pPr>
      <w:r>
        <w:rPr>
          <w:rFonts w:ascii="黑体" w:hAnsi="黑体" w:eastAsia="黑体" w:cs="黑体"/>
          <w:snapToGrid w:val="0"/>
          <w:color w:val="000000"/>
          <w:kern w:val="0"/>
          <w:szCs w:val="21"/>
        </w:rPr>
        <w:t>4)</w:t>
      </w:r>
      <w:r>
        <w:rPr>
          <w:rFonts w:hint="eastAsia" w:asciiTheme="minorEastAsia" w:hAnsiTheme="minorEastAsia" w:cstheme="minorEastAsia"/>
          <w:snapToGrid w:val="0"/>
          <w:color w:val="000000"/>
          <w:kern w:val="0"/>
          <w:szCs w:val="21"/>
        </w:rPr>
        <w:t xml:space="preserve"> 压力脉动：采用压力传感器检测。</w:t>
      </w:r>
    </w:p>
    <w:p>
      <w:pPr>
        <w:widowControl/>
        <w:kinsoku w:val="0"/>
        <w:autoSpaceDE w:val="0"/>
        <w:autoSpaceDN w:val="0"/>
        <w:adjustRightInd w:val="0"/>
        <w:snapToGrid w:val="0"/>
        <w:spacing w:line="360" w:lineRule="auto"/>
        <w:ind w:left="1058" w:leftChars="300" w:hanging="428" w:hangingChars="204"/>
        <w:textAlignment w:val="baseline"/>
        <w:rPr>
          <w:rFonts w:hint="eastAsia" w:asciiTheme="minorEastAsia" w:hAnsiTheme="minorEastAsia" w:cstheme="minorEastAsia"/>
          <w:snapToGrid w:val="0"/>
          <w:color w:val="000000"/>
          <w:kern w:val="0"/>
          <w:szCs w:val="21"/>
        </w:rPr>
      </w:pPr>
      <w:r>
        <w:rPr>
          <w:rFonts w:ascii="黑体" w:hAnsi="黑体" w:eastAsia="黑体" w:cs="黑体"/>
          <w:snapToGrid w:val="0"/>
          <w:color w:val="000000"/>
          <w:kern w:val="0"/>
          <w:szCs w:val="21"/>
        </w:rPr>
        <w:t>5)</w:t>
      </w:r>
      <w:r>
        <w:rPr>
          <w:rFonts w:hint="eastAsia" w:asciiTheme="minorEastAsia" w:hAnsiTheme="minorEastAsia" w:cstheme="minorEastAsia"/>
          <w:snapToGrid w:val="0"/>
          <w:color w:val="000000"/>
          <w:kern w:val="0"/>
          <w:szCs w:val="21"/>
        </w:rPr>
        <w:t xml:space="preserve"> 转速：宜采用数字式转速仪直接检测，或通过测量转速脉冲计算得到转速值。</w:t>
      </w:r>
    </w:p>
    <w:p>
      <w:pPr>
        <w:widowControl/>
        <w:kinsoku w:val="0"/>
        <w:autoSpaceDE w:val="0"/>
        <w:autoSpaceDN w:val="0"/>
        <w:adjustRightInd w:val="0"/>
        <w:snapToGrid w:val="0"/>
        <w:spacing w:line="360" w:lineRule="auto"/>
        <w:ind w:left="1058" w:leftChars="300" w:hanging="428" w:hangingChars="204"/>
        <w:textAlignment w:val="baseline"/>
        <w:rPr>
          <w:rFonts w:hint="eastAsia" w:asciiTheme="minorEastAsia" w:hAnsiTheme="minorEastAsia" w:cstheme="minorEastAsia"/>
          <w:snapToGrid w:val="0"/>
          <w:color w:val="000000"/>
          <w:kern w:val="0"/>
          <w:szCs w:val="21"/>
        </w:rPr>
      </w:pPr>
      <w:r>
        <w:rPr>
          <w:rFonts w:ascii="黑体" w:hAnsi="黑体" w:eastAsia="黑体" w:cs="黑体"/>
          <w:snapToGrid w:val="0"/>
          <w:color w:val="000000"/>
          <w:kern w:val="0"/>
          <w:szCs w:val="21"/>
        </w:rPr>
        <w:t>6)</w:t>
      </w:r>
      <w:r>
        <w:rPr>
          <w:rFonts w:hint="eastAsia" w:asciiTheme="minorEastAsia" w:hAnsiTheme="minorEastAsia" w:cstheme="minorEastAsia"/>
          <w:snapToGrid w:val="0"/>
          <w:color w:val="000000"/>
          <w:kern w:val="0"/>
          <w:szCs w:val="21"/>
        </w:rPr>
        <w:t xml:space="preserve"> 噪声：采用声级计进行检测，声级计采用A计权声级。</w:t>
      </w:r>
    </w:p>
    <w:p>
      <w:pPr>
        <w:widowControl/>
        <w:kinsoku w:val="0"/>
        <w:autoSpaceDE w:val="0"/>
        <w:autoSpaceDN w:val="0"/>
        <w:adjustRightInd w:val="0"/>
        <w:snapToGrid w:val="0"/>
        <w:spacing w:line="360" w:lineRule="auto"/>
        <w:ind w:left="1058" w:leftChars="300" w:hanging="428" w:hangingChars="204"/>
        <w:textAlignment w:val="baseline"/>
        <w:rPr>
          <w:rFonts w:hint="eastAsia" w:asciiTheme="minorEastAsia" w:hAnsiTheme="minorEastAsia" w:cstheme="minorEastAsia"/>
          <w:snapToGrid w:val="0"/>
          <w:color w:val="000000"/>
          <w:kern w:val="0"/>
          <w:szCs w:val="21"/>
        </w:rPr>
      </w:pPr>
      <w:r>
        <w:rPr>
          <w:rFonts w:ascii="黑体" w:hAnsi="黑体" w:eastAsia="黑体" w:cs="黑体"/>
          <w:snapToGrid w:val="0"/>
          <w:color w:val="000000"/>
          <w:kern w:val="0"/>
          <w:szCs w:val="21"/>
        </w:rPr>
        <w:t>7)</w:t>
      </w:r>
      <w:r>
        <w:rPr>
          <w:rFonts w:hint="eastAsia" w:asciiTheme="minorEastAsia" w:hAnsiTheme="minorEastAsia" w:cstheme="minorEastAsia"/>
          <w:snapToGrid w:val="0"/>
          <w:color w:val="000000"/>
          <w:kern w:val="0"/>
          <w:szCs w:val="21"/>
        </w:rPr>
        <w:t xml:space="preserve"> 应力：采用应变片电桥法检测。</w:t>
      </w:r>
    </w:p>
    <w:p>
      <w:pPr>
        <w:widowControl/>
        <w:kinsoku w:val="0"/>
        <w:autoSpaceDE w:val="0"/>
        <w:autoSpaceDN w:val="0"/>
        <w:adjustRightInd w:val="0"/>
        <w:snapToGrid w:val="0"/>
        <w:spacing w:line="360" w:lineRule="auto"/>
        <w:ind w:left="1058" w:leftChars="300" w:hanging="428" w:hangingChars="204"/>
        <w:textAlignment w:val="baseline"/>
        <w:rPr>
          <w:rFonts w:hint="eastAsia" w:asciiTheme="minorEastAsia" w:hAnsiTheme="minorEastAsia" w:cstheme="minorEastAsia"/>
          <w:snapToGrid w:val="0"/>
          <w:color w:val="000000"/>
          <w:kern w:val="0"/>
          <w:szCs w:val="21"/>
        </w:rPr>
      </w:pPr>
      <w:bookmarkStart w:id="126" w:name="OLE_LINK6"/>
      <w:r>
        <w:rPr>
          <w:rFonts w:ascii="黑体" w:hAnsi="黑体" w:eastAsia="黑体" w:cs="黑体"/>
          <w:snapToGrid w:val="0"/>
          <w:color w:val="000000"/>
          <w:kern w:val="0"/>
          <w:szCs w:val="21"/>
        </w:rPr>
        <w:t>8)</w:t>
      </w:r>
      <w:r>
        <w:rPr>
          <w:rFonts w:hint="eastAsia" w:asciiTheme="minorEastAsia" w:hAnsiTheme="minorEastAsia" w:cstheme="minorEastAsia"/>
          <w:snapToGrid w:val="0"/>
          <w:color w:val="000000"/>
          <w:kern w:val="0"/>
          <w:szCs w:val="21"/>
        </w:rPr>
        <w:t xml:space="preserve"> 空蚀和磨蚀</w:t>
      </w:r>
      <w:bookmarkEnd w:id="126"/>
      <w:r>
        <w:rPr>
          <w:rFonts w:hint="eastAsia" w:asciiTheme="minorEastAsia" w:hAnsiTheme="minorEastAsia" w:cstheme="minorEastAsia"/>
          <w:snapToGrid w:val="0"/>
          <w:color w:val="000000"/>
          <w:kern w:val="0"/>
          <w:szCs w:val="21"/>
        </w:rPr>
        <w:t>：</w:t>
      </w:r>
    </w:p>
    <w:p>
      <w:pPr>
        <w:widowControl/>
        <w:numPr>
          <w:ilvl w:val="0"/>
          <w:numId w:val="24"/>
        </w:numPr>
        <w:kinsoku w:val="0"/>
        <w:autoSpaceDE w:val="0"/>
        <w:autoSpaceDN w:val="0"/>
        <w:adjustRightInd w:val="0"/>
        <w:snapToGrid w:val="0"/>
        <w:spacing w:line="360" w:lineRule="auto"/>
        <w:ind w:left="1463" w:leftChars="500" w:hanging="413" w:hangingChars="197"/>
        <w:textAlignment w:val="baseline"/>
        <w:rPr>
          <w:rFonts w:hint="eastAsia" w:ascii="宋体" w:hAnsi="宋体" w:eastAsia="宋体" w:cs="Times New Roman"/>
          <w:snapToGrid w:val="0"/>
          <w:color w:val="000000"/>
          <w:kern w:val="0"/>
          <w:szCs w:val="21"/>
        </w:rPr>
      </w:pPr>
      <w:r>
        <w:rPr>
          <w:rFonts w:hint="eastAsia" w:ascii="宋体" w:hAnsi="宋体" w:eastAsia="宋体" w:cs="Times New Roman"/>
          <w:snapToGrid w:val="0"/>
          <w:color w:val="000000"/>
          <w:kern w:val="0"/>
          <w:szCs w:val="21"/>
        </w:rPr>
        <w:t xml:space="preserve"> </w:t>
      </w:r>
      <w:r>
        <w:rPr>
          <w:rFonts w:ascii="宋体" w:hAnsi="宋体" w:eastAsia="宋体" w:cs="Times New Roman"/>
          <w:snapToGrid w:val="0"/>
          <w:color w:val="000000"/>
          <w:kern w:val="0"/>
          <w:szCs w:val="21"/>
        </w:rPr>
        <w:t>最大空蚀</w:t>
      </w:r>
      <w:bookmarkStart w:id="127" w:name="OLE_LINK7"/>
      <w:bookmarkStart w:id="128" w:name="OLE_LINK8"/>
      <w:r>
        <w:rPr>
          <w:rFonts w:hint="eastAsia" w:ascii="宋体" w:hAnsi="宋体" w:eastAsia="宋体" w:cs="Times New Roman"/>
          <w:snapToGrid w:val="0"/>
          <w:color w:val="000000"/>
          <w:kern w:val="0"/>
          <w:szCs w:val="21"/>
        </w:rPr>
        <w:t>或</w:t>
      </w:r>
      <w:r>
        <w:rPr>
          <w:rFonts w:ascii="宋体" w:hAnsi="宋体" w:eastAsia="宋体" w:cs="Times New Roman"/>
          <w:snapToGrid w:val="0"/>
          <w:color w:val="000000"/>
          <w:kern w:val="0"/>
          <w:szCs w:val="21"/>
        </w:rPr>
        <w:t>磨蚀</w:t>
      </w:r>
      <w:bookmarkEnd w:id="127"/>
      <w:bookmarkEnd w:id="128"/>
      <w:r>
        <w:rPr>
          <w:rFonts w:ascii="宋体" w:hAnsi="宋体" w:eastAsia="宋体" w:cs="Times New Roman"/>
          <w:snapToGrid w:val="0"/>
          <w:color w:val="000000"/>
          <w:kern w:val="0"/>
          <w:szCs w:val="21"/>
        </w:rPr>
        <w:t>深度</w:t>
      </w:r>
      <w:r>
        <w:rPr>
          <w:rFonts w:ascii="宋体" w:hAnsi="宋体" w:eastAsia="宋体" w:cs="Times New Roman"/>
          <w:i/>
          <w:iCs/>
          <w:snapToGrid w:val="0"/>
          <w:color w:val="000000"/>
          <w:kern w:val="0"/>
          <w:szCs w:val="21"/>
        </w:rPr>
        <w:t>S</w:t>
      </w:r>
      <w:r>
        <w:rPr>
          <w:rFonts w:ascii="宋体" w:hAnsi="宋体" w:eastAsia="宋体" w:cs="Times New Roman"/>
          <w:i/>
          <w:iCs/>
          <w:snapToGrid w:val="0"/>
          <w:color w:val="000000"/>
          <w:kern w:val="0"/>
          <w:szCs w:val="21"/>
          <w:vertAlign w:val="subscript"/>
        </w:rPr>
        <w:t>i</w:t>
      </w:r>
      <w:r>
        <w:rPr>
          <w:rFonts w:ascii="宋体" w:hAnsi="宋体" w:eastAsia="宋体" w:cs="Times New Roman"/>
          <w:snapToGrid w:val="0"/>
          <w:color w:val="000000"/>
          <w:kern w:val="0"/>
          <w:szCs w:val="21"/>
        </w:rPr>
        <w:t>：将样板支撑在未受损坏的叶片表面，用深度尺或测</w:t>
      </w:r>
      <w:r>
        <w:rPr>
          <w:rFonts w:hint="eastAsia" w:ascii="宋体" w:hAnsi="宋体" w:eastAsia="宋体" w:cs="Times New Roman"/>
          <w:snapToGrid w:val="0"/>
          <w:color w:val="000000"/>
          <w:kern w:val="0"/>
          <w:szCs w:val="21"/>
        </w:rPr>
        <w:t xml:space="preserve">  </w:t>
      </w:r>
      <w:r>
        <w:rPr>
          <w:rFonts w:ascii="宋体" w:hAnsi="宋体" w:eastAsia="宋体" w:cs="Times New Roman"/>
          <w:snapToGrid w:val="0"/>
          <w:color w:val="000000"/>
          <w:kern w:val="0"/>
          <w:szCs w:val="21"/>
        </w:rPr>
        <w:t>针，测量空蚀磨蚀最深点到样板的距离。测量误差</w:t>
      </w:r>
      <w:bookmarkStart w:id="129" w:name="OLE_LINK15"/>
      <w:r>
        <w:rPr>
          <w:rFonts w:hint="eastAsia" w:ascii="宋体" w:hAnsi="宋体" w:eastAsia="宋体" w:cs="Times New Roman"/>
          <w:snapToGrid w:val="0"/>
          <w:color w:val="000000"/>
          <w:kern w:val="0"/>
          <w:szCs w:val="21"/>
        </w:rPr>
        <w:t>应</w:t>
      </w:r>
      <w:r>
        <w:rPr>
          <w:rFonts w:ascii="宋体" w:hAnsi="宋体" w:eastAsia="宋体" w:cs="Times New Roman"/>
          <w:snapToGrid w:val="0"/>
          <w:color w:val="000000"/>
          <w:kern w:val="0"/>
          <w:szCs w:val="21"/>
        </w:rPr>
        <w:t>不</w:t>
      </w:r>
      <w:r>
        <w:rPr>
          <w:rFonts w:hint="eastAsia" w:ascii="宋体" w:hAnsi="宋体" w:eastAsia="宋体" w:cs="Times New Roman"/>
          <w:snapToGrid w:val="0"/>
          <w:color w:val="000000"/>
          <w:kern w:val="0"/>
          <w:szCs w:val="21"/>
        </w:rPr>
        <w:t>大于</w:t>
      </w:r>
      <w:bookmarkEnd w:id="129"/>
      <w:r>
        <w:rPr>
          <w:rFonts w:ascii="宋体" w:hAnsi="宋体" w:eastAsia="宋体" w:cs="Times New Roman"/>
          <w:snapToGrid w:val="0"/>
          <w:color w:val="000000"/>
          <w:kern w:val="0"/>
          <w:szCs w:val="21"/>
        </w:rPr>
        <w:t>最大深度的</w:t>
      </w:r>
      <w:r>
        <w:rPr>
          <w:rFonts w:hint="eastAsia" w:ascii="宋体" w:hAnsi="宋体" w:eastAsia="宋体" w:cs="Times New Roman"/>
          <w:snapToGrid w:val="0"/>
          <w:color w:val="000000"/>
          <w:kern w:val="0"/>
          <w:szCs w:val="21"/>
        </w:rPr>
        <w:t>±</w:t>
      </w:r>
      <w:r>
        <w:rPr>
          <w:rFonts w:ascii="宋体" w:hAnsi="宋体" w:eastAsia="宋体" w:cs="Times New Roman"/>
          <w:snapToGrid w:val="0"/>
          <w:color w:val="000000"/>
          <w:kern w:val="0"/>
          <w:szCs w:val="21"/>
        </w:rPr>
        <w:t>10%或</w:t>
      </w:r>
      <w:r>
        <w:rPr>
          <w:rFonts w:hint="eastAsia" w:ascii="宋体" w:hAnsi="宋体" w:eastAsia="宋体" w:cs="Times New Roman"/>
          <w:snapToGrid w:val="0"/>
          <w:color w:val="000000"/>
          <w:kern w:val="0"/>
          <w:szCs w:val="21"/>
        </w:rPr>
        <w:t>±</w:t>
      </w:r>
      <w:r>
        <w:rPr>
          <w:rFonts w:ascii="宋体" w:hAnsi="宋体" w:eastAsia="宋体" w:cs="Times New Roman"/>
          <w:snapToGrid w:val="0"/>
          <w:color w:val="000000"/>
          <w:kern w:val="0"/>
          <w:szCs w:val="21"/>
        </w:rPr>
        <w:t>1mm</w:t>
      </w:r>
      <w:r>
        <w:rPr>
          <w:rFonts w:hint="eastAsia" w:ascii="宋体" w:hAnsi="宋体" w:eastAsia="宋体" w:cs="Times New Roman"/>
          <w:snapToGrid w:val="0"/>
          <w:color w:val="000000"/>
          <w:kern w:val="0"/>
          <w:szCs w:val="21"/>
        </w:rPr>
        <w:t>。</w:t>
      </w:r>
    </w:p>
    <w:p>
      <w:pPr>
        <w:widowControl/>
        <w:kinsoku w:val="0"/>
        <w:autoSpaceDE w:val="0"/>
        <w:autoSpaceDN w:val="0"/>
        <w:adjustRightInd w:val="0"/>
        <w:snapToGrid w:val="0"/>
        <w:spacing w:line="360" w:lineRule="auto"/>
        <w:ind w:left="1474" w:leftChars="502" w:hanging="420" w:hangingChars="200"/>
        <w:textAlignment w:val="baseline"/>
        <w:rPr>
          <w:rFonts w:hint="eastAsia" w:ascii="宋体" w:hAnsi="宋体" w:eastAsia="宋体" w:cs="Times New Roman"/>
          <w:snapToGrid w:val="0"/>
          <w:color w:val="000000"/>
          <w:kern w:val="0"/>
          <w:szCs w:val="21"/>
        </w:rPr>
      </w:pPr>
      <w:r>
        <w:rPr>
          <w:rFonts w:ascii="黑体" w:hAnsi="黑体" w:eastAsia="黑体" w:cs="Times New Roman"/>
          <w:snapToGrid w:val="0"/>
          <w:color w:val="000000"/>
          <w:kern w:val="0"/>
          <w:szCs w:val="21"/>
        </w:rPr>
        <w:t>b）</w:t>
      </w:r>
      <w:r>
        <w:rPr>
          <w:rFonts w:hint="eastAsia" w:ascii="黑体" w:hAnsi="黑体" w:eastAsia="黑体" w:cs="Times New Roman"/>
          <w:snapToGrid w:val="0"/>
          <w:color w:val="000000"/>
          <w:kern w:val="0"/>
          <w:szCs w:val="21"/>
        </w:rPr>
        <w:t xml:space="preserve"> </w:t>
      </w:r>
      <w:r>
        <w:rPr>
          <w:rFonts w:ascii="宋体" w:hAnsi="宋体" w:eastAsia="宋体" w:cs="Times New Roman"/>
          <w:snapToGrid w:val="0"/>
          <w:color w:val="000000"/>
          <w:kern w:val="0"/>
          <w:szCs w:val="21"/>
        </w:rPr>
        <w:t>单个空蚀</w:t>
      </w:r>
      <w:bookmarkStart w:id="130" w:name="OLE_LINK10"/>
      <w:r>
        <w:rPr>
          <w:rFonts w:ascii="宋体" w:hAnsi="宋体" w:eastAsia="宋体" w:cs="Times New Roman"/>
          <w:snapToGrid w:val="0"/>
          <w:color w:val="000000"/>
          <w:kern w:val="0"/>
          <w:szCs w:val="21"/>
        </w:rPr>
        <w:t>或磨蚀</w:t>
      </w:r>
      <w:bookmarkEnd w:id="130"/>
      <w:r>
        <w:rPr>
          <w:rFonts w:ascii="宋体" w:hAnsi="宋体" w:eastAsia="宋体" w:cs="Times New Roman"/>
          <w:snapToGrid w:val="0"/>
          <w:color w:val="000000"/>
          <w:kern w:val="0"/>
          <w:szCs w:val="21"/>
        </w:rPr>
        <w:t>面积</w:t>
      </w:r>
      <w:r>
        <w:rPr>
          <w:rFonts w:ascii="宋体" w:hAnsi="宋体" w:eastAsia="宋体" w:cs="Times New Roman"/>
          <w:i/>
          <w:iCs/>
          <w:snapToGrid w:val="0"/>
          <w:color w:val="000000"/>
          <w:kern w:val="0"/>
          <w:szCs w:val="21"/>
        </w:rPr>
        <w:t>A</w:t>
      </w:r>
      <w:r>
        <w:rPr>
          <w:rFonts w:ascii="宋体" w:hAnsi="宋体" w:eastAsia="宋体" w:cs="Times New Roman"/>
          <w:i/>
          <w:iCs/>
          <w:snapToGrid w:val="0"/>
          <w:color w:val="000000"/>
          <w:kern w:val="0"/>
          <w:szCs w:val="21"/>
          <w:vertAlign w:val="subscript"/>
        </w:rPr>
        <w:t>i</w:t>
      </w:r>
      <w:r>
        <w:rPr>
          <w:rFonts w:ascii="宋体" w:hAnsi="宋体" w:eastAsia="宋体" w:cs="Times New Roman"/>
          <w:snapToGrid w:val="0"/>
          <w:color w:val="000000"/>
          <w:kern w:val="0"/>
          <w:szCs w:val="21"/>
        </w:rPr>
        <w:t>：在空蚀或磨蚀损坏面的周围用油漆或其它办法划出</w:t>
      </w:r>
      <w:bookmarkStart w:id="131" w:name="OLE_LINK11"/>
      <w:r>
        <w:rPr>
          <w:rFonts w:ascii="宋体" w:hAnsi="宋体" w:eastAsia="宋体" w:cs="Times New Roman"/>
          <w:snapToGrid w:val="0"/>
          <w:color w:val="000000"/>
          <w:kern w:val="0"/>
          <w:szCs w:val="21"/>
        </w:rPr>
        <w:t>边界线</w:t>
      </w:r>
      <w:bookmarkEnd w:id="131"/>
      <w:r>
        <w:rPr>
          <w:rFonts w:ascii="宋体" w:hAnsi="宋体" w:eastAsia="宋体" w:cs="Times New Roman"/>
          <w:snapToGrid w:val="0"/>
          <w:color w:val="000000"/>
          <w:kern w:val="0"/>
          <w:szCs w:val="21"/>
        </w:rPr>
        <w:t>。在涂料未干前用透明纸印下边界线，然后用求积仪或方格纸放在透明纸下面计算得到面积，测量误差应小于10%。</w:t>
      </w:r>
    </w:p>
    <w:p>
      <w:pPr>
        <w:widowControl/>
        <w:kinsoku w:val="0"/>
        <w:autoSpaceDE w:val="0"/>
        <w:autoSpaceDN w:val="0"/>
        <w:adjustRightInd w:val="0"/>
        <w:snapToGrid w:val="0"/>
        <w:spacing w:line="360" w:lineRule="auto"/>
        <w:ind w:left="1056" w:leftChars="503"/>
        <w:textAlignment w:val="baseline"/>
        <w:rPr>
          <w:rFonts w:hint="eastAsia" w:ascii="宋体" w:hAnsi="宋体" w:eastAsia="宋体" w:cs="Times New Roman"/>
          <w:snapToGrid w:val="0"/>
          <w:color w:val="000000"/>
          <w:kern w:val="0"/>
          <w:szCs w:val="21"/>
        </w:rPr>
      </w:pPr>
      <w:r>
        <w:rPr>
          <w:rFonts w:ascii="黑体" w:hAnsi="黑体" w:eastAsia="黑体" w:cs="Times New Roman"/>
          <w:snapToGrid w:val="0"/>
          <w:color w:val="000000"/>
          <w:kern w:val="0"/>
          <w:szCs w:val="21"/>
        </w:rPr>
        <w:t>c）</w:t>
      </w:r>
      <w:r>
        <w:rPr>
          <w:rFonts w:hint="eastAsia" w:ascii="黑体" w:hAnsi="黑体" w:eastAsia="黑体" w:cs="Times New Roman"/>
          <w:snapToGrid w:val="0"/>
          <w:color w:val="000000"/>
          <w:kern w:val="0"/>
          <w:szCs w:val="21"/>
        </w:rPr>
        <w:t xml:space="preserve"> </w:t>
      </w:r>
      <w:r>
        <w:rPr>
          <w:rFonts w:ascii="宋体" w:hAnsi="宋体" w:eastAsia="宋体" w:cs="Times New Roman"/>
          <w:snapToGrid w:val="0"/>
          <w:color w:val="000000"/>
          <w:kern w:val="0"/>
          <w:szCs w:val="21"/>
        </w:rPr>
        <w:t>空蚀</w:t>
      </w:r>
      <w:bookmarkStart w:id="132" w:name="OLE_LINK13"/>
      <w:r>
        <w:rPr>
          <w:rFonts w:ascii="宋体" w:hAnsi="宋体" w:eastAsia="宋体" w:cs="Times New Roman"/>
          <w:snapToGrid w:val="0"/>
          <w:color w:val="000000"/>
          <w:kern w:val="0"/>
          <w:szCs w:val="21"/>
        </w:rPr>
        <w:t>或磨蚀</w:t>
      </w:r>
      <w:bookmarkEnd w:id="132"/>
      <w:r>
        <w:rPr>
          <w:rFonts w:ascii="宋体" w:hAnsi="宋体" w:eastAsia="宋体" w:cs="Times New Roman"/>
          <w:snapToGrid w:val="0"/>
          <w:color w:val="000000"/>
          <w:kern w:val="0"/>
          <w:szCs w:val="21"/>
        </w:rPr>
        <w:t>剥落体积</w:t>
      </w:r>
      <w:r>
        <w:rPr>
          <w:rFonts w:hint="eastAsia" w:ascii="宋体" w:hAnsi="宋体" w:eastAsia="宋体" w:cs="Times New Roman"/>
          <w:i/>
          <w:iCs/>
          <w:snapToGrid w:val="0"/>
          <w:color w:val="000000"/>
          <w:kern w:val="0"/>
          <w:szCs w:val="21"/>
        </w:rPr>
        <w:t>V</w:t>
      </w:r>
      <w:r>
        <w:rPr>
          <w:rFonts w:hint="eastAsia" w:ascii="宋体" w:hAnsi="宋体" w:eastAsia="宋体" w:cs="Times New Roman"/>
          <w:i/>
          <w:iCs/>
          <w:snapToGrid w:val="0"/>
          <w:color w:val="000000"/>
          <w:kern w:val="0"/>
          <w:szCs w:val="21"/>
          <w:vertAlign w:val="subscript"/>
        </w:rPr>
        <w:t>i</w:t>
      </w:r>
      <w:r>
        <w:rPr>
          <w:rFonts w:hint="eastAsia" w:ascii="宋体" w:hAnsi="宋体" w:eastAsia="宋体" w:cs="Times New Roman"/>
          <w:snapToGrid w:val="0"/>
          <w:color w:val="000000"/>
          <w:kern w:val="0"/>
          <w:szCs w:val="21"/>
        </w:rPr>
        <w:t>、失重量</w:t>
      </w:r>
      <w:r>
        <w:rPr>
          <w:rFonts w:hint="eastAsia" w:ascii="宋体" w:hAnsi="宋体" w:eastAsia="宋体" w:cs="Times New Roman"/>
          <w:i/>
          <w:iCs/>
          <w:snapToGrid w:val="0"/>
          <w:color w:val="000000"/>
          <w:kern w:val="0"/>
          <w:szCs w:val="21"/>
        </w:rPr>
        <w:t>M</w:t>
      </w:r>
      <w:r>
        <w:rPr>
          <w:rFonts w:hint="eastAsia" w:ascii="宋体" w:hAnsi="宋体" w:eastAsia="宋体" w:cs="Times New Roman"/>
          <w:i/>
          <w:iCs/>
          <w:snapToGrid w:val="0"/>
          <w:color w:val="000000"/>
          <w:kern w:val="0"/>
          <w:szCs w:val="21"/>
          <w:vertAlign w:val="subscript"/>
        </w:rPr>
        <w:t>i</w:t>
      </w:r>
      <w:r>
        <w:rPr>
          <w:rFonts w:hint="eastAsia" w:ascii="宋体" w:hAnsi="宋体" w:eastAsia="宋体" w:cs="Times New Roman"/>
          <w:snapToGrid w:val="0"/>
          <w:color w:val="000000"/>
          <w:kern w:val="0"/>
          <w:szCs w:val="21"/>
        </w:rPr>
        <w:t>：</w:t>
      </w:r>
    </w:p>
    <w:p>
      <w:pPr>
        <w:widowControl/>
        <w:kinsoku w:val="0"/>
        <w:autoSpaceDE w:val="0"/>
        <w:autoSpaceDN w:val="0"/>
        <w:adjustRightInd w:val="0"/>
        <w:snapToGrid w:val="0"/>
        <w:spacing w:line="360" w:lineRule="auto"/>
        <w:ind w:left="1478" w:leftChars="704"/>
        <w:textAlignment w:val="baseline"/>
        <w:rPr>
          <w:rFonts w:hint="eastAsia" w:ascii="宋体" w:hAnsi="宋体" w:eastAsia="宋体" w:cstheme="minorEastAsia"/>
          <w:snapToGrid w:val="0"/>
          <w:color w:val="000000"/>
          <w:kern w:val="0"/>
          <w:szCs w:val="21"/>
        </w:rPr>
      </w:pPr>
      <w:bookmarkStart w:id="133" w:name="OLE_LINK16"/>
      <w:r>
        <w:rPr>
          <w:rFonts w:hint="eastAsia" w:ascii="宋体" w:hAnsi="宋体" w:eastAsia="宋体" w:cstheme="minorEastAsia"/>
          <w:snapToGrid w:val="0"/>
          <w:color w:val="000000"/>
          <w:kern w:val="0"/>
          <w:szCs w:val="21"/>
        </w:rPr>
        <w:t>直接测量法：采用</w:t>
      </w:r>
      <w:bookmarkStart w:id="134" w:name="OLE_LINK14"/>
      <w:r>
        <w:rPr>
          <w:rFonts w:hint="eastAsia" w:ascii="宋体" w:hAnsi="宋体" w:eastAsia="宋体" w:cstheme="minorEastAsia"/>
          <w:snapToGrid w:val="0"/>
          <w:color w:val="000000"/>
          <w:kern w:val="0"/>
          <w:szCs w:val="21"/>
        </w:rPr>
        <w:t>橡皮泥</w:t>
      </w:r>
      <w:bookmarkEnd w:id="134"/>
      <w:r>
        <w:rPr>
          <w:rFonts w:hint="eastAsia" w:ascii="宋体" w:hAnsi="宋体" w:eastAsia="宋体" w:cstheme="minorEastAsia"/>
          <w:snapToGrid w:val="0"/>
          <w:color w:val="000000"/>
          <w:kern w:val="0"/>
          <w:szCs w:val="21"/>
        </w:rPr>
        <w:t>涂抹在转轮空蚀</w:t>
      </w:r>
      <w:r>
        <w:rPr>
          <w:rFonts w:ascii="宋体" w:hAnsi="宋体" w:eastAsia="宋体" w:cs="Times New Roman"/>
          <w:snapToGrid w:val="0"/>
          <w:color w:val="000000"/>
          <w:kern w:val="0"/>
          <w:szCs w:val="21"/>
        </w:rPr>
        <w:t>或磨蚀</w:t>
      </w:r>
      <w:r>
        <w:rPr>
          <w:rFonts w:hint="eastAsia" w:ascii="宋体" w:hAnsi="宋体" w:eastAsia="宋体" w:cstheme="minorEastAsia"/>
          <w:snapToGrid w:val="0"/>
          <w:color w:val="000000"/>
          <w:kern w:val="0"/>
          <w:szCs w:val="21"/>
        </w:rPr>
        <w:t>损坏的部位，使叶片恢复到未损坏以前的形状，然后将橡皮泥取下，测量其体积，再换算成金属的失重。当损坏面位于三维曲面时，其表面形状应采用叶片样板或其他适当工具检验，测量误差应不大于15%。</w:t>
      </w:r>
    </w:p>
    <w:bookmarkEnd w:id="133"/>
    <w:p>
      <w:pPr>
        <w:widowControl/>
        <w:kinsoku w:val="0"/>
        <w:autoSpaceDE w:val="0"/>
        <w:autoSpaceDN w:val="0"/>
        <w:adjustRightInd w:val="0"/>
        <w:snapToGrid w:val="0"/>
        <w:spacing w:line="360" w:lineRule="auto"/>
        <w:ind w:left="1474" w:leftChars="502" w:hanging="420" w:hangingChars="200"/>
        <w:textAlignment w:val="baseline"/>
        <w:rPr>
          <w:rFonts w:hint="eastAsia" w:asciiTheme="minorEastAsia" w:hAnsiTheme="minorEastAsia" w:cstheme="minorEastAsia"/>
          <w:snapToGrid w:val="0"/>
          <w:color w:val="000000"/>
          <w:kern w:val="0"/>
          <w:szCs w:val="21"/>
        </w:rPr>
      </w:pPr>
      <w:r>
        <w:rPr>
          <w:rFonts w:hint="eastAsia" w:ascii="Times New Roman" w:hAnsi="Times New Roman" w:eastAsia="宋体" w:cs="Times New Roman"/>
          <w:snapToGrid w:val="0"/>
          <w:color w:val="000000"/>
          <w:kern w:val="0"/>
          <w:szCs w:val="21"/>
        </w:rPr>
        <w:t xml:space="preserve">    </w:t>
      </w:r>
      <w:r>
        <w:rPr>
          <w:rFonts w:hint="eastAsia" w:asciiTheme="minorEastAsia" w:hAnsiTheme="minorEastAsia" w:cstheme="minorEastAsia"/>
          <w:snapToGrid w:val="0"/>
          <w:color w:val="000000"/>
          <w:kern w:val="0"/>
          <w:szCs w:val="21"/>
        </w:rPr>
        <w:t>近似计算法：通过所测得的每个空蚀</w:t>
      </w:r>
      <w:r>
        <w:rPr>
          <w:rFonts w:ascii="宋体" w:hAnsi="宋体" w:eastAsia="宋体" w:cs="Times New Roman"/>
          <w:snapToGrid w:val="0"/>
          <w:color w:val="000000"/>
          <w:kern w:val="0"/>
          <w:szCs w:val="21"/>
        </w:rPr>
        <w:t>或磨蚀</w:t>
      </w:r>
      <w:r>
        <w:rPr>
          <w:rFonts w:hint="eastAsia" w:asciiTheme="minorEastAsia" w:hAnsiTheme="minorEastAsia" w:cstheme="minorEastAsia"/>
          <w:snapToGrid w:val="0"/>
          <w:color w:val="000000"/>
          <w:kern w:val="0"/>
          <w:szCs w:val="21"/>
        </w:rPr>
        <w:t>区域的空蚀深度和面积，用计算方法确定空蚀</w:t>
      </w:r>
      <w:r>
        <w:rPr>
          <w:rFonts w:ascii="宋体" w:hAnsi="宋体" w:eastAsia="宋体" w:cs="Times New Roman"/>
          <w:snapToGrid w:val="0"/>
          <w:color w:val="000000"/>
          <w:kern w:val="0"/>
          <w:szCs w:val="21"/>
        </w:rPr>
        <w:t>或磨蚀</w:t>
      </w:r>
      <w:r>
        <w:rPr>
          <w:rFonts w:hint="eastAsia" w:asciiTheme="minorEastAsia" w:hAnsiTheme="minorEastAsia" w:cstheme="minorEastAsia"/>
          <w:snapToGrid w:val="0"/>
          <w:color w:val="000000"/>
          <w:kern w:val="0"/>
          <w:szCs w:val="21"/>
        </w:rPr>
        <w:t>量。</w:t>
      </w:r>
    </w:p>
    <w:p>
      <w:pPr>
        <w:widowControl/>
        <w:kinsoku w:val="0"/>
        <w:autoSpaceDE w:val="0"/>
        <w:autoSpaceDN w:val="0"/>
        <w:adjustRightInd w:val="0"/>
        <w:snapToGrid w:val="0"/>
        <w:spacing w:line="360" w:lineRule="auto"/>
        <w:ind w:left="1058" w:leftChars="300" w:hanging="428" w:hangingChars="204"/>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9)</w:t>
      </w:r>
      <w:r>
        <w:rPr>
          <w:rFonts w:hint="eastAsia" w:asciiTheme="minorEastAsia" w:hAnsiTheme="minorEastAsia" w:cstheme="minorEastAsia"/>
          <w:snapToGrid w:val="0"/>
          <w:color w:val="000000"/>
          <w:kern w:val="0"/>
          <w:szCs w:val="21"/>
        </w:rPr>
        <w:t xml:space="preserve">  导叶漏水量：宜采用容积法检测，即关闭水轮机进水工作闸门（无工作闸门的电站应关闭进水检修闸门）和导叶后，通过导叶及工作闸门之间压力管道内水体体积变化速率计算得到导叶漏水量。对于配置有进水阀旁通管路的机组可采用超声流量计或电磁流量计进行测量。</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3 </w:t>
      </w:r>
      <w:r>
        <w:rPr>
          <w:rFonts w:hint="eastAsia" w:asciiTheme="minorEastAsia" w:hAnsiTheme="minorEastAsia" w:cstheme="minorEastAsia"/>
          <w:snapToGrid w:val="0"/>
          <w:color w:val="000000"/>
          <w:kern w:val="0"/>
          <w:szCs w:val="21"/>
        </w:rPr>
        <w:t xml:space="preserve"> 水泵检测方法应符合下列要求：</w:t>
      </w:r>
    </w:p>
    <w:p>
      <w:pPr>
        <w:widowControl/>
        <w:numPr>
          <w:ilvl w:val="0"/>
          <w:numId w:val="25"/>
        </w:numPr>
        <w:kinsoku w:val="0"/>
        <w:autoSpaceDE w:val="0"/>
        <w:autoSpaceDN w:val="0"/>
        <w:adjustRightInd w:val="0"/>
        <w:snapToGrid w:val="0"/>
        <w:spacing w:line="360" w:lineRule="auto"/>
        <w:ind w:firstLine="630" w:firstLineChars="300"/>
        <w:textAlignment w:val="baseline"/>
        <w:rPr>
          <w:rFonts w:hint="eastAsia" w:asciiTheme="minorEastAsia" w:hAnsiTheme="minorEastAsia" w:cstheme="minorEastAsia"/>
          <w:snapToGrid w:val="0"/>
          <w:color w:val="000000"/>
          <w:kern w:val="0"/>
          <w:position w:val="-1"/>
          <w:szCs w:val="21"/>
        </w:rPr>
      </w:pPr>
      <w:r>
        <w:rPr>
          <w:rFonts w:hint="eastAsia" w:asciiTheme="minorEastAsia" w:hAnsiTheme="minorEastAsia" w:cstheme="minorEastAsia"/>
          <w:snapToGrid w:val="0"/>
          <w:color w:val="000000"/>
          <w:kern w:val="0"/>
          <w:position w:val="-1"/>
          <w:szCs w:val="21"/>
        </w:rPr>
        <w:t xml:space="preserve"> 水泵制造及安装质量检测</w:t>
      </w:r>
      <w:r>
        <w:rPr>
          <w:rFonts w:hint="eastAsia" w:asciiTheme="minorEastAsia" w:hAnsiTheme="minorEastAsia" w:cstheme="minorEastAsia"/>
          <w:snapToGrid w:val="0"/>
          <w:color w:val="000000"/>
          <w:kern w:val="0"/>
          <w:szCs w:val="21"/>
        </w:rPr>
        <w:t>应执行SL 317的规定。</w:t>
      </w:r>
    </w:p>
    <w:p>
      <w:pPr>
        <w:widowControl/>
        <w:numPr>
          <w:ilvl w:val="0"/>
          <w:numId w:val="25"/>
        </w:numPr>
        <w:kinsoku w:val="0"/>
        <w:autoSpaceDE w:val="0"/>
        <w:autoSpaceDN w:val="0"/>
        <w:adjustRightInd w:val="0"/>
        <w:snapToGrid w:val="0"/>
        <w:spacing w:line="360" w:lineRule="auto"/>
        <w:ind w:firstLine="630" w:firstLineChars="300"/>
        <w:textAlignment w:val="baseline"/>
        <w:rPr>
          <w:rFonts w:hint="eastAsia" w:asciiTheme="minorEastAsia" w:hAnsiTheme="minorEastAsia" w:cstheme="minorEastAsia"/>
          <w:snapToGrid w:val="0"/>
          <w:color w:val="000000"/>
          <w:kern w:val="0"/>
          <w:szCs w:val="21"/>
        </w:rPr>
      </w:pPr>
      <w:r>
        <w:rPr>
          <w:rFonts w:hint="eastAsia" w:asciiTheme="minorEastAsia" w:hAnsiTheme="minorEastAsia" w:cstheme="minorEastAsia"/>
          <w:snapToGrid w:val="0"/>
          <w:color w:val="000000"/>
          <w:kern w:val="0"/>
          <w:szCs w:val="21"/>
        </w:rPr>
        <w:t xml:space="preserve"> 水泵流量、扬程、转速、轴功率、效率：应执行SL 548的规定。</w:t>
      </w:r>
    </w:p>
    <w:p>
      <w:pPr>
        <w:widowControl/>
        <w:numPr>
          <w:ilvl w:val="0"/>
          <w:numId w:val="25"/>
        </w:numPr>
        <w:kinsoku w:val="0"/>
        <w:autoSpaceDE w:val="0"/>
        <w:autoSpaceDN w:val="0"/>
        <w:adjustRightInd w:val="0"/>
        <w:snapToGrid w:val="0"/>
        <w:spacing w:line="360" w:lineRule="auto"/>
        <w:ind w:firstLine="630" w:firstLineChars="300"/>
        <w:textAlignment w:val="baseline"/>
        <w:rPr>
          <w:rFonts w:hint="eastAsia" w:asciiTheme="minorEastAsia" w:hAnsiTheme="minorEastAsia" w:cstheme="minorEastAsia"/>
          <w:snapToGrid w:val="0"/>
          <w:color w:val="000000"/>
          <w:kern w:val="0"/>
          <w:position w:val="1"/>
          <w:szCs w:val="21"/>
        </w:rPr>
      </w:pPr>
      <w:r>
        <w:rPr>
          <w:rFonts w:hint="eastAsia" w:asciiTheme="minorEastAsia" w:hAnsiTheme="minorEastAsia" w:cstheme="minorEastAsia"/>
          <w:snapToGrid w:val="0"/>
          <w:color w:val="000000"/>
          <w:kern w:val="0"/>
          <w:szCs w:val="21"/>
        </w:rPr>
        <w:t xml:space="preserve"> 振动</w:t>
      </w:r>
      <w:r>
        <w:rPr>
          <w:rFonts w:hint="eastAsia" w:asciiTheme="minorEastAsia" w:hAnsiTheme="minorEastAsia" w:cstheme="minorEastAsia"/>
          <w:snapToGrid w:val="0"/>
          <w:color w:val="000000"/>
          <w:kern w:val="0"/>
          <w:position w:val="1"/>
          <w:szCs w:val="21"/>
        </w:rPr>
        <w:t>：采用振动传感器检测。</w:t>
      </w:r>
    </w:p>
    <w:p>
      <w:pPr>
        <w:widowControl/>
        <w:numPr>
          <w:ilvl w:val="0"/>
          <w:numId w:val="25"/>
        </w:numPr>
        <w:kinsoku w:val="0"/>
        <w:autoSpaceDE w:val="0"/>
        <w:autoSpaceDN w:val="0"/>
        <w:adjustRightInd w:val="0"/>
        <w:snapToGrid w:val="0"/>
        <w:spacing w:line="360" w:lineRule="auto"/>
        <w:ind w:firstLine="630" w:firstLineChars="300"/>
        <w:textAlignment w:val="baseline"/>
        <w:rPr>
          <w:rFonts w:hint="eastAsia" w:asciiTheme="minorEastAsia" w:hAnsiTheme="minorEastAsia" w:cstheme="minorEastAsia"/>
          <w:snapToGrid w:val="0"/>
          <w:color w:val="000000"/>
          <w:kern w:val="0"/>
          <w:szCs w:val="21"/>
        </w:rPr>
      </w:pPr>
      <w:r>
        <w:rPr>
          <w:rFonts w:hint="eastAsia" w:asciiTheme="minorEastAsia" w:hAnsiTheme="minorEastAsia" w:cstheme="minorEastAsia"/>
          <w:snapToGrid w:val="0"/>
          <w:color w:val="000000"/>
          <w:kern w:val="0"/>
          <w:szCs w:val="21"/>
        </w:rPr>
        <w:t xml:space="preserve"> 噪声：采用声级计进行检测，声级计采用A计权声级。</w:t>
      </w:r>
    </w:p>
    <w:p>
      <w:pPr>
        <w:widowControl/>
        <w:numPr>
          <w:ilvl w:val="0"/>
          <w:numId w:val="25"/>
        </w:numPr>
        <w:kinsoku w:val="0"/>
        <w:autoSpaceDE w:val="0"/>
        <w:autoSpaceDN w:val="0"/>
        <w:adjustRightInd w:val="0"/>
        <w:snapToGrid w:val="0"/>
        <w:spacing w:line="360" w:lineRule="auto"/>
        <w:ind w:firstLine="630" w:firstLineChars="300"/>
        <w:textAlignment w:val="baseline"/>
        <w:rPr>
          <w:rFonts w:hint="eastAsia" w:asciiTheme="minorEastAsia" w:hAnsiTheme="minorEastAsia" w:cstheme="minorEastAsia"/>
          <w:snapToGrid w:val="0"/>
          <w:color w:val="000000"/>
          <w:kern w:val="0"/>
          <w:position w:val="1"/>
          <w:szCs w:val="21"/>
        </w:rPr>
      </w:pPr>
      <w:r>
        <w:rPr>
          <w:rFonts w:hint="eastAsia" w:asciiTheme="minorEastAsia" w:hAnsiTheme="minorEastAsia" w:cstheme="minorEastAsia"/>
          <w:snapToGrid w:val="0"/>
          <w:color w:val="000000"/>
          <w:kern w:val="0"/>
          <w:szCs w:val="21"/>
        </w:rPr>
        <w:t xml:space="preserve"> 压力脉动</w:t>
      </w:r>
      <w:r>
        <w:rPr>
          <w:rFonts w:hint="eastAsia" w:asciiTheme="minorEastAsia" w:hAnsiTheme="minorEastAsia" w:cstheme="minorEastAsia"/>
          <w:snapToGrid w:val="0"/>
          <w:color w:val="000000"/>
          <w:kern w:val="0"/>
          <w:position w:val="1"/>
          <w:szCs w:val="21"/>
        </w:rPr>
        <w:t>：采用压力传感器检测。</w:t>
      </w:r>
    </w:p>
    <w:p>
      <w:pPr>
        <w:widowControl/>
        <w:kinsoku w:val="0"/>
        <w:autoSpaceDE w:val="0"/>
        <w:autoSpaceDN w:val="0"/>
        <w:adjustRightInd w:val="0"/>
        <w:snapToGrid w:val="0"/>
        <w:spacing w:line="360" w:lineRule="auto"/>
        <w:ind w:firstLine="414"/>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4</w:t>
      </w:r>
      <w:r>
        <w:rPr>
          <w:rFonts w:hint="eastAsia" w:asciiTheme="minorEastAsia" w:hAnsiTheme="minorEastAsia" w:cstheme="minorEastAsia"/>
          <w:snapToGrid w:val="0"/>
          <w:color w:val="000000"/>
          <w:kern w:val="0"/>
          <w:szCs w:val="21"/>
        </w:rPr>
        <w:t xml:space="preserve">  调速系统静态特性试验及动态特性试验：应执行GB/T 9652.2的规定。</w:t>
      </w:r>
    </w:p>
    <w:p>
      <w:pPr>
        <w:widowControl/>
        <w:kinsoku w:val="0"/>
        <w:autoSpaceDE w:val="0"/>
        <w:autoSpaceDN w:val="0"/>
        <w:adjustRightInd w:val="0"/>
        <w:snapToGrid w:val="0"/>
        <w:spacing w:line="360" w:lineRule="auto"/>
        <w:ind w:firstLine="414"/>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5 </w:t>
      </w:r>
      <w:r>
        <w:rPr>
          <w:rFonts w:hint="eastAsia" w:asciiTheme="minorEastAsia" w:hAnsiTheme="minorEastAsia" w:cstheme="minorEastAsia"/>
          <w:snapToGrid w:val="0"/>
          <w:color w:val="000000"/>
          <w:kern w:val="0"/>
          <w:szCs w:val="21"/>
        </w:rPr>
        <w:t xml:space="preserve"> 进水阀静水动作试验和动水关闭试验：应执行NB/T 10078、NB/T 10970的规定。</w:t>
      </w:r>
    </w:p>
    <w:p>
      <w:pPr>
        <w:widowControl/>
        <w:kinsoku w:val="0"/>
        <w:autoSpaceDE w:val="0"/>
        <w:autoSpaceDN w:val="0"/>
        <w:adjustRightInd w:val="0"/>
        <w:snapToGrid w:val="0"/>
        <w:spacing w:line="360" w:lineRule="auto"/>
        <w:ind w:firstLine="414"/>
        <w:textAlignment w:val="baseline"/>
        <w:rPr>
          <w:rFonts w:hint="eastAsia" w:asciiTheme="minorEastAsia" w:hAnsiTheme="minorEastAsia" w:cstheme="minorEastAsia"/>
          <w:snapToGrid w:val="0"/>
          <w:color w:val="000000"/>
          <w:kern w:val="0"/>
          <w:szCs w:val="21"/>
        </w:rPr>
      </w:pPr>
      <w:bookmarkStart w:id="135" w:name="_Hlk193029572"/>
      <w:r>
        <w:rPr>
          <w:rFonts w:hint="eastAsia" w:ascii="黑体" w:hAnsi="黑体" w:eastAsia="黑体" w:cs="黑体"/>
          <w:snapToGrid w:val="0"/>
          <w:color w:val="000000"/>
          <w:kern w:val="0"/>
          <w:szCs w:val="21"/>
        </w:rPr>
        <w:t xml:space="preserve">6 </w:t>
      </w:r>
      <w:r>
        <w:rPr>
          <w:rFonts w:hint="eastAsia" w:asciiTheme="minorEastAsia" w:hAnsiTheme="minorEastAsia" w:cstheme="minorEastAsia"/>
          <w:snapToGrid w:val="0"/>
          <w:color w:val="000000"/>
          <w:kern w:val="0"/>
          <w:szCs w:val="21"/>
        </w:rPr>
        <w:t xml:space="preserve"> 水轮发电机组综合性能检测</w:t>
      </w:r>
    </w:p>
    <w:p>
      <w:pPr>
        <w:widowControl/>
        <w:numPr>
          <w:ilvl w:val="0"/>
          <w:numId w:val="26"/>
        </w:numPr>
        <w:kinsoku w:val="0"/>
        <w:autoSpaceDE w:val="0"/>
        <w:autoSpaceDN w:val="0"/>
        <w:adjustRightInd w:val="0"/>
        <w:snapToGrid w:val="0"/>
        <w:spacing w:line="360" w:lineRule="auto"/>
        <w:ind w:firstLine="840" w:firstLineChars="400"/>
        <w:jc w:val="left"/>
        <w:textAlignment w:val="baseline"/>
        <w:rPr>
          <w:rFonts w:hint="eastAsia" w:asciiTheme="minorEastAsia" w:hAnsiTheme="minorEastAsia" w:cstheme="minorEastAsia"/>
          <w:snapToGrid w:val="0"/>
          <w:color w:val="000000"/>
          <w:kern w:val="0"/>
          <w:position w:val="-2"/>
          <w:szCs w:val="21"/>
        </w:rPr>
      </w:pPr>
      <w:r>
        <w:rPr>
          <w:rFonts w:hint="eastAsia" w:asciiTheme="minorEastAsia" w:hAnsiTheme="minorEastAsia" w:cstheme="minorEastAsia"/>
          <w:snapToGrid w:val="0"/>
          <w:color w:val="000000"/>
          <w:kern w:val="0"/>
          <w:position w:val="-2"/>
          <w:szCs w:val="21"/>
        </w:rPr>
        <w:t xml:space="preserve"> 机组启动试运行试验</w:t>
      </w:r>
    </w:p>
    <w:p>
      <w:pPr>
        <w:widowControl/>
        <w:numPr>
          <w:ilvl w:val="0"/>
          <w:numId w:val="27"/>
        </w:numPr>
        <w:kinsoku w:val="0"/>
        <w:autoSpaceDE w:val="0"/>
        <w:autoSpaceDN w:val="0"/>
        <w:adjustRightInd w:val="0"/>
        <w:snapToGrid w:val="0"/>
        <w:spacing w:line="360" w:lineRule="auto"/>
        <w:ind w:firstLine="1050" w:firstLineChars="500"/>
        <w:jc w:val="left"/>
        <w:textAlignment w:val="baseline"/>
        <w:rPr>
          <w:rFonts w:hint="eastAsia" w:asciiTheme="minorEastAsia" w:hAnsiTheme="minorEastAsia" w:cstheme="minorEastAsia"/>
          <w:snapToGrid w:val="0"/>
          <w:color w:val="000000"/>
          <w:kern w:val="0"/>
          <w:position w:val="-2"/>
          <w:szCs w:val="21"/>
        </w:rPr>
      </w:pPr>
      <w:r>
        <w:rPr>
          <w:rFonts w:hint="eastAsia" w:asciiTheme="minorEastAsia" w:hAnsiTheme="minorEastAsia" w:cstheme="minorEastAsia"/>
          <w:snapToGrid w:val="0"/>
          <w:color w:val="000000"/>
          <w:kern w:val="0"/>
          <w:position w:val="-2"/>
          <w:szCs w:val="21"/>
        </w:rPr>
        <w:t xml:space="preserve"> 混流和轴流式机组应执行DL/T 507的规定。</w:t>
      </w:r>
    </w:p>
    <w:p>
      <w:pPr>
        <w:widowControl/>
        <w:numPr>
          <w:ilvl w:val="0"/>
          <w:numId w:val="27"/>
        </w:numPr>
        <w:kinsoku w:val="0"/>
        <w:autoSpaceDE w:val="0"/>
        <w:autoSpaceDN w:val="0"/>
        <w:adjustRightInd w:val="0"/>
        <w:snapToGrid w:val="0"/>
        <w:spacing w:line="360" w:lineRule="auto"/>
        <w:ind w:firstLine="1050" w:firstLineChars="500"/>
        <w:jc w:val="left"/>
        <w:textAlignment w:val="baseline"/>
        <w:rPr>
          <w:rFonts w:hint="eastAsia" w:asciiTheme="minorEastAsia" w:hAnsiTheme="minorEastAsia" w:cstheme="minorEastAsia"/>
          <w:snapToGrid w:val="0"/>
          <w:color w:val="000000"/>
          <w:kern w:val="0"/>
          <w:position w:val="-2"/>
          <w:szCs w:val="21"/>
        </w:rPr>
      </w:pPr>
      <w:r>
        <w:rPr>
          <w:rFonts w:hint="eastAsia" w:asciiTheme="minorEastAsia" w:hAnsiTheme="minorEastAsia" w:cstheme="minorEastAsia"/>
          <w:snapToGrid w:val="0"/>
          <w:color w:val="000000"/>
          <w:kern w:val="0"/>
          <w:position w:val="-2"/>
          <w:szCs w:val="21"/>
        </w:rPr>
        <w:t xml:space="preserve"> 灯泡贯流式机组应执行DL/T 827的规定。</w:t>
      </w:r>
    </w:p>
    <w:p>
      <w:pPr>
        <w:widowControl/>
        <w:numPr>
          <w:ilvl w:val="0"/>
          <w:numId w:val="27"/>
        </w:numPr>
        <w:kinsoku w:val="0"/>
        <w:autoSpaceDE w:val="0"/>
        <w:autoSpaceDN w:val="0"/>
        <w:adjustRightInd w:val="0"/>
        <w:snapToGrid w:val="0"/>
        <w:spacing w:line="360" w:lineRule="auto"/>
        <w:ind w:firstLine="1050" w:firstLineChars="500"/>
        <w:jc w:val="left"/>
        <w:textAlignment w:val="baseline"/>
        <w:rPr>
          <w:rFonts w:hint="eastAsia" w:asciiTheme="minorEastAsia" w:hAnsiTheme="minorEastAsia" w:cstheme="minorEastAsia"/>
          <w:snapToGrid w:val="0"/>
          <w:color w:val="000000"/>
          <w:kern w:val="0"/>
          <w:position w:val="-2"/>
          <w:szCs w:val="21"/>
        </w:rPr>
      </w:pPr>
      <w:r>
        <w:rPr>
          <w:rFonts w:hint="eastAsia" w:asciiTheme="minorEastAsia" w:hAnsiTheme="minorEastAsia" w:cstheme="minorEastAsia"/>
          <w:snapToGrid w:val="0"/>
          <w:color w:val="000000"/>
          <w:kern w:val="0"/>
          <w:position w:val="-2"/>
          <w:szCs w:val="21"/>
        </w:rPr>
        <w:t xml:space="preserve"> 抽水蓄能机组应执行GB/T 18482的规定。</w:t>
      </w:r>
    </w:p>
    <w:p>
      <w:pPr>
        <w:widowControl/>
        <w:numPr>
          <w:ilvl w:val="0"/>
          <w:numId w:val="26"/>
        </w:numPr>
        <w:kinsoku w:val="0"/>
        <w:autoSpaceDE w:val="0"/>
        <w:autoSpaceDN w:val="0"/>
        <w:adjustRightInd w:val="0"/>
        <w:snapToGrid w:val="0"/>
        <w:spacing w:line="360" w:lineRule="auto"/>
        <w:ind w:firstLine="840" w:firstLineChars="400"/>
        <w:jc w:val="left"/>
        <w:textAlignment w:val="baseline"/>
        <w:rPr>
          <w:rFonts w:hint="eastAsia" w:asciiTheme="minorEastAsia" w:hAnsiTheme="minorEastAsia" w:cstheme="minorEastAsia"/>
          <w:snapToGrid w:val="0"/>
          <w:color w:val="000000"/>
          <w:kern w:val="0"/>
          <w:position w:val="-2"/>
          <w:szCs w:val="21"/>
        </w:rPr>
      </w:pPr>
      <w:r>
        <w:rPr>
          <w:rFonts w:hint="eastAsia" w:asciiTheme="minorEastAsia" w:hAnsiTheme="minorEastAsia" w:cstheme="minorEastAsia"/>
          <w:snapToGrid w:val="0"/>
          <w:color w:val="000000"/>
          <w:kern w:val="0"/>
          <w:position w:val="-2"/>
          <w:szCs w:val="21"/>
        </w:rPr>
        <w:t xml:space="preserve"> 水轮机性能试验</w:t>
      </w:r>
    </w:p>
    <w:p>
      <w:pPr>
        <w:widowControl/>
        <w:numPr>
          <w:ilvl w:val="0"/>
          <w:numId w:val="28"/>
        </w:numPr>
        <w:kinsoku w:val="0"/>
        <w:autoSpaceDE w:val="0"/>
        <w:autoSpaceDN w:val="0"/>
        <w:adjustRightInd w:val="0"/>
        <w:snapToGrid w:val="0"/>
        <w:spacing w:line="360" w:lineRule="auto"/>
        <w:ind w:left="1476" w:leftChars="500" w:hanging="426" w:hangingChars="203"/>
        <w:jc w:val="left"/>
        <w:textAlignment w:val="baseline"/>
        <w:rPr>
          <w:rFonts w:hint="eastAsia" w:asciiTheme="minorEastAsia" w:hAnsiTheme="minorEastAsia" w:cstheme="minorEastAsia"/>
          <w:snapToGrid w:val="0"/>
          <w:color w:val="000000"/>
          <w:kern w:val="0"/>
          <w:position w:val="-2"/>
          <w:szCs w:val="21"/>
        </w:rPr>
      </w:pPr>
      <w:r>
        <w:rPr>
          <w:rFonts w:hint="eastAsia" w:asciiTheme="minorEastAsia" w:hAnsiTheme="minorEastAsia" w:cstheme="minorEastAsia"/>
          <w:snapToGrid w:val="0"/>
          <w:color w:val="000000"/>
          <w:kern w:val="0"/>
          <w:position w:val="-2"/>
          <w:szCs w:val="21"/>
        </w:rPr>
        <w:t>出力和效率应执行GB/T 20043的规定。大型轴流转桨式或灯泡贯流式水轮机，宜开展相对效率试验，用于修正导叶开口与叶片转角间的协联关系。</w:t>
      </w:r>
    </w:p>
    <w:p>
      <w:pPr>
        <w:widowControl/>
        <w:numPr>
          <w:ilvl w:val="0"/>
          <w:numId w:val="28"/>
        </w:numPr>
        <w:kinsoku w:val="0"/>
        <w:autoSpaceDE w:val="0"/>
        <w:autoSpaceDN w:val="0"/>
        <w:adjustRightInd w:val="0"/>
        <w:snapToGrid w:val="0"/>
        <w:spacing w:line="360" w:lineRule="auto"/>
        <w:ind w:left="1476" w:leftChars="500" w:hanging="426" w:hangingChars="203"/>
        <w:jc w:val="left"/>
        <w:textAlignment w:val="baseline"/>
        <w:rPr>
          <w:rFonts w:hint="eastAsia" w:asciiTheme="minorEastAsia" w:hAnsiTheme="minorEastAsia" w:cstheme="minorEastAsia"/>
          <w:snapToGrid w:val="0"/>
          <w:color w:val="000000"/>
          <w:kern w:val="0"/>
          <w:position w:val="-2"/>
          <w:szCs w:val="21"/>
        </w:rPr>
      </w:pPr>
      <w:r>
        <w:rPr>
          <w:rFonts w:hint="eastAsia" w:asciiTheme="minorEastAsia" w:hAnsiTheme="minorEastAsia" w:cstheme="minorEastAsia"/>
          <w:snapToGrid w:val="0"/>
          <w:color w:val="000000"/>
          <w:kern w:val="0"/>
          <w:position w:val="-2"/>
          <w:szCs w:val="21"/>
        </w:rPr>
        <w:t>振动、摆度、压力脉动：参照本条第2款的检测方法执行。</w:t>
      </w:r>
    </w:p>
    <w:p>
      <w:pPr>
        <w:widowControl/>
        <w:numPr>
          <w:ilvl w:val="0"/>
          <w:numId w:val="28"/>
        </w:numPr>
        <w:kinsoku w:val="0"/>
        <w:autoSpaceDE w:val="0"/>
        <w:autoSpaceDN w:val="0"/>
        <w:adjustRightInd w:val="0"/>
        <w:snapToGrid w:val="0"/>
        <w:spacing w:line="360" w:lineRule="auto"/>
        <w:ind w:left="1476" w:leftChars="500" w:hanging="426" w:hangingChars="203"/>
        <w:jc w:val="left"/>
        <w:textAlignment w:val="baseline"/>
        <w:rPr>
          <w:rFonts w:hint="eastAsia" w:asciiTheme="minorEastAsia" w:hAnsiTheme="minorEastAsia" w:cstheme="minorEastAsia"/>
          <w:snapToGrid w:val="0"/>
          <w:color w:val="000000"/>
          <w:kern w:val="0"/>
          <w:position w:val="-2"/>
          <w:szCs w:val="21"/>
        </w:rPr>
      </w:pPr>
      <w:r>
        <w:rPr>
          <w:rFonts w:hint="eastAsia" w:asciiTheme="minorEastAsia" w:hAnsiTheme="minorEastAsia" w:cstheme="minorEastAsia"/>
          <w:snapToGrid w:val="0"/>
          <w:color w:val="000000"/>
          <w:kern w:val="0"/>
          <w:position w:val="-2"/>
          <w:szCs w:val="21"/>
        </w:rPr>
        <w:t>噪声采用声级计进行检测，声级计采用A计权声级。</w:t>
      </w:r>
    </w:p>
    <w:p>
      <w:pPr>
        <w:widowControl/>
        <w:numPr>
          <w:ilvl w:val="0"/>
          <w:numId w:val="28"/>
        </w:numPr>
        <w:kinsoku w:val="0"/>
        <w:autoSpaceDE w:val="0"/>
        <w:autoSpaceDN w:val="0"/>
        <w:adjustRightInd w:val="0"/>
        <w:snapToGrid w:val="0"/>
        <w:spacing w:line="360" w:lineRule="auto"/>
        <w:ind w:left="1476" w:leftChars="500" w:hanging="426" w:hangingChars="203"/>
        <w:jc w:val="left"/>
        <w:textAlignment w:val="baseline"/>
        <w:rPr>
          <w:rFonts w:hint="eastAsia" w:asciiTheme="minorEastAsia" w:hAnsiTheme="minorEastAsia" w:cstheme="minorEastAsia"/>
          <w:snapToGrid w:val="0"/>
          <w:color w:val="000000"/>
          <w:kern w:val="0"/>
          <w:szCs w:val="21"/>
        </w:rPr>
      </w:pPr>
      <w:r>
        <w:rPr>
          <w:rFonts w:hint="eastAsia" w:asciiTheme="minorEastAsia" w:hAnsiTheme="minorEastAsia" w:cstheme="minorEastAsia"/>
          <w:snapToGrid w:val="0"/>
          <w:color w:val="000000"/>
          <w:kern w:val="0"/>
          <w:szCs w:val="21"/>
        </w:rPr>
        <w:t>空蚀和磨蚀：参照</w:t>
      </w:r>
      <w:r>
        <w:rPr>
          <w:rFonts w:hint="eastAsia" w:asciiTheme="minorEastAsia" w:hAnsiTheme="minorEastAsia" w:cstheme="minorEastAsia"/>
          <w:snapToGrid w:val="0"/>
          <w:kern w:val="0"/>
          <w:szCs w:val="21"/>
        </w:rPr>
        <w:t>本</w:t>
      </w:r>
      <w:r>
        <w:rPr>
          <w:rFonts w:hint="eastAsia" w:asciiTheme="minorEastAsia" w:hAnsiTheme="minorEastAsia" w:cstheme="minorEastAsia"/>
          <w:snapToGrid w:val="0"/>
          <w:color w:val="000000"/>
          <w:kern w:val="0"/>
          <w:szCs w:val="21"/>
        </w:rPr>
        <w:t>条第2款的检测方法执行。</w:t>
      </w:r>
    </w:p>
    <w:bookmarkEnd w:id="135"/>
    <w:p>
      <w:pPr>
        <w:widowControl/>
        <w:numPr>
          <w:ilvl w:val="0"/>
          <w:numId w:val="28"/>
        </w:numPr>
        <w:kinsoku w:val="0"/>
        <w:autoSpaceDE w:val="0"/>
        <w:autoSpaceDN w:val="0"/>
        <w:adjustRightInd w:val="0"/>
        <w:snapToGrid w:val="0"/>
        <w:spacing w:line="360" w:lineRule="auto"/>
        <w:ind w:left="1476" w:leftChars="500" w:hanging="426" w:hangingChars="203"/>
        <w:jc w:val="left"/>
        <w:textAlignment w:val="baseline"/>
        <w:rPr>
          <w:rFonts w:hint="eastAsia" w:asciiTheme="minorEastAsia" w:hAnsiTheme="minorEastAsia" w:cstheme="minorEastAsia"/>
          <w:snapToGrid w:val="0"/>
          <w:color w:val="000000"/>
          <w:kern w:val="0"/>
          <w:position w:val="-2"/>
          <w:szCs w:val="21"/>
        </w:rPr>
      </w:pPr>
      <w:r>
        <w:rPr>
          <w:rFonts w:hint="eastAsia" w:asciiTheme="minorEastAsia" w:hAnsiTheme="minorEastAsia" w:cstheme="minorEastAsia"/>
          <w:snapToGrid w:val="0"/>
          <w:color w:val="000000"/>
          <w:kern w:val="0"/>
          <w:position w:val="-2"/>
          <w:szCs w:val="21"/>
        </w:rPr>
        <w:t>导叶漏水量宜采用容积法检测，配置进水阀旁通管的机组可采用超声或电磁流量计进行测量。</w:t>
      </w:r>
    </w:p>
    <w:p>
      <w:pPr>
        <w:widowControl/>
        <w:kinsoku w:val="0"/>
        <w:autoSpaceDE w:val="0"/>
        <w:autoSpaceDN w:val="0"/>
        <w:adjustRightInd w:val="0"/>
        <w:snapToGrid w:val="0"/>
        <w:spacing w:line="360" w:lineRule="auto"/>
        <w:ind w:firstLine="840" w:firstLineChars="400"/>
        <w:jc w:val="left"/>
        <w:textAlignment w:val="baseline"/>
        <w:rPr>
          <w:rFonts w:hint="eastAsia" w:asciiTheme="minorEastAsia" w:hAnsiTheme="minorEastAsia" w:cstheme="minorEastAsia"/>
          <w:snapToGrid w:val="0"/>
          <w:color w:val="000000"/>
          <w:kern w:val="0"/>
          <w:position w:val="-2"/>
          <w:szCs w:val="21"/>
        </w:rPr>
      </w:pPr>
      <w:r>
        <w:rPr>
          <w:rFonts w:hint="eastAsia" w:ascii="黑体" w:hAnsi="黑体" w:eastAsia="黑体" w:cs="黑体"/>
          <w:snapToGrid w:val="0"/>
          <w:color w:val="000000"/>
          <w:kern w:val="0"/>
          <w:szCs w:val="21"/>
        </w:rPr>
        <w:t>3)</w:t>
      </w:r>
      <w:r>
        <w:rPr>
          <w:rFonts w:hint="eastAsia" w:asciiTheme="minorEastAsia" w:hAnsiTheme="minorEastAsia" w:cstheme="minorEastAsia"/>
          <w:snapToGrid w:val="0"/>
          <w:color w:val="000000"/>
          <w:kern w:val="0"/>
          <w:position w:val="-2"/>
          <w:szCs w:val="21"/>
        </w:rPr>
        <w:t xml:space="preserve">  水轮发电机性能试验</w:t>
      </w:r>
    </w:p>
    <w:p>
      <w:pPr>
        <w:widowControl/>
        <w:kinsoku w:val="0"/>
        <w:autoSpaceDE w:val="0"/>
        <w:autoSpaceDN w:val="0"/>
        <w:adjustRightInd w:val="0"/>
        <w:snapToGrid w:val="0"/>
        <w:spacing w:line="360" w:lineRule="auto"/>
        <w:ind w:left="840" w:leftChars="400" w:firstLine="210" w:firstLineChars="100"/>
        <w:jc w:val="left"/>
        <w:textAlignment w:val="baseline"/>
        <w:rPr>
          <w:rFonts w:hint="eastAsia" w:asciiTheme="minorEastAsia" w:hAnsiTheme="minorEastAsia" w:cstheme="minorEastAsia"/>
          <w:snapToGrid w:val="0"/>
          <w:color w:val="000000"/>
          <w:kern w:val="0"/>
          <w:position w:val="-2"/>
          <w:szCs w:val="21"/>
        </w:rPr>
      </w:pPr>
      <w:r>
        <w:rPr>
          <w:rFonts w:hint="eastAsia" w:ascii="黑体" w:hAnsi="黑体" w:eastAsia="黑体" w:cs="黑体"/>
          <w:snapToGrid w:val="0"/>
          <w:color w:val="000000"/>
          <w:kern w:val="0"/>
          <w:szCs w:val="21"/>
        </w:rPr>
        <w:t xml:space="preserve">a） </w:t>
      </w:r>
      <w:r>
        <w:rPr>
          <w:rFonts w:hint="eastAsia" w:asciiTheme="minorEastAsia" w:hAnsiTheme="minorEastAsia" w:cstheme="minorEastAsia"/>
          <w:snapToGrid w:val="0"/>
          <w:color w:val="000000"/>
          <w:kern w:val="0"/>
          <w:position w:val="-2"/>
          <w:szCs w:val="21"/>
        </w:rPr>
        <w:t>效率及损耗测定应执行GB/T 25442的规定。</w:t>
      </w:r>
    </w:p>
    <w:p>
      <w:pPr>
        <w:widowControl/>
        <w:kinsoku w:val="0"/>
        <w:autoSpaceDE w:val="0"/>
        <w:autoSpaceDN w:val="0"/>
        <w:adjustRightInd w:val="0"/>
        <w:snapToGrid w:val="0"/>
        <w:spacing w:line="360" w:lineRule="auto"/>
        <w:ind w:left="840" w:leftChars="400" w:firstLine="210" w:firstLineChars="100"/>
        <w:jc w:val="left"/>
        <w:textAlignment w:val="baseline"/>
        <w:rPr>
          <w:rFonts w:hint="eastAsia" w:asciiTheme="minorEastAsia" w:hAnsiTheme="minorEastAsia" w:cstheme="minorEastAsia"/>
          <w:snapToGrid w:val="0"/>
          <w:color w:val="000000"/>
          <w:kern w:val="0"/>
          <w:position w:val="-2"/>
          <w:szCs w:val="21"/>
        </w:rPr>
      </w:pPr>
      <w:r>
        <w:rPr>
          <w:rFonts w:hint="eastAsia" w:ascii="黑体" w:hAnsi="黑体" w:eastAsia="黑体" w:cs="黑体"/>
          <w:snapToGrid w:val="0"/>
          <w:color w:val="000000"/>
          <w:kern w:val="0"/>
          <w:szCs w:val="21"/>
        </w:rPr>
        <w:t xml:space="preserve">b） </w:t>
      </w:r>
      <w:r>
        <w:rPr>
          <w:rFonts w:hint="eastAsia" w:asciiTheme="minorEastAsia" w:hAnsiTheme="minorEastAsia" w:cstheme="minorEastAsia"/>
          <w:snapToGrid w:val="0"/>
          <w:color w:val="000000"/>
          <w:kern w:val="0"/>
          <w:position w:val="-2"/>
          <w:szCs w:val="21"/>
        </w:rPr>
        <w:t>发电机振动和摆度：参照本节水轮机的检测方法。</w:t>
      </w:r>
    </w:p>
    <w:p>
      <w:pPr>
        <w:widowControl/>
        <w:kinsoku w:val="0"/>
        <w:autoSpaceDE w:val="0"/>
        <w:autoSpaceDN w:val="0"/>
        <w:adjustRightInd w:val="0"/>
        <w:snapToGrid w:val="0"/>
        <w:spacing w:line="360" w:lineRule="auto"/>
        <w:ind w:left="840" w:leftChars="400" w:firstLine="210" w:firstLineChars="100"/>
        <w:jc w:val="left"/>
        <w:textAlignment w:val="baseline"/>
        <w:rPr>
          <w:rFonts w:hint="eastAsia" w:asciiTheme="minorEastAsia" w:hAnsiTheme="minorEastAsia" w:cstheme="minorEastAsia"/>
          <w:snapToGrid w:val="0"/>
          <w:color w:val="000000"/>
          <w:kern w:val="0"/>
          <w:position w:val="-2"/>
          <w:szCs w:val="21"/>
        </w:rPr>
      </w:pPr>
      <w:r>
        <w:rPr>
          <w:rFonts w:hint="eastAsia" w:ascii="黑体" w:hAnsi="黑体" w:eastAsia="黑体" w:cs="黑体"/>
          <w:snapToGrid w:val="0"/>
          <w:color w:val="000000"/>
          <w:kern w:val="0"/>
          <w:szCs w:val="21"/>
        </w:rPr>
        <w:t xml:space="preserve">c） </w:t>
      </w:r>
      <w:r>
        <w:rPr>
          <w:rFonts w:hint="eastAsia" w:asciiTheme="minorEastAsia" w:hAnsiTheme="minorEastAsia" w:cstheme="minorEastAsia"/>
          <w:snapToGrid w:val="0"/>
          <w:color w:val="000000"/>
          <w:kern w:val="0"/>
          <w:position w:val="-2"/>
          <w:szCs w:val="21"/>
        </w:rPr>
        <w:t>温升试验应执行GB/T 1029的规定。</w:t>
      </w:r>
    </w:p>
    <w:p>
      <w:pPr>
        <w:widowControl/>
        <w:kinsoku w:val="0"/>
        <w:autoSpaceDE w:val="0"/>
        <w:autoSpaceDN w:val="0"/>
        <w:adjustRightInd w:val="0"/>
        <w:snapToGrid w:val="0"/>
        <w:spacing w:line="360" w:lineRule="auto"/>
        <w:ind w:left="840" w:leftChars="400" w:firstLine="210" w:firstLineChars="100"/>
        <w:jc w:val="left"/>
        <w:textAlignment w:val="baseline"/>
        <w:rPr>
          <w:rFonts w:hint="eastAsia" w:asciiTheme="minorEastAsia" w:hAnsiTheme="minorEastAsia" w:cstheme="minorEastAsia"/>
          <w:snapToGrid w:val="0"/>
          <w:color w:val="000000"/>
          <w:kern w:val="0"/>
          <w:position w:val="-2"/>
          <w:szCs w:val="21"/>
        </w:rPr>
      </w:pPr>
      <w:r>
        <w:rPr>
          <w:rFonts w:hint="eastAsia" w:ascii="黑体" w:hAnsi="黑体" w:eastAsia="黑体" w:cs="黑体"/>
          <w:snapToGrid w:val="0"/>
          <w:color w:val="000000"/>
          <w:kern w:val="0"/>
          <w:szCs w:val="21"/>
        </w:rPr>
        <w:t xml:space="preserve">d） </w:t>
      </w:r>
      <w:r>
        <w:rPr>
          <w:rFonts w:hint="eastAsia" w:asciiTheme="minorEastAsia" w:hAnsiTheme="minorEastAsia" w:cstheme="minorEastAsia"/>
          <w:snapToGrid w:val="0"/>
          <w:color w:val="000000"/>
          <w:kern w:val="0"/>
          <w:position w:val="-2"/>
          <w:szCs w:val="21"/>
        </w:rPr>
        <w:t>电抗和时间常数测定应执行GB/T 1029的规定。</w:t>
      </w:r>
    </w:p>
    <w:p>
      <w:pPr>
        <w:widowControl/>
        <w:kinsoku w:val="0"/>
        <w:autoSpaceDE w:val="0"/>
        <w:autoSpaceDN w:val="0"/>
        <w:adjustRightInd w:val="0"/>
        <w:snapToGrid w:val="0"/>
        <w:spacing w:line="360" w:lineRule="auto"/>
        <w:ind w:left="840" w:leftChars="400" w:firstLine="210" w:firstLineChars="100"/>
        <w:jc w:val="left"/>
        <w:textAlignment w:val="baseline"/>
        <w:rPr>
          <w:rFonts w:hint="eastAsia" w:asciiTheme="minorEastAsia" w:hAnsiTheme="minorEastAsia" w:cstheme="minorEastAsia"/>
          <w:snapToGrid w:val="0"/>
          <w:color w:val="000000"/>
          <w:kern w:val="0"/>
          <w:position w:val="-2"/>
          <w:szCs w:val="21"/>
        </w:rPr>
      </w:pPr>
      <w:r>
        <w:rPr>
          <w:rFonts w:hint="eastAsia" w:ascii="黑体" w:hAnsi="黑体" w:eastAsia="黑体" w:cs="黑体"/>
          <w:snapToGrid w:val="0"/>
          <w:color w:val="000000"/>
          <w:kern w:val="0"/>
          <w:szCs w:val="21"/>
        </w:rPr>
        <w:t xml:space="preserve">e） </w:t>
      </w:r>
      <w:r>
        <w:rPr>
          <w:rFonts w:hint="eastAsia" w:asciiTheme="minorEastAsia" w:hAnsiTheme="minorEastAsia" w:cstheme="minorEastAsia"/>
          <w:snapToGrid w:val="0"/>
          <w:color w:val="000000"/>
          <w:kern w:val="0"/>
          <w:position w:val="-2"/>
          <w:szCs w:val="21"/>
        </w:rPr>
        <w:t>电压波形全谐波畸变因数（THD）测定应执行GB/T 1029的规定。</w:t>
      </w:r>
    </w:p>
    <w:p>
      <w:pPr>
        <w:widowControl/>
        <w:kinsoku w:val="0"/>
        <w:autoSpaceDE w:val="0"/>
        <w:autoSpaceDN w:val="0"/>
        <w:adjustRightInd w:val="0"/>
        <w:snapToGrid w:val="0"/>
        <w:spacing w:line="360" w:lineRule="auto"/>
        <w:ind w:left="840" w:leftChars="400" w:firstLine="210" w:firstLineChars="100"/>
        <w:jc w:val="left"/>
        <w:textAlignment w:val="baseline"/>
        <w:rPr>
          <w:rFonts w:hint="eastAsia" w:asciiTheme="minorEastAsia" w:hAnsiTheme="minorEastAsia" w:cstheme="minorEastAsia"/>
          <w:snapToGrid w:val="0"/>
          <w:color w:val="000000"/>
          <w:kern w:val="0"/>
          <w:position w:val="-2"/>
          <w:szCs w:val="21"/>
        </w:rPr>
      </w:pPr>
      <w:r>
        <w:rPr>
          <w:rFonts w:hint="eastAsia" w:ascii="黑体" w:hAnsi="黑体" w:eastAsia="黑体" w:cs="黑体"/>
          <w:snapToGrid w:val="0"/>
          <w:color w:val="000000"/>
          <w:kern w:val="0"/>
          <w:szCs w:val="21"/>
        </w:rPr>
        <w:t xml:space="preserve">f） </w:t>
      </w:r>
      <w:r>
        <w:rPr>
          <w:rFonts w:hint="eastAsia" w:asciiTheme="minorEastAsia" w:hAnsiTheme="minorEastAsia" w:cstheme="minorEastAsia"/>
          <w:snapToGrid w:val="0"/>
          <w:color w:val="000000"/>
          <w:kern w:val="0"/>
          <w:position w:val="-2"/>
          <w:szCs w:val="21"/>
        </w:rPr>
        <w:t>飞轮力矩（GD</w:t>
      </w:r>
      <w:r>
        <w:rPr>
          <w:rFonts w:hint="eastAsia" w:asciiTheme="minorEastAsia" w:hAnsiTheme="minorEastAsia" w:cstheme="minorEastAsia"/>
          <w:snapToGrid w:val="0"/>
          <w:color w:val="000000"/>
          <w:kern w:val="0"/>
          <w:position w:val="-2"/>
          <w:szCs w:val="21"/>
          <w:vertAlign w:val="superscript"/>
        </w:rPr>
        <w:t>2</w:t>
      </w:r>
      <w:r>
        <w:rPr>
          <w:rFonts w:hint="eastAsia" w:asciiTheme="minorEastAsia" w:hAnsiTheme="minorEastAsia" w:cstheme="minorEastAsia"/>
          <w:snapToGrid w:val="0"/>
          <w:color w:val="000000"/>
          <w:kern w:val="0"/>
          <w:position w:val="-2"/>
          <w:szCs w:val="21"/>
        </w:rPr>
        <w:t>）测量应执行GB/T 1029的规定。</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position w:val="-2"/>
          <w:szCs w:val="21"/>
        </w:rPr>
      </w:pPr>
      <w:r>
        <w:rPr>
          <w:rFonts w:hint="eastAsia" w:ascii="黑体" w:hAnsi="黑体" w:eastAsia="黑体" w:cs="黑体"/>
          <w:snapToGrid w:val="0"/>
          <w:color w:val="000000"/>
          <w:kern w:val="0"/>
          <w:szCs w:val="21"/>
        </w:rPr>
        <w:t xml:space="preserve">7 </w:t>
      </w:r>
      <w:r>
        <w:rPr>
          <w:rFonts w:hint="eastAsia" w:asciiTheme="minorEastAsia" w:hAnsiTheme="minorEastAsia" w:cstheme="minorEastAsia"/>
          <w:snapToGrid w:val="0"/>
          <w:color w:val="000000"/>
          <w:kern w:val="0"/>
          <w:szCs w:val="21"/>
        </w:rPr>
        <w:t xml:space="preserve"> 水泵机组综合性能检测：</w:t>
      </w:r>
      <w:r>
        <w:rPr>
          <w:rFonts w:hint="eastAsia" w:asciiTheme="minorEastAsia" w:hAnsiTheme="minorEastAsia" w:cstheme="minorEastAsia"/>
          <w:snapToGrid w:val="0"/>
          <w:color w:val="000000"/>
          <w:kern w:val="0"/>
          <w:position w:val="-2"/>
          <w:szCs w:val="21"/>
        </w:rPr>
        <w:t>检测方法应执行SL 548的规定。</w:t>
      </w:r>
    </w:p>
    <w:p>
      <w:pPr>
        <w:widowControl/>
        <w:kinsoku w:val="0"/>
        <w:autoSpaceDE w:val="0"/>
        <w:autoSpaceDN w:val="0"/>
        <w:adjustRightInd w:val="0"/>
        <w:snapToGrid w:val="0"/>
        <w:spacing w:line="360" w:lineRule="auto"/>
        <w:ind w:hanging="5"/>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8.2.5</w:t>
      </w:r>
      <w:r>
        <w:rPr>
          <w:rFonts w:hint="eastAsia" w:asciiTheme="minorEastAsia" w:hAnsiTheme="minorEastAsia" w:cstheme="minorEastAsia"/>
          <w:snapToGrid w:val="0"/>
          <w:color w:val="000000"/>
          <w:kern w:val="0"/>
          <w:szCs w:val="21"/>
        </w:rPr>
        <w:t xml:space="preserve">  检测项目满足下列要求的，质量检测结果评价为合格：</w:t>
      </w:r>
    </w:p>
    <w:p>
      <w:pPr>
        <w:widowControl/>
        <w:tabs>
          <w:tab w:val="left" w:pos="1933"/>
        </w:tabs>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1 </w:t>
      </w:r>
      <w:r>
        <w:rPr>
          <w:rFonts w:hint="eastAsia" w:asciiTheme="minorEastAsia" w:hAnsiTheme="minorEastAsia" w:cstheme="minorEastAsia"/>
          <w:snapToGrid w:val="0"/>
          <w:color w:val="000000"/>
          <w:kern w:val="0"/>
          <w:szCs w:val="21"/>
        </w:rPr>
        <w:t xml:space="preserve"> 水轮机/水泵水轮机</w:t>
      </w:r>
    </w:p>
    <w:p>
      <w:pPr>
        <w:widowControl/>
        <w:kinsoku w:val="0"/>
        <w:autoSpaceDE w:val="0"/>
        <w:autoSpaceDN w:val="0"/>
        <w:adjustRightInd w:val="0"/>
        <w:snapToGrid w:val="0"/>
        <w:spacing w:line="360" w:lineRule="auto"/>
        <w:ind w:firstLine="630" w:firstLineChars="3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1) </w:t>
      </w:r>
      <w:r>
        <w:rPr>
          <w:rFonts w:hint="eastAsia" w:asciiTheme="minorEastAsia" w:hAnsiTheme="minorEastAsia" w:cstheme="minorEastAsia"/>
          <w:snapToGrid w:val="0"/>
          <w:color w:val="000000"/>
          <w:kern w:val="0"/>
          <w:szCs w:val="21"/>
        </w:rPr>
        <w:t xml:space="preserve"> 水头/扬程、流量、出力（轴功率）、效率：应符合设计要求及合同保证值。</w:t>
      </w:r>
    </w:p>
    <w:p>
      <w:pPr>
        <w:widowControl/>
        <w:kinsoku w:val="0"/>
        <w:autoSpaceDE w:val="0"/>
        <w:autoSpaceDN w:val="0"/>
        <w:adjustRightInd w:val="0"/>
        <w:snapToGrid w:val="0"/>
        <w:spacing w:line="360" w:lineRule="auto"/>
        <w:ind w:firstLine="630" w:firstLineChars="3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2)</w:t>
      </w:r>
      <w:r>
        <w:rPr>
          <w:rFonts w:hint="eastAsia" w:asciiTheme="minorEastAsia" w:hAnsiTheme="minorEastAsia" w:cstheme="minorEastAsia"/>
          <w:snapToGrid w:val="0"/>
          <w:color w:val="000000"/>
          <w:kern w:val="0"/>
          <w:szCs w:val="21"/>
        </w:rPr>
        <w:t xml:space="preserve">  </w:t>
      </w:r>
      <w:r>
        <w:rPr>
          <w:rFonts w:hint="eastAsia" w:asciiTheme="minorEastAsia" w:hAnsiTheme="minorEastAsia" w:cstheme="minorEastAsia"/>
          <w:snapToGrid w:val="0"/>
          <w:color w:val="000000"/>
          <w:kern w:val="0"/>
          <w:position w:val="-2"/>
          <w:szCs w:val="21"/>
        </w:rPr>
        <w:t>通流部件的几何型线及尺寸、波浪度、粗糙度应符合</w:t>
      </w:r>
      <w:r>
        <w:rPr>
          <w:rFonts w:hint="eastAsia" w:asciiTheme="minorEastAsia" w:hAnsiTheme="minorEastAsia" w:cstheme="minorEastAsia"/>
          <w:snapToGrid w:val="0"/>
          <w:color w:val="000000"/>
          <w:kern w:val="0"/>
          <w:szCs w:val="21"/>
        </w:rPr>
        <w:t>GB/T 15613的规定。</w:t>
      </w:r>
    </w:p>
    <w:p>
      <w:pPr>
        <w:widowControl/>
        <w:kinsoku w:val="0"/>
        <w:autoSpaceDE w:val="0"/>
        <w:autoSpaceDN w:val="0"/>
        <w:adjustRightInd w:val="0"/>
        <w:snapToGrid w:val="0"/>
        <w:spacing w:line="360" w:lineRule="auto"/>
        <w:ind w:firstLine="630" w:firstLineChars="300"/>
        <w:textAlignment w:val="baseline"/>
        <w:rPr>
          <w:rFonts w:hint="eastAsia" w:asciiTheme="minorEastAsia" w:hAnsiTheme="minorEastAsia" w:cstheme="minorEastAsia"/>
          <w:snapToGrid w:val="0"/>
          <w:color w:val="000000"/>
          <w:kern w:val="0"/>
          <w:position w:val="-2"/>
          <w:szCs w:val="21"/>
        </w:rPr>
      </w:pPr>
      <w:r>
        <w:rPr>
          <w:rFonts w:hint="eastAsia" w:ascii="黑体" w:hAnsi="黑体" w:eastAsia="黑体" w:cs="黑体"/>
          <w:snapToGrid w:val="0"/>
          <w:color w:val="000000"/>
          <w:kern w:val="0"/>
          <w:szCs w:val="21"/>
        </w:rPr>
        <w:t>3)</w:t>
      </w:r>
      <w:r>
        <w:rPr>
          <w:rFonts w:hint="eastAsia" w:asciiTheme="minorEastAsia" w:hAnsiTheme="minorEastAsia" w:cstheme="minorEastAsia"/>
          <w:snapToGrid w:val="0"/>
          <w:color w:val="000000"/>
          <w:kern w:val="0"/>
          <w:position w:val="-2"/>
          <w:szCs w:val="21"/>
        </w:rPr>
        <w:t xml:space="preserve">  硬度应符合</w:t>
      </w:r>
      <w:r>
        <w:rPr>
          <w:rFonts w:hint="eastAsia" w:asciiTheme="minorEastAsia" w:hAnsiTheme="minorEastAsia" w:cstheme="minorEastAsia"/>
          <w:snapToGrid w:val="0"/>
          <w:color w:val="000000"/>
          <w:kern w:val="0"/>
          <w:szCs w:val="21"/>
        </w:rPr>
        <w:t>设计要求及合同保证值</w:t>
      </w:r>
      <w:r>
        <w:rPr>
          <w:rFonts w:hint="eastAsia" w:asciiTheme="minorEastAsia" w:hAnsiTheme="minorEastAsia" w:cstheme="minorEastAsia"/>
          <w:snapToGrid w:val="0"/>
          <w:color w:val="000000"/>
          <w:kern w:val="0"/>
          <w:position w:val="-2"/>
          <w:szCs w:val="21"/>
        </w:rPr>
        <w:t>。</w:t>
      </w:r>
    </w:p>
    <w:p>
      <w:pPr>
        <w:widowControl/>
        <w:kinsoku w:val="0"/>
        <w:autoSpaceDE w:val="0"/>
        <w:autoSpaceDN w:val="0"/>
        <w:adjustRightInd w:val="0"/>
        <w:snapToGrid w:val="0"/>
        <w:spacing w:line="360" w:lineRule="auto"/>
        <w:ind w:firstLine="630" w:firstLineChars="300"/>
        <w:textAlignment w:val="baseline"/>
        <w:rPr>
          <w:rFonts w:hint="eastAsia" w:asciiTheme="minorEastAsia" w:hAnsiTheme="minorEastAsia" w:cstheme="minorEastAsia"/>
          <w:snapToGrid w:val="0"/>
          <w:color w:val="000000"/>
          <w:kern w:val="0"/>
          <w:position w:val="-2"/>
          <w:szCs w:val="21"/>
        </w:rPr>
      </w:pPr>
      <w:r>
        <w:rPr>
          <w:rFonts w:hint="eastAsia" w:ascii="黑体" w:hAnsi="黑体" w:eastAsia="黑体" w:cs="黑体"/>
          <w:snapToGrid w:val="0"/>
          <w:color w:val="000000"/>
          <w:kern w:val="0"/>
          <w:szCs w:val="21"/>
        </w:rPr>
        <w:t>4)</w:t>
      </w:r>
      <w:r>
        <w:rPr>
          <w:rFonts w:hint="eastAsia" w:asciiTheme="minorEastAsia" w:hAnsiTheme="minorEastAsia" w:cstheme="minorEastAsia"/>
          <w:snapToGrid w:val="0"/>
          <w:color w:val="000000"/>
          <w:kern w:val="0"/>
          <w:position w:val="-2"/>
          <w:szCs w:val="21"/>
        </w:rPr>
        <w:t xml:space="preserve">  平面度、圆度、同轴度、垂直度、中心偏差、高程应符合SL 636的规定。</w:t>
      </w:r>
    </w:p>
    <w:p>
      <w:pPr>
        <w:widowControl/>
        <w:tabs>
          <w:tab w:val="left" w:pos="210"/>
        </w:tabs>
        <w:kinsoku w:val="0"/>
        <w:autoSpaceDE w:val="0"/>
        <w:autoSpaceDN w:val="0"/>
        <w:adjustRightInd w:val="0"/>
        <w:snapToGrid w:val="0"/>
        <w:spacing w:line="360" w:lineRule="auto"/>
        <w:ind w:left="1058" w:leftChars="300" w:hanging="428" w:hangingChars="204"/>
        <w:textAlignment w:val="baseline"/>
        <w:rPr>
          <w:rFonts w:hint="eastAsia" w:asciiTheme="minorEastAsia" w:hAnsiTheme="minorEastAsia" w:cstheme="minorEastAsia"/>
          <w:snapToGrid w:val="0"/>
          <w:color w:val="000000"/>
          <w:kern w:val="0"/>
          <w:position w:val="-2"/>
          <w:szCs w:val="21"/>
        </w:rPr>
      </w:pPr>
      <w:r>
        <w:rPr>
          <w:rFonts w:hint="eastAsia" w:ascii="黑体" w:hAnsi="黑体" w:eastAsia="黑体" w:cs="黑体"/>
          <w:snapToGrid w:val="0"/>
          <w:color w:val="000000"/>
          <w:kern w:val="0"/>
          <w:szCs w:val="21"/>
        </w:rPr>
        <w:t>5)</w:t>
      </w:r>
      <w:r>
        <w:rPr>
          <w:rFonts w:hint="eastAsia" w:asciiTheme="minorEastAsia" w:hAnsiTheme="minorEastAsia" w:cstheme="minorEastAsia"/>
          <w:snapToGrid w:val="0"/>
          <w:color w:val="000000"/>
          <w:kern w:val="0"/>
          <w:position w:val="-2"/>
          <w:szCs w:val="21"/>
        </w:rPr>
        <w:t xml:space="preserve">  顶盖振动、水导摆度、压力脉动、噪声、导叶漏水量应符合附录H.1.1的要求和GB/T 15468的规定或合同保证值要求。</w:t>
      </w:r>
    </w:p>
    <w:p>
      <w:pPr>
        <w:widowControl/>
        <w:kinsoku w:val="0"/>
        <w:autoSpaceDE w:val="0"/>
        <w:autoSpaceDN w:val="0"/>
        <w:adjustRightInd w:val="0"/>
        <w:snapToGrid w:val="0"/>
        <w:spacing w:line="360" w:lineRule="auto"/>
        <w:ind w:firstLine="630" w:firstLineChars="3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6)</w:t>
      </w:r>
      <w:r>
        <w:rPr>
          <w:rFonts w:hint="eastAsia" w:asciiTheme="minorEastAsia" w:hAnsiTheme="minorEastAsia" w:cstheme="minorEastAsia"/>
          <w:snapToGrid w:val="0"/>
          <w:color w:val="000000"/>
          <w:kern w:val="0"/>
          <w:szCs w:val="21"/>
        </w:rPr>
        <w:t xml:space="preserve">  转速：机组甩负荷时的最大转速上升率宜按以下不同情况选取：</w:t>
      </w:r>
    </w:p>
    <w:p>
      <w:pPr>
        <w:widowControl/>
        <w:kinsoku w:val="0"/>
        <w:autoSpaceDE w:val="0"/>
        <w:autoSpaceDN w:val="0"/>
        <w:adjustRightInd w:val="0"/>
        <w:snapToGrid w:val="0"/>
        <w:spacing w:line="360" w:lineRule="auto"/>
        <w:ind w:firstLine="840" w:firstLineChars="400"/>
        <w:textAlignment w:val="baseline"/>
        <w:rPr>
          <w:rFonts w:hint="eastAsia" w:asciiTheme="minorEastAsia" w:hAnsiTheme="minorEastAsia" w:cstheme="minorEastAsia"/>
          <w:snapToGrid w:val="0"/>
          <w:color w:val="000000"/>
          <w:kern w:val="0"/>
          <w:szCs w:val="21"/>
        </w:rPr>
      </w:pPr>
      <w:r>
        <w:rPr>
          <w:rFonts w:hint="eastAsia" w:ascii="黑体" w:hAnsi="黑体" w:eastAsia="黑体" w:cstheme="minorEastAsia"/>
          <w:snapToGrid w:val="0"/>
          <w:color w:val="000000"/>
          <w:kern w:val="0"/>
          <w:szCs w:val="21"/>
        </w:rPr>
        <w:t>a)</w:t>
      </w:r>
      <w:r>
        <w:rPr>
          <w:rFonts w:hint="eastAsia" w:asciiTheme="minorEastAsia" w:hAnsiTheme="minorEastAsia" w:cstheme="minorEastAsia"/>
          <w:snapToGrid w:val="0"/>
          <w:color w:val="000000"/>
          <w:kern w:val="0"/>
          <w:szCs w:val="21"/>
        </w:rPr>
        <w:t xml:space="preserve">  当机组容量占电力系统工作总容量的比重较大，或担负调频任务时，宜小于50%。</w:t>
      </w:r>
    </w:p>
    <w:p>
      <w:pPr>
        <w:widowControl/>
        <w:kinsoku w:val="0"/>
        <w:autoSpaceDE w:val="0"/>
        <w:autoSpaceDN w:val="0"/>
        <w:adjustRightInd w:val="0"/>
        <w:snapToGrid w:val="0"/>
        <w:spacing w:line="360" w:lineRule="auto"/>
        <w:ind w:firstLine="840" w:firstLineChars="400"/>
        <w:textAlignment w:val="baseline"/>
        <w:rPr>
          <w:rFonts w:hint="eastAsia" w:asciiTheme="minorEastAsia" w:hAnsiTheme="minorEastAsia" w:cstheme="minorEastAsia"/>
          <w:snapToGrid w:val="0"/>
          <w:color w:val="000000"/>
          <w:kern w:val="0"/>
          <w:szCs w:val="21"/>
        </w:rPr>
      </w:pPr>
      <w:r>
        <w:rPr>
          <w:rFonts w:hint="eastAsia" w:ascii="黑体" w:hAnsi="黑体" w:eastAsia="黑体" w:cstheme="minorEastAsia"/>
          <w:snapToGrid w:val="0"/>
          <w:color w:val="000000"/>
          <w:kern w:val="0"/>
          <w:szCs w:val="21"/>
        </w:rPr>
        <w:t>b)</w:t>
      </w:r>
      <w:r>
        <w:rPr>
          <w:rFonts w:hint="eastAsia" w:asciiTheme="minorEastAsia" w:hAnsiTheme="minorEastAsia" w:cstheme="minorEastAsia"/>
          <w:snapToGrid w:val="0"/>
          <w:color w:val="000000"/>
          <w:kern w:val="0"/>
          <w:szCs w:val="21"/>
        </w:rPr>
        <w:t xml:space="preserve">  当机组容量占系统工作总容量的比重不大，或不担负调频任务时，宜小于60%。</w:t>
      </w:r>
    </w:p>
    <w:p>
      <w:pPr>
        <w:widowControl/>
        <w:kinsoku w:val="0"/>
        <w:autoSpaceDE w:val="0"/>
        <w:autoSpaceDN w:val="0"/>
        <w:adjustRightInd w:val="0"/>
        <w:snapToGrid w:val="0"/>
        <w:spacing w:line="360" w:lineRule="auto"/>
        <w:ind w:firstLine="840" w:firstLineChars="400"/>
        <w:textAlignment w:val="baseline"/>
        <w:rPr>
          <w:rFonts w:hint="eastAsia" w:asciiTheme="minorEastAsia" w:hAnsiTheme="minorEastAsia" w:cstheme="minorEastAsia"/>
          <w:snapToGrid w:val="0"/>
          <w:color w:val="000000"/>
          <w:kern w:val="0"/>
          <w:szCs w:val="21"/>
        </w:rPr>
      </w:pPr>
      <w:r>
        <w:rPr>
          <w:rFonts w:hint="eastAsia" w:ascii="黑体" w:hAnsi="黑体" w:eastAsia="黑体" w:cstheme="minorEastAsia"/>
          <w:snapToGrid w:val="0"/>
          <w:color w:val="000000"/>
          <w:kern w:val="0"/>
          <w:szCs w:val="21"/>
        </w:rPr>
        <w:t>c)</w:t>
      </w:r>
      <w:r>
        <w:rPr>
          <w:rFonts w:hint="eastAsia" w:asciiTheme="minorEastAsia" w:hAnsiTheme="minorEastAsia" w:cstheme="minorEastAsia"/>
          <w:snapToGrid w:val="0"/>
          <w:color w:val="000000"/>
          <w:kern w:val="0"/>
          <w:szCs w:val="21"/>
        </w:rPr>
        <w:t xml:space="preserve">  贯流式机组最大转速升高率宜小于65%。</w:t>
      </w:r>
    </w:p>
    <w:p>
      <w:pPr>
        <w:widowControl/>
        <w:kinsoku w:val="0"/>
        <w:autoSpaceDE w:val="0"/>
        <w:autoSpaceDN w:val="0"/>
        <w:adjustRightInd w:val="0"/>
        <w:snapToGrid w:val="0"/>
        <w:spacing w:line="360" w:lineRule="auto"/>
        <w:ind w:firstLine="840" w:firstLineChars="400"/>
        <w:textAlignment w:val="baseline"/>
        <w:rPr>
          <w:rFonts w:hint="eastAsia" w:asciiTheme="minorEastAsia" w:hAnsiTheme="minorEastAsia" w:cstheme="minorEastAsia"/>
          <w:snapToGrid w:val="0"/>
          <w:color w:val="000000"/>
          <w:kern w:val="0"/>
          <w:szCs w:val="21"/>
        </w:rPr>
      </w:pPr>
      <w:bookmarkStart w:id="136" w:name="OLE_LINK17"/>
      <w:r>
        <w:rPr>
          <w:rFonts w:hint="eastAsia" w:ascii="黑体" w:hAnsi="黑体" w:eastAsia="黑体" w:cstheme="minorEastAsia"/>
          <w:snapToGrid w:val="0"/>
          <w:color w:val="000000"/>
          <w:kern w:val="0"/>
          <w:szCs w:val="21"/>
        </w:rPr>
        <w:t>d)</w:t>
      </w:r>
      <w:r>
        <w:rPr>
          <w:rFonts w:hint="eastAsia" w:asciiTheme="minorEastAsia" w:hAnsiTheme="minorEastAsia" w:cstheme="minorEastAsia"/>
          <w:snapToGrid w:val="0"/>
          <w:color w:val="000000"/>
          <w:kern w:val="0"/>
          <w:szCs w:val="21"/>
        </w:rPr>
        <w:t xml:space="preserve">  冲击式机组最大转速升高率宜小于30%。</w:t>
      </w:r>
    </w:p>
    <w:bookmarkEnd w:id="136"/>
    <w:p>
      <w:pPr>
        <w:widowControl/>
        <w:kinsoku w:val="0"/>
        <w:autoSpaceDE w:val="0"/>
        <w:autoSpaceDN w:val="0"/>
        <w:adjustRightInd w:val="0"/>
        <w:snapToGrid w:val="0"/>
        <w:spacing w:line="360" w:lineRule="auto"/>
        <w:ind w:firstLine="630" w:firstLineChars="300"/>
        <w:textAlignment w:val="baseline"/>
        <w:rPr>
          <w:rFonts w:hint="eastAsia" w:ascii="宋体" w:hAnsi="宋体" w:eastAsia="宋体" w:cstheme="minorEastAsia"/>
          <w:snapToGrid w:val="0"/>
          <w:color w:val="000000"/>
          <w:kern w:val="0"/>
          <w:szCs w:val="21"/>
        </w:rPr>
      </w:pPr>
      <w:r>
        <w:rPr>
          <w:rFonts w:hint="eastAsia" w:ascii="黑体" w:hAnsi="黑体" w:eastAsia="黑体" w:cs="黑体"/>
          <w:snapToGrid w:val="0"/>
          <w:color w:val="000000"/>
          <w:kern w:val="0"/>
          <w:szCs w:val="21"/>
        </w:rPr>
        <w:t>7)</w:t>
      </w:r>
      <w:r>
        <w:rPr>
          <w:rFonts w:hint="eastAsia" w:asciiTheme="minorEastAsia" w:hAnsiTheme="minorEastAsia" w:cstheme="minorEastAsia"/>
          <w:snapToGrid w:val="0"/>
          <w:color w:val="000000"/>
          <w:kern w:val="0"/>
          <w:szCs w:val="21"/>
        </w:rPr>
        <w:t xml:space="preserve">  空蚀和磨蚀：</w:t>
      </w:r>
      <w:bookmarkStart w:id="137" w:name="OLE_LINK35"/>
      <w:bookmarkStart w:id="138" w:name="OLE_LINK25"/>
      <w:r>
        <w:rPr>
          <w:rFonts w:hint="eastAsia" w:ascii="宋体" w:hAnsi="宋体" w:eastAsia="宋体" w:cstheme="minorEastAsia"/>
          <w:snapToGrid w:val="0"/>
          <w:color w:val="000000"/>
          <w:kern w:val="0"/>
          <w:szCs w:val="21"/>
        </w:rPr>
        <w:t>应符合附录H.1.2的要求。</w:t>
      </w:r>
      <w:bookmarkEnd w:id="137"/>
    </w:p>
    <w:bookmarkEnd w:id="138"/>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2 </w:t>
      </w:r>
      <w:r>
        <w:rPr>
          <w:rFonts w:hint="eastAsia" w:asciiTheme="minorEastAsia" w:hAnsiTheme="minorEastAsia" w:cstheme="minorEastAsia"/>
          <w:snapToGrid w:val="0"/>
          <w:color w:val="000000"/>
          <w:kern w:val="0"/>
          <w:szCs w:val="21"/>
        </w:rPr>
        <w:t xml:space="preserve"> 水泵</w:t>
      </w:r>
    </w:p>
    <w:p>
      <w:pPr>
        <w:widowControl/>
        <w:kinsoku w:val="0"/>
        <w:autoSpaceDE w:val="0"/>
        <w:autoSpaceDN w:val="0"/>
        <w:adjustRightInd w:val="0"/>
        <w:snapToGrid w:val="0"/>
        <w:spacing w:line="360" w:lineRule="auto"/>
        <w:ind w:firstLine="630" w:firstLineChars="3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1)</w:t>
      </w:r>
      <w:r>
        <w:rPr>
          <w:rFonts w:hint="eastAsia" w:asciiTheme="minorEastAsia" w:hAnsiTheme="minorEastAsia" w:cstheme="minorEastAsia"/>
          <w:snapToGrid w:val="0"/>
          <w:color w:val="000000"/>
          <w:kern w:val="0"/>
          <w:szCs w:val="21"/>
        </w:rPr>
        <w:t xml:space="preserve">  水泵制造及安装质量应符合SL 317的规定。</w:t>
      </w:r>
    </w:p>
    <w:p>
      <w:pPr>
        <w:widowControl/>
        <w:kinsoku w:val="0"/>
        <w:autoSpaceDE w:val="0"/>
        <w:autoSpaceDN w:val="0"/>
        <w:adjustRightInd w:val="0"/>
        <w:snapToGrid w:val="0"/>
        <w:spacing w:line="360" w:lineRule="auto"/>
        <w:ind w:firstLine="630" w:firstLineChars="3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2)</w:t>
      </w:r>
      <w:r>
        <w:rPr>
          <w:rFonts w:hint="eastAsia" w:asciiTheme="minorEastAsia" w:hAnsiTheme="minorEastAsia" w:cstheme="minorEastAsia"/>
          <w:snapToGrid w:val="0"/>
          <w:color w:val="000000"/>
          <w:kern w:val="0"/>
          <w:szCs w:val="21"/>
        </w:rPr>
        <w:t xml:space="preserve">  水泵流量、扬程、转速、轴功率、效率、压力脉动：应符合设计及合同要求。</w:t>
      </w:r>
    </w:p>
    <w:p>
      <w:pPr>
        <w:widowControl/>
        <w:kinsoku w:val="0"/>
        <w:autoSpaceDE w:val="0"/>
        <w:autoSpaceDN w:val="0"/>
        <w:adjustRightInd w:val="0"/>
        <w:snapToGrid w:val="0"/>
        <w:spacing w:line="360" w:lineRule="auto"/>
        <w:ind w:firstLine="630" w:firstLineChars="3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3) </w:t>
      </w:r>
      <w:r>
        <w:rPr>
          <w:rFonts w:hint="eastAsia" w:asciiTheme="minorEastAsia" w:hAnsiTheme="minorEastAsia" w:cstheme="minorEastAsia"/>
          <w:snapToGrid w:val="0"/>
          <w:color w:val="000000"/>
          <w:kern w:val="0"/>
          <w:szCs w:val="21"/>
        </w:rPr>
        <w:t xml:space="preserve"> 振动：应符合附录</w:t>
      </w:r>
      <w:r>
        <w:rPr>
          <w:rFonts w:hint="eastAsia" w:ascii="宋体" w:hAnsi="宋体" w:eastAsia="宋体" w:cstheme="minorEastAsia"/>
          <w:snapToGrid w:val="0"/>
          <w:color w:val="000000"/>
          <w:kern w:val="0"/>
          <w:szCs w:val="21"/>
        </w:rPr>
        <w:t>H</w:t>
      </w:r>
      <w:r>
        <w:rPr>
          <w:rFonts w:hint="eastAsia" w:asciiTheme="minorEastAsia" w:hAnsiTheme="minorEastAsia" w:cstheme="minorEastAsia"/>
          <w:snapToGrid w:val="0"/>
          <w:color w:val="000000"/>
          <w:kern w:val="0"/>
          <w:szCs w:val="21"/>
        </w:rPr>
        <w:t>.2.1的要求。</w:t>
      </w:r>
    </w:p>
    <w:p>
      <w:pPr>
        <w:widowControl/>
        <w:kinsoku w:val="0"/>
        <w:autoSpaceDE w:val="0"/>
        <w:autoSpaceDN w:val="0"/>
        <w:adjustRightInd w:val="0"/>
        <w:snapToGrid w:val="0"/>
        <w:spacing w:line="360" w:lineRule="auto"/>
        <w:ind w:firstLine="630" w:firstLineChars="3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4)</w:t>
      </w:r>
      <w:r>
        <w:rPr>
          <w:rFonts w:hint="eastAsia" w:asciiTheme="minorEastAsia" w:hAnsiTheme="minorEastAsia" w:cstheme="minorEastAsia"/>
          <w:snapToGrid w:val="0"/>
          <w:color w:val="000000"/>
          <w:kern w:val="0"/>
          <w:szCs w:val="21"/>
        </w:rPr>
        <w:t xml:space="preserve">  噪声：应符合附录</w:t>
      </w:r>
      <w:r>
        <w:rPr>
          <w:rFonts w:hint="eastAsia" w:ascii="宋体" w:hAnsi="宋体" w:eastAsia="宋体" w:cstheme="minorEastAsia"/>
          <w:snapToGrid w:val="0"/>
          <w:color w:val="000000"/>
          <w:kern w:val="0"/>
          <w:szCs w:val="21"/>
        </w:rPr>
        <w:t>H</w:t>
      </w:r>
      <w:r>
        <w:rPr>
          <w:rFonts w:hint="eastAsia" w:asciiTheme="minorEastAsia" w:hAnsiTheme="minorEastAsia" w:cstheme="minorEastAsia"/>
          <w:snapToGrid w:val="0"/>
          <w:color w:val="000000"/>
          <w:kern w:val="0"/>
          <w:szCs w:val="21"/>
        </w:rPr>
        <w:t>.2.2的要求。</w:t>
      </w:r>
    </w:p>
    <w:p>
      <w:pPr>
        <w:widowControl/>
        <w:kinsoku w:val="0"/>
        <w:autoSpaceDE w:val="0"/>
        <w:autoSpaceDN w:val="0"/>
        <w:adjustRightInd w:val="0"/>
        <w:snapToGrid w:val="0"/>
        <w:spacing w:line="360" w:lineRule="auto"/>
        <w:ind w:left="1058" w:leftChars="300" w:hanging="428" w:hangingChars="204"/>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5) </w:t>
      </w:r>
      <w:r>
        <w:rPr>
          <w:rFonts w:hint="eastAsia" w:asciiTheme="minorEastAsia" w:hAnsiTheme="minorEastAsia" w:cstheme="minorEastAsia"/>
          <w:snapToGrid w:val="0"/>
          <w:color w:val="000000"/>
          <w:kern w:val="0"/>
          <w:szCs w:val="21"/>
        </w:rPr>
        <w:t xml:space="preserve"> 其他检测项目：应符合SL 317的规定，且满足泵站设计要求和合同文件规定的技术要求。</w:t>
      </w:r>
    </w:p>
    <w:p>
      <w:pPr>
        <w:widowControl/>
        <w:kinsoku w:val="0"/>
        <w:autoSpaceDE w:val="0"/>
        <w:autoSpaceDN w:val="0"/>
        <w:adjustRightInd w:val="0"/>
        <w:snapToGrid w:val="0"/>
        <w:spacing w:line="360" w:lineRule="auto"/>
        <w:ind w:left="1058" w:leftChars="300" w:hanging="428" w:hangingChars="204"/>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6)  </w:t>
      </w:r>
      <w:r>
        <w:rPr>
          <w:rFonts w:hint="eastAsia" w:asciiTheme="minorEastAsia" w:hAnsiTheme="minorEastAsia" w:cstheme="minorEastAsia"/>
          <w:snapToGrid w:val="0"/>
          <w:color w:val="000000"/>
          <w:kern w:val="0"/>
          <w:szCs w:val="21"/>
        </w:rPr>
        <w:t>空蚀和磨蚀：蓄能泵和水泵水轮机空蚀评定应符合</w:t>
      </w:r>
      <w:bookmarkStart w:id="139" w:name="OLE_LINK24"/>
      <w:r>
        <w:rPr>
          <w:rFonts w:hint="eastAsia" w:asciiTheme="minorEastAsia" w:hAnsiTheme="minorEastAsia" w:cstheme="minorEastAsia"/>
          <w:snapToGrid w:val="0"/>
          <w:color w:val="000000"/>
          <w:kern w:val="0"/>
          <w:szCs w:val="21"/>
        </w:rPr>
        <w:t>附录</w:t>
      </w:r>
      <w:r>
        <w:rPr>
          <w:rFonts w:hint="eastAsia" w:ascii="宋体" w:hAnsi="宋体" w:eastAsia="宋体" w:cstheme="minorEastAsia"/>
          <w:snapToGrid w:val="0"/>
          <w:color w:val="000000"/>
          <w:kern w:val="0"/>
          <w:szCs w:val="21"/>
        </w:rPr>
        <w:t>H</w:t>
      </w:r>
      <w:r>
        <w:rPr>
          <w:rFonts w:hint="eastAsia" w:asciiTheme="minorEastAsia" w:hAnsiTheme="minorEastAsia" w:cstheme="minorEastAsia"/>
          <w:snapToGrid w:val="0"/>
          <w:color w:val="000000"/>
          <w:kern w:val="0"/>
          <w:szCs w:val="21"/>
        </w:rPr>
        <w:t>.1.2的要求</w:t>
      </w:r>
      <w:bookmarkEnd w:id="139"/>
      <w:r>
        <w:rPr>
          <w:rFonts w:hint="eastAsia" w:asciiTheme="minorEastAsia" w:hAnsiTheme="minorEastAsia" w:cstheme="minorEastAsia"/>
          <w:snapToGrid w:val="0"/>
          <w:color w:val="000000"/>
          <w:kern w:val="0"/>
          <w:szCs w:val="21"/>
        </w:rPr>
        <w:t>。水泵磨蚀应符合合同保证值要求。</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3 </w:t>
      </w:r>
      <w:r>
        <w:rPr>
          <w:rFonts w:hint="eastAsia" w:asciiTheme="minorEastAsia" w:hAnsiTheme="minorEastAsia" w:cstheme="minorEastAsia"/>
          <w:snapToGrid w:val="0"/>
          <w:color w:val="000000"/>
          <w:kern w:val="0"/>
          <w:szCs w:val="21"/>
        </w:rPr>
        <w:t xml:space="preserve"> 调速系统静态及动态特性：应符合GB/T 9652.2规定。</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4 </w:t>
      </w:r>
      <w:r>
        <w:rPr>
          <w:rFonts w:hint="eastAsia" w:asciiTheme="minorEastAsia" w:hAnsiTheme="minorEastAsia" w:cstheme="minorEastAsia"/>
          <w:snapToGrid w:val="0"/>
          <w:color w:val="000000"/>
          <w:kern w:val="0"/>
          <w:szCs w:val="21"/>
        </w:rPr>
        <w:t xml:space="preserve"> 进水阀静水动作试验和动水关闭试验：应符合NB/T 10078、NB/T 10970的规定。</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5 </w:t>
      </w:r>
      <w:r>
        <w:rPr>
          <w:rFonts w:hint="eastAsia" w:asciiTheme="minorEastAsia" w:hAnsiTheme="minorEastAsia" w:cstheme="minorEastAsia"/>
          <w:snapToGrid w:val="0"/>
          <w:color w:val="000000"/>
          <w:kern w:val="0"/>
          <w:szCs w:val="21"/>
        </w:rPr>
        <w:t xml:space="preserve"> 水轮发电机组综合性能检测：整机综合结果评价，水轮发电机组整机检测结果满足下列要求，且各检测单元结果评价为合格，该台(套)水轮发电机组整机综合结果评价为合格。</w:t>
      </w:r>
    </w:p>
    <w:p>
      <w:pPr>
        <w:widowControl/>
        <w:kinsoku w:val="0"/>
        <w:autoSpaceDE w:val="0"/>
        <w:autoSpaceDN w:val="0"/>
        <w:adjustRightInd w:val="0"/>
        <w:snapToGrid w:val="0"/>
        <w:spacing w:line="360" w:lineRule="auto"/>
        <w:ind w:firstLine="630" w:firstLineChars="300"/>
        <w:textAlignment w:val="baseline"/>
        <w:rPr>
          <w:rFonts w:hint="eastAsia" w:asciiTheme="minorEastAsia" w:hAnsiTheme="minorEastAsia" w:cstheme="minorEastAsia"/>
          <w:snapToGrid w:val="0"/>
          <w:color w:val="000000"/>
          <w:kern w:val="0"/>
          <w:szCs w:val="21"/>
        </w:rPr>
      </w:pPr>
      <w:r>
        <w:rPr>
          <w:rFonts w:ascii="黑体" w:hAnsi="黑体" w:eastAsia="黑体" w:cs="黑体"/>
          <w:snapToGrid w:val="0"/>
          <w:color w:val="000000"/>
          <w:kern w:val="0"/>
          <w:szCs w:val="21"/>
        </w:rPr>
        <w:t>1)</w:t>
      </w:r>
      <w:r>
        <w:rPr>
          <w:rFonts w:hint="eastAsia" w:asciiTheme="minorEastAsia" w:hAnsiTheme="minorEastAsia" w:cstheme="minorEastAsia"/>
          <w:snapToGrid w:val="0"/>
          <w:color w:val="000000"/>
          <w:kern w:val="0"/>
          <w:szCs w:val="21"/>
        </w:rPr>
        <w:t xml:space="preserve"> 机组启动试运行试验</w:t>
      </w:r>
    </w:p>
    <w:p>
      <w:pPr>
        <w:widowControl/>
        <w:numPr>
          <w:ilvl w:val="0"/>
          <w:numId w:val="29"/>
        </w:numPr>
        <w:kinsoku w:val="0"/>
        <w:autoSpaceDE w:val="0"/>
        <w:autoSpaceDN w:val="0"/>
        <w:adjustRightInd w:val="0"/>
        <w:snapToGrid w:val="0"/>
        <w:spacing w:line="360" w:lineRule="auto"/>
        <w:ind w:firstLine="840" w:firstLineChars="400"/>
        <w:textAlignment w:val="baseline"/>
        <w:rPr>
          <w:rFonts w:hint="eastAsia" w:asciiTheme="minorEastAsia" w:hAnsiTheme="minorEastAsia" w:cstheme="minorEastAsia"/>
          <w:snapToGrid w:val="0"/>
          <w:color w:val="000000"/>
          <w:kern w:val="0"/>
          <w:szCs w:val="21"/>
        </w:rPr>
      </w:pPr>
      <w:r>
        <w:rPr>
          <w:rFonts w:hint="eastAsia" w:asciiTheme="minorEastAsia" w:hAnsiTheme="minorEastAsia" w:cstheme="minorEastAsia"/>
          <w:snapToGrid w:val="0"/>
          <w:color w:val="000000"/>
          <w:kern w:val="0"/>
          <w:szCs w:val="21"/>
        </w:rPr>
        <w:t xml:space="preserve"> 混流和轴流式机组：应符合DL/T 507的规定。</w:t>
      </w:r>
    </w:p>
    <w:p>
      <w:pPr>
        <w:widowControl/>
        <w:numPr>
          <w:ilvl w:val="0"/>
          <w:numId w:val="29"/>
        </w:numPr>
        <w:kinsoku w:val="0"/>
        <w:autoSpaceDE w:val="0"/>
        <w:autoSpaceDN w:val="0"/>
        <w:adjustRightInd w:val="0"/>
        <w:snapToGrid w:val="0"/>
        <w:spacing w:line="360" w:lineRule="auto"/>
        <w:ind w:firstLine="840" w:firstLineChars="400"/>
        <w:textAlignment w:val="baseline"/>
        <w:rPr>
          <w:rFonts w:hint="eastAsia" w:asciiTheme="minorEastAsia" w:hAnsiTheme="minorEastAsia" w:cstheme="minorEastAsia"/>
          <w:snapToGrid w:val="0"/>
          <w:color w:val="000000"/>
          <w:kern w:val="0"/>
          <w:szCs w:val="21"/>
        </w:rPr>
      </w:pPr>
      <w:r>
        <w:rPr>
          <w:rFonts w:hint="eastAsia" w:asciiTheme="minorEastAsia" w:hAnsiTheme="minorEastAsia" w:cstheme="minorEastAsia"/>
          <w:snapToGrid w:val="0"/>
          <w:color w:val="000000"/>
          <w:kern w:val="0"/>
          <w:szCs w:val="21"/>
        </w:rPr>
        <w:t xml:space="preserve"> 灯泡贯流式机组：应符合DL/T 827的规定。</w:t>
      </w:r>
    </w:p>
    <w:p>
      <w:pPr>
        <w:widowControl/>
        <w:numPr>
          <w:ilvl w:val="0"/>
          <w:numId w:val="29"/>
        </w:numPr>
        <w:kinsoku w:val="0"/>
        <w:autoSpaceDE w:val="0"/>
        <w:autoSpaceDN w:val="0"/>
        <w:adjustRightInd w:val="0"/>
        <w:snapToGrid w:val="0"/>
        <w:spacing w:line="360" w:lineRule="auto"/>
        <w:ind w:firstLine="840" w:firstLineChars="400"/>
        <w:textAlignment w:val="baseline"/>
        <w:rPr>
          <w:rFonts w:hint="eastAsia" w:asciiTheme="minorEastAsia" w:hAnsiTheme="minorEastAsia" w:cstheme="minorEastAsia"/>
          <w:snapToGrid w:val="0"/>
          <w:color w:val="000000"/>
          <w:kern w:val="0"/>
          <w:szCs w:val="21"/>
        </w:rPr>
      </w:pPr>
      <w:r>
        <w:rPr>
          <w:rFonts w:hint="eastAsia" w:asciiTheme="minorEastAsia" w:hAnsiTheme="minorEastAsia" w:cstheme="minorEastAsia"/>
          <w:snapToGrid w:val="0"/>
          <w:color w:val="000000"/>
          <w:kern w:val="0"/>
          <w:szCs w:val="21"/>
        </w:rPr>
        <w:t xml:space="preserve"> 抽水蓄能机组：应符合GB/T 18482的规定。</w:t>
      </w:r>
    </w:p>
    <w:p>
      <w:pPr>
        <w:widowControl/>
        <w:kinsoku w:val="0"/>
        <w:autoSpaceDE w:val="0"/>
        <w:autoSpaceDN w:val="0"/>
        <w:adjustRightInd w:val="0"/>
        <w:snapToGrid w:val="0"/>
        <w:spacing w:line="360" w:lineRule="auto"/>
        <w:ind w:firstLine="630" w:firstLineChars="300"/>
        <w:textAlignment w:val="baseline"/>
        <w:rPr>
          <w:rFonts w:hint="eastAsia" w:asciiTheme="minorEastAsia" w:hAnsiTheme="minorEastAsia" w:cstheme="minorEastAsia"/>
          <w:snapToGrid w:val="0"/>
          <w:color w:val="000000"/>
          <w:kern w:val="0"/>
          <w:szCs w:val="21"/>
        </w:rPr>
      </w:pPr>
      <w:r>
        <w:rPr>
          <w:rFonts w:ascii="黑体" w:hAnsi="黑体" w:eastAsia="黑体" w:cs="黑体"/>
          <w:snapToGrid w:val="0"/>
          <w:color w:val="000000"/>
          <w:kern w:val="0"/>
          <w:szCs w:val="21"/>
        </w:rPr>
        <w:t>2)</w:t>
      </w:r>
      <w:r>
        <w:rPr>
          <w:rFonts w:hint="eastAsia" w:asciiTheme="minorEastAsia" w:hAnsiTheme="minorEastAsia" w:cstheme="minorEastAsia"/>
          <w:snapToGrid w:val="0"/>
          <w:color w:val="000000"/>
          <w:kern w:val="0"/>
          <w:szCs w:val="21"/>
        </w:rPr>
        <w:t xml:space="preserve"> 水轮机性能试验</w:t>
      </w:r>
    </w:p>
    <w:p>
      <w:pPr>
        <w:widowControl/>
        <w:numPr>
          <w:ilvl w:val="0"/>
          <w:numId w:val="30"/>
        </w:numPr>
        <w:kinsoku w:val="0"/>
        <w:autoSpaceDE w:val="0"/>
        <w:autoSpaceDN w:val="0"/>
        <w:adjustRightInd w:val="0"/>
        <w:snapToGrid w:val="0"/>
        <w:spacing w:line="360" w:lineRule="auto"/>
        <w:ind w:firstLine="840" w:firstLineChars="400"/>
        <w:textAlignment w:val="baseline"/>
        <w:rPr>
          <w:rFonts w:hint="eastAsia" w:asciiTheme="minorEastAsia" w:hAnsiTheme="minorEastAsia" w:cstheme="minorEastAsia"/>
          <w:snapToGrid w:val="0"/>
          <w:color w:val="000000"/>
          <w:kern w:val="0"/>
          <w:szCs w:val="21"/>
        </w:rPr>
      </w:pPr>
      <w:r>
        <w:rPr>
          <w:rFonts w:hint="eastAsia" w:asciiTheme="minorEastAsia" w:hAnsiTheme="minorEastAsia" w:cstheme="minorEastAsia"/>
          <w:snapToGrid w:val="0"/>
          <w:color w:val="000000"/>
          <w:kern w:val="0"/>
          <w:szCs w:val="21"/>
        </w:rPr>
        <w:t xml:space="preserve"> 水轮机出力和效率应符合设计要求及合同保证值。</w:t>
      </w:r>
    </w:p>
    <w:p>
      <w:pPr>
        <w:widowControl/>
        <w:kinsoku w:val="0"/>
        <w:autoSpaceDE w:val="0"/>
        <w:autoSpaceDN w:val="0"/>
        <w:adjustRightInd w:val="0"/>
        <w:snapToGrid w:val="0"/>
        <w:spacing w:line="360" w:lineRule="auto"/>
        <w:ind w:left="210" w:leftChars="100" w:firstLine="630" w:firstLineChars="3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b） </w:t>
      </w:r>
      <w:r>
        <w:rPr>
          <w:rFonts w:hint="eastAsia" w:asciiTheme="minorEastAsia" w:hAnsiTheme="minorEastAsia" w:cstheme="minorEastAsia"/>
          <w:snapToGrid w:val="0"/>
          <w:color w:val="000000"/>
          <w:kern w:val="0"/>
          <w:szCs w:val="21"/>
        </w:rPr>
        <w:t>顶盖振动、水导摆度、压力脉动、噪声、导叶漏水量应符合附录</w:t>
      </w:r>
      <w:r>
        <w:rPr>
          <w:rFonts w:hint="eastAsia" w:ascii="宋体" w:hAnsi="宋体" w:eastAsia="宋体" w:cstheme="minorEastAsia"/>
          <w:snapToGrid w:val="0"/>
          <w:color w:val="000000"/>
          <w:kern w:val="0"/>
          <w:szCs w:val="21"/>
        </w:rPr>
        <w:t>H</w:t>
      </w:r>
      <w:r>
        <w:rPr>
          <w:rFonts w:hint="eastAsia" w:asciiTheme="minorEastAsia" w:hAnsiTheme="minorEastAsia" w:cstheme="minorEastAsia"/>
          <w:snapToGrid w:val="0"/>
          <w:color w:val="000000"/>
          <w:kern w:val="0"/>
          <w:szCs w:val="21"/>
        </w:rPr>
        <w:t>.1.1的要求和GB/T 15468的规定。</w:t>
      </w:r>
    </w:p>
    <w:p>
      <w:pPr>
        <w:widowControl/>
        <w:kinsoku w:val="0"/>
        <w:autoSpaceDE w:val="0"/>
        <w:autoSpaceDN w:val="0"/>
        <w:adjustRightInd w:val="0"/>
        <w:snapToGrid w:val="0"/>
        <w:spacing w:line="360" w:lineRule="auto"/>
        <w:ind w:firstLine="840" w:firstLineChars="4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c） </w:t>
      </w:r>
      <w:r>
        <w:rPr>
          <w:rFonts w:hint="eastAsia" w:asciiTheme="minorEastAsia" w:hAnsiTheme="minorEastAsia" w:cstheme="minorEastAsia"/>
          <w:snapToGrid w:val="0"/>
          <w:color w:val="000000"/>
          <w:kern w:val="0"/>
          <w:szCs w:val="21"/>
        </w:rPr>
        <w:t>空蚀和磨蚀：应符合附录</w:t>
      </w:r>
      <w:r>
        <w:rPr>
          <w:rFonts w:hint="eastAsia" w:ascii="宋体" w:hAnsi="宋体" w:eastAsia="宋体" w:cstheme="minorEastAsia"/>
          <w:snapToGrid w:val="0"/>
          <w:color w:val="000000"/>
          <w:kern w:val="0"/>
          <w:szCs w:val="21"/>
        </w:rPr>
        <w:t>H</w:t>
      </w:r>
      <w:r>
        <w:rPr>
          <w:rFonts w:hint="eastAsia" w:asciiTheme="minorEastAsia" w:hAnsiTheme="minorEastAsia" w:cstheme="minorEastAsia"/>
          <w:snapToGrid w:val="0"/>
          <w:color w:val="000000"/>
          <w:kern w:val="0"/>
          <w:szCs w:val="21"/>
        </w:rPr>
        <w:t>.1.2的要求。</w:t>
      </w:r>
    </w:p>
    <w:p>
      <w:pPr>
        <w:widowControl/>
        <w:kinsoku w:val="0"/>
        <w:autoSpaceDE w:val="0"/>
        <w:autoSpaceDN w:val="0"/>
        <w:adjustRightInd w:val="0"/>
        <w:snapToGrid w:val="0"/>
        <w:spacing w:line="360" w:lineRule="auto"/>
        <w:ind w:firstLine="630" w:firstLineChars="3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3)  </w:t>
      </w:r>
      <w:r>
        <w:rPr>
          <w:rFonts w:hint="eastAsia" w:asciiTheme="minorEastAsia" w:hAnsiTheme="minorEastAsia" w:cstheme="minorEastAsia"/>
          <w:snapToGrid w:val="0"/>
          <w:color w:val="000000"/>
          <w:kern w:val="0"/>
          <w:szCs w:val="21"/>
        </w:rPr>
        <w:t>水轮发电机性能试验</w:t>
      </w:r>
    </w:p>
    <w:p>
      <w:pPr>
        <w:widowControl/>
        <w:kinsoku w:val="0"/>
        <w:autoSpaceDE w:val="0"/>
        <w:autoSpaceDN w:val="0"/>
        <w:adjustRightInd w:val="0"/>
        <w:snapToGrid w:val="0"/>
        <w:spacing w:line="360" w:lineRule="auto"/>
        <w:ind w:firstLine="840" w:firstLineChars="4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a)  </w:t>
      </w:r>
      <w:r>
        <w:rPr>
          <w:rFonts w:hint="eastAsia" w:asciiTheme="minorEastAsia" w:hAnsiTheme="minorEastAsia" w:cstheme="minorEastAsia"/>
          <w:snapToGrid w:val="0"/>
          <w:color w:val="000000"/>
          <w:kern w:val="0"/>
          <w:szCs w:val="21"/>
        </w:rPr>
        <w:t>水轮发电机效率及损耗应符合设计要求及合同保证值。</w:t>
      </w:r>
    </w:p>
    <w:p>
      <w:pPr>
        <w:widowControl/>
        <w:kinsoku w:val="0"/>
        <w:autoSpaceDE w:val="0"/>
        <w:autoSpaceDN w:val="0"/>
        <w:adjustRightInd w:val="0"/>
        <w:snapToGrid w:val="0"/>
        <w:spacing w:line="360" w:lineRule="auto"/>
        <w:ind w:firstLine="840" w:firstLineChars="400"/>
        <w:textAlignment w:val="baseline"/>
        <w:rPr>
          <w:rFonts w:hint="eastAsia" w:asciiTheme="minorEastAsia" w:hAnsiTheme="minorEastAsia" w:cstheme="minorEastAsia"/>
          <w:snapToGrid w:val="0"/>
          <w:color w:val="000000"/>
          <w:kern w:val="0"/>
          <w:szCs w:val="21"/>
        </w:rPr>
      </w:pPr>
      <w:r>
        <w:rPr>
          <w:rFonts w:hint="eastAsia" w:ascii="黑体" w:hAnsi="黑体" w:eastAsia="黑体" w:cstheme="minorEastAsia"/>
          <w:snapToGrid w:val="0"/>
          <w:color w:val="000000"/>
          <w:kern w:val="0"/>
          <w:szCs w:val="21"/>
        </w:rPr>
        <w:t xml:space="preserve">b） </w:t>
      </w:r>
      <w:r>
        <w:rPr>
          <w:rFonts w:hint="eastAsia" w:asciiTheme="minorEastAsia" w:hAnsiTheme="minorEastAsia" w:cstheme="minorEastAsia"/>
          <w:snapToGrid w:val="0"/>
          <w:color w:val="000000"/>
          <w:kern w:val="0"/>
          <w:szCs w:val="21"/>
        </w:rPr>
        <w:t>发电机振动和摆度应符合附录</w:t>
      </w:r>
      <w:r>
        <w:rPr>
          <w:rFonts w:hint="eastAsia" w:ascii="宋体" w:hAnsi="宋体" w:eastAsia="宋体" w:cstheme="minorEastAsia"/>
          <w:snapToGrid w:val="0"/>
          <w:color w:val="000000"/>
          <w:kern w:val="0"/>
          <w:szCs w:val="21"/>
        </w:rPr>
        <w:t>H</w:t>
      </w:r>
      <w:r>
        <w:rPr>
          <w:rFonts w:hint="eastAsia" w:asciiTheme="minorEastAsia" w:hAnsiTheme="minorEastAsia" w:cstheme="minorEastAsia"/>
          <w:snapToGrid w:val="0"/>
          <w:color w:val="000000"/>
          <w:kern w:val="0"/>
          <w:szCs w:val="21"/>
        </w:rPr>
        <w:t>.1.1的要求。</w:t>
      </w:r>
    </w:p>
    <w:p>
      <w:pPr>
        <w:widowControl/>
        <w:kinsoku w:val="0"/>
        <w:autoSpaceDE w:val="0"/>
        <w:autoSpaceDN w:val="0"/>
        <w:adjustRightInd w:val="0"/>
        <w:snapToGrid w:val="0"/>
        <w:spacing w:line="360" w:lineRule="auto"/>
        <w:ind w:firstLine="840" w:firstLineChars="400"/>
        <w:textAlignment w:val="baseline"/>
        <w:rPr>
          <w:rFonts w:hint="eastAsia" w:asciiTheme="minorEastAsia" w:hAnsiTheme="minorEastAsia" w:cstheme="minorEastAsia"/>
          <w:snapToGrid w:val="0"/>
          <w:color w:val="000000"/>
          <w:kern w:val="0"/>
          <w:szCs w:val="21"/>
        </w:rPr>
      </w:pPr>
      <w:r>
        <w:rPr>
          <w:rFonts w:hint="eastAsia" w:ascii="黑体" w:hAnsi="黑体" w:eastAsia="黑体" w:cstheme="minorEastAsia"/>
          <w:snapToGrid w:val="0"/>
          <w:color w:val="000000"/>
          <w:kern w:val="0"/>
          <w:szCs w:val="21"/>
        </w:rPr>
        <w:t>c）</w:t>
      </w:r>
      <w:r>
        <w:rPr>
          <w:rFonts w:hint="eastAsia" w:asciiTheme="minorEastAsia" w:hAnsiTheme="minorEastAsia" w:cstheme="minorEastAsia"/>
          <w:snapToGrid w:val="0"/>
          <w:color w:val="000000"/>
          <w:kern w:val="0"/>
          <w:szCs w:val="21"/>
        </w:rPr>
        <w:t xml:space="preserve"> 绕组温升应符合附录</w:t>
      </w:r>
      <w:r>
        <w:rPr>
          <w:rFonts w:hint="eastAsia" w:ascii="宋体" w:hAnsi="宋体" w:eastAsia="宋体" w:cstheme="minorEastAsia"/>
          <w:snapToGrid w:val="0"/>
          <w:color w:val="000000"/>
          <w:kern w:val="0"/>
          <w:szCs w:val="21"/>
        </w:rPr>
        <w:t>H</w:t>
      </w:r>
      <w:r>
        <w:rPr>
          <w:rFonts w:hint="eastAsia" w:asciiTheme="minorEastAsia" w:hAnsiTheme="minorEastAsia" w:cstheme="minorEastAsia"/>
          <w:snapToGrid w:val="0"/>
          <w:color w:val="000000"/>
          <w:kern w:val="0"/>
          <w:szCs w:val="21"/>
        </w:rPr>
        <w:t>.1.3的要求。</w:t>
      </w:r>
    </w:p>
    <w:p>
      <w:pPr>
        <w:widowControl/>
        <w:kinsoku w:val="0"/>
        <w:autoSpaceDE w:val="0"/>
        <w:autoSpaceDN w:val="0"/>
        <w:adjustRightInd w:val="0"/>
        <w:snapToGrid w:val="0"/>
        <w:spacing w:line="360" w:lineRule="auto"/>
        <w:ind w:firstLine="840" w:firstLineChars="400"/>
        <w:textAlignment w:val="baseline"/>
        <w:rPr>
          <w:rFonts w:hint="eastAsia" w:asciiTheme="minorEastAsia" w:hAnsiTheme="minorEastAsia" w:cstheme="minorEastAsia"/>
          <w:snapToGrid w:val="0"/>
          <w:color w:val="000000"/>
          <w:kern w:val="0"/>
          <w:szCs w:val="21"/>
        </w:rPr>
      </w:pPr>
      <w:r>
        <w:rPr>
          <w:rFonts w:hint="eastAsia" w:ascii="黑体" w:hAnsi="黑体" w:eastAsia="黑体" w:cstheme="minorEastAsia"/>
          <w:snapToGrid w:val="0"/>
          <w:color w:val="000000"/>
          <w:kern w:val="0"/>
          <w:szCs w:val="21"/>
        </w:rPr>
        <w:t xml:space="preserve">d） </w:t>
      </w:r>
      <w:r>
        <w:rPr>
          <w:rFonts w:hint="eastAsia" w:asciiTheme="minorEastAsia" w:hAnsiTheme="minorEastAsia" w:cstheme="minorEastAsia"/>
          <w:snapToGrid w:val="0"/>
          <w:color w:val="000000"/>
          <w:kern w:val="0"/>
          <w:szCs w:val="21"/>
        </w:rPr>
        <w:t>电抗和时间常数应符合设计要求。</w:t>
      </w:r>
    </w:p>
    <w:p>
      <w:pPr>
        <w:widowControl/>
        <w:kinsoku w:val="0"/>
        <w:autoSpaceDE w:val="0"/>
        <w:autoSpaceDN w:val="0"/>
        <w:adjustRightInd w:val="0"/>
        <w:snapToGrid w:val="0"/>
        <w:spacing w:line="360" w:lineRule="auto"/>
        <w:ind w:firstLine="840" w:firstLineChars="400"/>
        <w:textAlignment w:val="baseline"/>
        <w:rPr>
          <w:rFonts w:hint="eastAsia" w:asciiTheme="minorEastAsia" w:hAnsiTheme="minorEastAsia" w:cstheme="minorEastAsia"/>
          <w:snapToGrid w:val="0"/>
          <w:color w:val="000000"/>
          <w:kern w:val="0"/>
          <w:szCs w:val="21"/>
        </w:rPr>
      </w:pPr>
      <w:r>
        <w:rPr>
          <w:rFonts w:hint="eastAsia" w:ascii="黑体" w:hAnsi="黑体" w:eastAsia="黑体" w:cstheme="minorEastAsia"/>
          <w:snapToGrid w:val="0"/>
          <w:color w:val="000000"/>
          <w:kern w:val="0"/>
          <w:szCs w:val="21"/>
        </w:rPr>
        <w:t xml:space="preserve">e） </w:t>
      </w:r>
      <w:r>
        <w:rPr>
          <w:rFonts w:hint="eastAsia" w:asciiTheme="minorEastAsia" w:hAnsiTheme="minorEastAsia" w:cstheme="minorEastAsia"/>
          <w:snapToGrid w:val="0"/>
          <w:color w:val="000000"/>
          <w:kern w:val="0"/>
          <w:szCs w:val="21"/>
        </w:rPr>
        <w:t>电压波形全谐波畸变因数应符合以下规定：</w:t>
      </w:r>
    </w:p>
    <w:p>
      <w:pPr>
        <w:widowControl/>
        <w:kinsoku w:val="0"/>
        <w:autoSpaceDE w:val="0"/>
        <w:autoSpaceDN w:val="0"/>
        <w:adjustRightInd w:val="0"/>
        <w:snapToGrid w:val="0"/>
        <w:spacing w:line="360" w:lineRule="auto"/>
        <w:ind w:left="1260" w:leftChars="600"/>
        <w:textAlignment w:val="baseline"/>
        <w:rPr>
          <w:rFonts w:hint="eastAsia" w:asciiTheme="minorEastAsia" w:hAnsiTheme="minorEastAsia" w:cstheme="minorEastAsia"/>
          <w:snapToGrid w:val="0"/>
          <w:color w:val="000000"/>
          <w:kern w:val="0"/>
          <w:szCs w:val="21"/>
        </w:rPr>
      </w:pPr>
      <w:r>
        <w:rPr>
          <w:rFonts w:hint="eastAsia" w:asciiTheme="minorEastAsia" w:hAnsiTheme="minorEastAsia" w:cstheme="minorEastAsia"/>
          <w:snapToGrid w:val="0"/>
          <w:color w:val="000000"/>
          <w:kern w:val="0"/>
          <w:szCs w:val="21"/>
        </w:rPr>
        <w:t>水轮发电机定子绕组接成正常工作接法时,在空载及额定电压下,线电压波形正弦性畸变率不应超过5%。</w:t>
      </w:r>
    </w:p>
    <w:p>
      <w:pPr>
        <w:widowControl/>
        <w:kinsoku w:val="0"/>
        <w:autoSpaceDE w:val="0"/>
        <w:autoSpaceDN w:val="0"/>
        <w:adjustRightInd w:val="0"/>
        <w:snapToGrid w:val="0"/>
        <w:spacing w:line="360" w:lineRule="auto"/>
        <w:ind w:left="1260" w:leftChars="600"/>
        <w:textAlignment w:val="baseline"/>
        <w:rPr>
          <w:rFonts w:hint="eastAsia" w:asciiTheme="minorEastAsia" w:hAnsiTheme="minorEastAsia" w:cstheme="minorEastAsia"/>
          <w:snapToGrid w:val="0"/>
          <w:color w:val="000000"/>
          <w:kern w:val="0"/>
          <w:szCs w:val="21"/>
        </w:rPr>
      </w:pPr>
      <w:r>
        <w:rPr>
          <w:rFonts w:hint="eastAsia" w:asciiTheme="minorEastAsia" w:hAnsiTheme="minorEastAsia" w:cstheme="minorEastAsia"/>
          <w:snapToGrid w:val="0"/>
          <w:color w:val="000000"/>
          <w:kern w:val="0"/>
          <w:szCs w:val="21"/>
        </w:rPr>
        <w:t>水轮发电机在空载额定电压和额定转速时，线电压的电压谐波因数(THF)不应超过1.5%。</w:t>
      </w:r>
    </w:p>
    <w:p>
      <w:pPr>
        <w:widowControl/>
        <w:numPr>
          <w:ilvl w:val="0"/>
          <w:numId w:val="28"/>
        </w:numPr>
        <w:kinsoku w:val="0"/>
        <w:autoSpaceDE w:val="0"/>
        <w:autoSpaceDN w:val="0"/>
        <w:adjustRightInd w:val="0"/>
        <w:snapToGrid w:val="0"/>
        <w:spacing w:line="360" w:lineRule="auto"/>
        <w:ind w:left="1476" w:leftChars="500" w:hanging="426" w:hangingChars="203"/>
        <w:textAlignment w:val="baseline"/>
        <w:rPr>
          <w:rFonts w:hint="eastAsia" w:asciiTheme="minorEastAsia" w:hAnsiTheme="minorEastAsia" w:cstheme="minorEastAsia"/>
          <w:snapToGrid w:val="0"/>
          <w:color w:val="000000"/>
          <w:kern w:val="0"/>
          <w:szCs w:val="21"/>
        </w:rPr>
      </w:pPr>
      <w:r>
        <w:rPr>
          <w:rFonts w:hint="eastAsia" w:asciiTheme="minorEastAsia" w:hAnsiTheme="minorEastAsia" w:cstheme="minorEastAsia"/>
          <w:snapToGrid w:val="0"/>
          <w:color w:val="000000"/>
          <w:kern w:val="0"/>
          <w:szCs w:val="21"/>
        </w:rPr>
        <w:t>飞轮力矩（GD</w:t>
      </w:r>
      <w:r>
        <w:rPr>
          <w:rFonts w:hint="eastAsia" w:asciiTheme="minorEastAsia" w:hAnsiTheme="minorEastAsia" w:cstheme="minorEastAsia"/>
          <w:snapToGrid w:val="0"/>
          <w:color w:val="000000"/>
          <w:kern w:val="0"/>
          <w:szCs w:val="21"/>
          <w:vertAlign w:val="superscript"/>
        </w:rPr>
        <w:t>2</w:t>
      </w:r>
      <w:r>
        <w:rPr>
          <w:rFonts w:hint="eastAsia" w:asciiTheme="minorEastAsia" w:hAnsiTheme="minorEastAsia" w:cstheme="minorEastAsia"/>
          <w:snapToGrid w:val="0"/>
          <w:color w:val="000000"/>
          <w:kern w:val="0"/>
          <w:szCs w:val="21"/>
        </w:rPr>
        <w:t>）应符合设计要求。</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6</w:t>
      </w:r>
      <w:r>
        <w:rPr>
          <w:rFonts w:hint="eastAsia" w:asciiTheme="minorEastAsia" w:hAnsiTheme="minorEastAsia" w:cstheme="minorEastAsia"/>
          <w:snapToGrid w:val="0"/>
          <w:color w:val="000000"/>
          <w:kern w:val="0"/>
          <w:szCs w:val="21"/>
        </w:rPr>
        <w:t xml:space="preserve">  水泵机组综合性能检测：整机综合结果评价，水泵机组综合性能检测项目的检测结果符合设计和技术标准要求，且各检测单元结果评价为合格，该台(套)水泵机组综合结果评价为合格。</w:t>
      </w:r>
    </w:p>
    <w:p>
      <w:pPr>
        <w:pStyle w:val="3"/>
        <w:snapToGrid w:val="0"/>
        <w:spacing w:beforeLines="50" w:afterLines="50"/>
        <w:jc w:val="center"/>
        <w:rPr>
          <w:rFonts w:ascii="黑体" w:hAnsi="黑体" w:cs="黑体"/>
          <w:sz w:val="24"/>
          <w:szCs w:val="24"/>
        </w:rPr>
      </w:pPr>
      <w:bookmarkStart w:id="140" w:name="_Toc9668"/>
      <w:r>
        <w:rPr>
          <w:rFonts w:ascii="黑体" w:hAnsi="黑体" w:cs="黑体"/>
          <w:sz w:val="24"/>
          <w:szCs w:val="24"/>
        </w:rPr>
        <w:t>8.3  电机及附属设备</w:t>
      </w:r>
      <w:bookmarkEnd w:id="140"/>
    </w:p>
    <w:p>
      <w:pPr>
        <w:widowControl/>
        <w:kinsoku w:val="0"/>
        <w:autoSpaceDE w:val="0"/>
        <w:autoSpaceDN w:val="0"/>
        <w:adjustRightInd w:val="0"/>
        <w:snapToGrid w:val="0"/>
        <w:spacing w:line="360" w:lineRule="auto"/>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8.3.1</w:t>
      </w:r>
      <w:r>
        <w:rPr>
          <w:rFonts w:hint="eastAsia" w:asciiTheme="minorEastAsia" w:hAnsiTheme="minorEastAsia" w:cstheme="minorEastAsia"/>
          <w:snapToGrid w:val="0"/>
          <w:color w:val="000000"/>
          <w:kern w:val="0"/>
          <w:szCs w:val="21"/>
        </w:rPr>
        <w:t xml:space="preserve">   检测项目宜包括下列内容：</w:t>
      </w:r>
    </w:p>
    <w:p>
      <w:pPr>
        <w:widowControl/>
        <w:kinsoku w:val="0"/>
        <w:autoSpaceDE w:val="0"/>
        <w:autoSpaceDN w:val="0"/>
        <w:adjustRightInd w:val="0"/>
        <w:snapToGrid w:val="0"/>
        <w:spacing w:line="360" w:lineRule="auto"/>
        <w:ind w:left="13" w:firstLine="413"/>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1</w:t>
      </w:r>
      <w:r>
        <w:rPr>
          <w:rFonts w:hint="eastAsia" w:asciiTheme="minorEastAsia" w:hAnsiTheme="minorEastAsia" w:cstheme="minorEastAsia"/>
          <w:snapToGrid w:val="0"/>
          <w:color w:val="000000"/>
          <w:kern w:val="0"/>
          <w:szCs w:val="21"/>
        </w:rPr>
        <w:t xml:space="preserve">   发电机/发电电动机安装质量检测项目宜包括：平面度、水平度、波浪度、中心偏差、高程、转子圆度、定子圆度、空气间隙。必要时，可增加材料力学性能、焊缝质量、残余应力。</w:t>
      </w:r>
    </w:p>
    <w:p>
      <w:pPr>
        <w:widowControl/>
        <w:kinsoku w:val="0"/>
        <w:autoSpaceDE w:val="0"/>
        <w:autoSpaceDN w:val="0"/>
        <w:adjustRightInd w:val="0"/>
        <w:snapToGrid w:val="0"/>
        <w:spacing w:line="360" w:lineRule="auto"/>
        <w:ind w:left="13" w:firstLine="413"/>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2 </w:t>
      </w:r>
      <w:r>
        <w:rPr>
          <w:rFonts w:hint="eastAsia" w:asciiTheme="minorEastAsia" w:hAnsiTheme="minorEastAsia" w:cstheme="minorEastAsia"/>
          <w:snapToGrid w:val="0"/>
          <w:color w:val="000000"/>
          <w:kern w:val="0"/>
          <w:szCs w:val="21"/>
        </w:rPr>
        <w:t xml:space="preserve">  发电机/发电电动机机械性能检测项目宜包括：振动和摆度、轴承温度、噪声。</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szCs w:val="21"/>
        </w:rPr>
      </w:pPr>
      <w:bookmarkStart w:id="141" w:name="bookmark42"/>
      <w:bookmarkEnd w:id="141"/>
      <w:r>
        <w:rPr>
          <w:rFonts w:hint="eastAsia" w:ascii="黑体" w:hAnsi="黑体" w:eastAsia="黑体" w:cs="黑体"/>
          <w:snapToGrid w:val="0"/>
          <w:color w:val="000000"/>
          <w:kern w:val="0"/>
          <w:szCs w:val="21"/>
        </w:rPr>
        <w:t xml:space="preserve">3 </w:t>
      </w:r>
      <w:r>
        <w:rPr>
          <w:rFonts w:hint="eastAsia" w:asciiTheme="minorEastAsia" w:hAnsiTheme="minorEastAsia" w:cstheme="minorEastAsia"/>
          <w:snapToGrid w:val="0"/>
          <w:color w:val="000000"/>
          <w:kern w:val="0"/>
          <w:szCs w:val="21"/>
        </w:rPr>
        <w:t xml:space="preserve">  发电机/发电电动机电气性能检测项目宜包括：绝缘电阻、直流电阻、交流耐压、定子绕组直流耐压、定子绕组泄漏电流、定子绕组吸收比或极化指数、定子铁心磁化、相序、轴电压、短时过电流、短时升高电压、空载特性、三相稳态短路特性、绕组电抗和时间常数、温升。必要时，可以增加电压波形畸变率、 电话谐波因数、三相突然短路、效率和损耗。</w:t>
      </w:r>
    </w:p>
    <w:p>
      <w:pPr>
        <w:widowControl/>
        <w:kinsoku w:val="0"/>
        <w:autoSpaceDE w:val="0"/>
        <w:autoSpaceDN w:val="0"/>
        <w:adjustRightInd w:val="0"/>
        <w:snapToGrid w:val="0"/>
        <w:spacing w:line="360" w:lineRule="auto"/>
        <w:ind w:left="2" w:right="58" w:firstLine="416"/>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4 </w:t>
      </w:r>
      <w:r>
        <w:rPr>
          <w:rFonts w:hint="eastAsia" w:asciiTheme="minorEastAsia" w:hAnsiTheme="minorEastAsia" w:cstheme="minorEastAsia"/>
          <w:snapToGrid w:val="0"/>
          <w:color w:val="000000"/>
          <w:kern w:val="0"/>
          <w:szCs w:val="21"/>
        </w:rPr>
        <w:t xml:space="preserve">  主电动机的机械部分：</w:t>
      </w:r>
      <w:bookmarkStart w:id="142" w:name="_Hlk163329327"/>
      <w:r>
        <w:rPr>
          <w:rFonts w:hint="eastAsia" w:asciiTheme="minorEastAsia" w:hAnsiTheme="minorEastAsia" w:cstheme="minorEastAsia"/>
          <w:snapToGrid w:val="0"/>
          <w:color w:val="000000"/>
          <w:kern w:val="0"/>
          <w:szCs w:val="21"/>
        </w:rPr>
        <w:t>空气间隙、转子磁极圆度、水平度、垂直度、中心偏差、高程、轴线调整</w:t>
      </w:r>
      <w:bookmarkEnd w:id="142"/>
      <w:r>
        <w:rPr>
          <w:rFonts w:hint="eastAsia" w:asciiTheme="minorEastAsia" w:hAnsiTheme="minorEastAsia" w:cstheme="minorEastAsia"/>
          <w:snapToGrid w:val="0"/>
          <w:color w:val="000000"/>
          <w:kern w:val="0"/>
          <w:szCs w:val="21"/>
        </w:rPr>
        <w:t>、振动和摆度。</w:t>
      </w:r>
    </w:p>
    <w:p>
      <w:pPr>
        <w:widowControl/>
        <w:kinsoku w:val="0"/>
        <w:autoSpaceDE w:val="0"/>
        <w:autoSpaceDN w:val="0"/>
        <w:adjustRightInd w:val="0"/>
        <w:snapToGrid w:val="0"/>
        <w:spacing w:line="360" w:lineRule="auto"/>
        <w:ind w:left="2" w:right="58" w:firstLine="416"/>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5 </w:t>
      </w:r>
      <w:r>
        <w:rPr>
          <w:rFonts w:hint="eastAsia" w:asciiTheme="minorEastAsia" w:hAnsiTheme="minorEastAsia" w:cstheme="minorEastAsia"/>
          <w:snapToGrid w:val="0"/>
          <w:color w:val="000000"/>
          <w:kern w:val="0"/>
          <w:position w:val="-2"/>
          <w:szCs w:val="21"/>
        </w:rPr>
        <w:t xml:space="preserve">  </w:t>
      </w:r>
      <w:r>
        <w:rPr>
          <w:rFonts w:hint="eastAsia" w:asciiTheme="minorEastAsia" w:hAnsiTheme="minorEastAsia" w:cstheme="minorEastAsia"/>
          <w:snapToGrid w:val="0"/>
          <w:color w:val="000000"/>
          <w:kern w:val="0"/>
          <w:szCs w:val="21"/>
        </w:rPr>
        <w:t>主电动机的电气部分：绝缘电阻及吸收比、直流电阻、直流耐压 、交流耐压、泄漏电流。</w:t>
      </w:r>
    </w:p>
    <w:p>
      <w:pPr>
        <w:widowControl/>
        <w:kinsoku w:val="0"/>
        <w:autoSpaceDE w:val="0"/>
        <w:autoSpaceDN w:val="0"/>
        <w:adjustRightInd w:val="0"/>
        <w:snapToGrid w:val="0"/>
        <w:spacing w:line="360" w:lineRule="auto"/>
        <w:ind w:left="427"/>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6 </w:t>
      </w:r>
      <w:r>
        <w:rPr>
          <w:rFonts w:hint="eastAsia" w:asciiTheme="minorEastAsia" w:hAnsiTheme="minorEastAsia" w:cstheme="minorEastAsia"/>
          <w:snapToGrid w:val="0"/>
          <w:color w:val="000000"/>
          <w:kern w:val="0"/>
          <w:szCs w:val="21"/>
        </w:rPr>
        <w:t xml:space="preserve">  励磁系统</w:t>
      </w:r>
    </w:p>
    <w:p>
      <w:pPr>
        <w:widowControl/>
        <w:kinsoku w:val="0"/>
        <w:autoSpaceDE w:val="0"/>
        <w:autoSpaceDN w:val="0"/>
        <w:adjustRightInd w:val="0"/>
        <w:snapToGrid w:val="0"/>
        <w:spacing w:line="360" w:lineRule="auto"/>
        <w:ind w:left="846" w:leftChars="403"/>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1） </w:t>
      </w:r>
      <w:r>
        <w:rPr>
          <w:rFonts w:hint="eastAsia" w:asciiTheme="minorEastAsia" w:hAnsiTheme="minorEastAsia" w:cstheme="minorEastAsia"/>
          <w:snapToGrid w:val="0"/>
          <w:color w:val="000000"/>
          <w:kern w:val="0"/>
          <w:szCs w:val="21"/>
        </w:rPr>
        <w:t>励磁变压器：绝缘和耐压试验、三相不对称试验。</w:t>
      </w:r>
    </w:p>
    <w:p>
      <w:pPr>
        <w:widowControl/>
        <w:kinsoku w:val="0"/>
        <w:autoSpaceDE w:val="0"/>
        <w:autoSpaceDN w:val="0"/>
        <w:adjustRightInd w:val="0"/>
        <w:snapToGrid w:val="0"/>
        <w:spacing w:line="360" w:lineRule="auto"/>
        <w:ind w:left="1259" w:leftChars="400" w:hanging="419"/>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2） </w:t>
      </w:r>
      <w:r>
        <w:rPr>
          <w:rFonts w:hint="eastAsia" w:asciiTheme="minorEastAsia" w:hAnsiTheme="minorEastAsia" w:cstheme="minorEastAsia"/>
          <w:snapToGrid w:val="0"/>
          <w:color w:val="000000"/>
          <w:kern w:val="0"/>
          <w:szCs w:val="21"/>
        </w:rPr>
        <w:t>磁场断路器及灭磁开关：绝缘和耐压试验、导电性能试验、操作性能试验、同步性能测试、分断电流试验。</w:t>
      </w:r>
    </w:p>
    <w:p>
      <w:pPr>
        <w:widowControl/>
        <w:kinsoku w:val="0"/>
        <w:autoSpaceDE w:val="0"/>
        <w:autoSpaceDN w:val="0"/>
        <w:adjustRightInd w:val="0"/>
        <w:snapToGrid w:val="0"/>
        <w:spacing w:line="360" w:lineRule="auto"/>
        <w:ind w:left="1243" w:leftChars="408" w:hanging="386" w:hangingChars="184"/>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3） </w:t>
      </w:r>
      <w:r>
        <w:rPr>
          <w:rFonts w:hint="eastAsia" w:asciiTheme="minorEastAsia" w:hAnsiTheme="minorEastAsia" w:cstheme="minorEastAsia"/>
          <w:snapToGrid w:val="0"/>
          <w:color w:val="000000"/>
          <w:kern w:val="0"/>
          <w:szCs w:val="21"/>
        </w:rPr>
        <w:t>非线性电阻及过电压保护器部件：绝缘和耐压试验、灭磁电阻试验、跨接器试验。</w:t>
      </w:r>
    </w:p>
    <w:p>
      <w:pPr>
        <w:widowControl/>
        <w:kinsoku w:val="0"/>
        <w:autoSpaceDE w:val="0"/>
        <w:autoSpaceDN w:val="0"/>
        <w:adjustRightInd w:val="0"/>
        <w:snapToGrid w:val="0"/>
        <w:spacing w:line="360" w:lineRule="auto"/>
        <w:ind w:left="838" w:leftChars="399" w:right="554" w:rightChars="264"/>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4） </w:t>
      </w:r>
      <w:r>
        <w:rPr>
          <w:rFonts w:hint="eastAsia" w:asciiTheme="minorEastAsia" w:hAnsiTheme="minorEastAsia" w:cstheme="minorEastAsia"/>
          <w:snapToGrid w:val="0"/>
          <w:color w:val="000000"/>
          <w:kern w:val="0"/>
          <w:szCs w:val="21"/>
        </w:rPr>
        <w:t>功率整流器和励磁调节器：绝缘和耐压试验。</w:t>
      </w:r>
    </w:p>
    <w:p>
      <w:pPr>
        <w:widowControl/>
        <w:kinsoku w:val="0"/>
        <w:autoSpaceDE w:val="0"/>
        <w:autoSpaceDN w:val="0"/>
        <w:adjustRightInd w:val="0"/>
        <w:snapToGrid w:val="0"/>
        <w:spacing w:line="360" w:lineRule="auto"/>
        <w:ind w:left="1244" w:leftChars="399" w:hanging="406"/>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5） </w:t>
      </w:r>
      <w:r>
        <w:rPr>
          <w:rFonts w:hint="eastAsia" w:asciiTheme="minorEastAsia" w:hAnsiTheme="minorEastAsia" w:cstheme="minorEastAsia"/>
          <w:snapToGrid w:val="0"/>
          <w:color w:val="000000"/>
          <w:kern w:val="0"/>
          <w:szCs w:val="21"/>
        </w:rPr>
        <w:t>励磁系统试验：开环小电流试验、零起升压、自动升压、软起励试验、升降压及逆变灭磁特性试验、调节通道的切换试验、10%阶跃响应试验、电压给定值整定范围测试、励磁调节器的发电机电压-频率特性测试、电压/频率限制试验、电压互感器(VT)断线模拟试验、发电机无功负荷调整试验及甩负荷试验、发电机在空载和负载工况下的灭磁试验、限制及保护试验。</w:t>
      </w:r>
    </w:p>
    <w:p>
      <w:pPr>
        <w:widowControl/>
        <w:kinsoku w:val="0"/>
        <w:autoSpaceDE w:val="0"/>
        <w:autoSpaceDN w:val="0"/>
        <w:adjustRightInd w:val="0"/>
        <w:snapToGrid w:val="0"/>
        <w:spacing w:line="360" w:lineRule="auto"/>
        <w:jc w:val="left"/>
        <w:textAlignment w:val="baseline"/>
        <w:rPr>
          <w:rFonts w:hint="eastAsia" w:asciiTheme="minorEastAsia" w:hAnsiTheme="minorEastAsia" w:cstheme="minorEastAsia"/>
          <w:snapToGrid w:val="0"/>
          <w:color w:val="000000"/>
          <w:kern w:val="0"/>
          <w:szCs w:val="21"/>
          <w:highlight w:val="green"/>
        </w:rPr>
      </w:pPr>
      <w:r>
        <w:rPr>
          <w:rFonts w:hint="eastAsia" w:ascii="黑体" w:hAnsi="黑体" w:eastAsia="黑体" w:cs="黑体"/>
          <w:snapToGrid w:val="0"/>
          <w:color w:val="000000"/>
          <w:kern w:val="0"/>
          <w:szCs w:val="21"/>
        </w:rPr>
        <w:t xml:space="preserve">8.3.2 </w:t>
      </w:r>
      <w:r>
        <w:rPr>
          <w:rFonts w:hint="eastAsia" w:asciiTheme="minorEastAsia" w:hAnsiTheme="minorEastAsia" w:cstheme="minorEastAsia"/>
          <w:snapToGrid w:val="0"/>
          <w:color w:val="000000"/>
          <w:kern w:val="0"/>
          <w:szCs w:val="21"/>
        </w:rPr>
        <w:t xml:space="preserve">  检测单元划分：每台发电机/发电电动机、主电动机、励磁系统为1个检测单元。</w:t>
      </w:r>
    </w:p>
    <w:p>
      <w:pPr>
        <w:widowControl/>
        <w:kinsoku w:val="0"/>
        <w:autoSpaceDE w:val="0"/>
        <w:autoSpaceDN w:val="0"/>
        <w:adjustRightInd w:val="0"/>
        <w:snapToGrid w:val="0"/>
        <w:spacing w:line="360" w:lineRule="auto"/>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8.3.3 </w:t>
      </w:r>
      <w:r>
        <w:rPr>
          <w:rFonts w:hint="eastAsia" w:asciiTheme="minorEastAsia" w:hAnsiTheme="minorEastAsia" w:cstheme="minorEastAsia"/>
          <w:snapToGrid w:val="0"/>
          <w:color w:val="000000"/>
          <w:kern w:val="0"/>
          <w:szCs w:val="21"/>
        </w:rPr>
        <w:t xml:space="preserve">  检测数量布置：检测单元内的检测项目均应进行检测。对于性能检测项目应至少选择1台发电机/发电电动机、主电动机、励磁系统进行检测。</w:t>
      </w:r>
    </w:p>
    <w:p>
      <w:pPr>
        <w:spacing w:line="360" w:lineRule="auto"/>
        <w:rPr>
          <w:rFonts w:hint="eastAsia" w:ascii="宋体" w:hAnsi="宋体" w:eastAsia="宋体" w:cstheme="minorEastAsia"/>
          <w:color w:val="ED0000"/>
        </w:rPr>
      </w:pPr>
      <w:r>
        <w:rPr>
          <w:rFonts w:hint="eastAsia" w:ascii="黑体" w:hAnsi="黑体" w:eastAsia="黑体" w:cs="黑体"/>
          <w:snapToGrid w:val="0"/>
          <w:color w:val="000000"/>
          <w:kern w:val="0"/>
          <w:szCs w:val="21"/>
        </w:rPr>
        <w:t>8.3.4</w:t>
      </w:r>
      <w:r>
        <w:rPr>
          <w:rFonts w:hint="eastAsia" w:asciiTheme="minorEastAsia" w:hAnsiTheme="minorEastAsia" w:cstheme="minorEastAsia"/>
          <w:snapToGrid w:val="0"/>
          <w:color w:val="000000"/>
          <w:kern w:val="0"/>
          <w:szCs w:val="21"/>
        </w:rPr>
        <w:t xml:space="preserve">  检测方法应符合下列要求：</w:t>
      </w:r>
      <w:r>
        <w:rPr>
          <w:rFonts w:hint="eastAsia" w:ascii="宋体" w:hAnsi="宋体" w:eastAsia="宋体" w:cstheme="minorEastAsia"/>
          <w:color w:val="ED0000"/>
        </w:rPr>
        <w:t xml:space="preserve"> </w:t>
      </w:r>
    </w:p>
    <w:p>
      <w:pPr>
        <w:widowControl/>
        <w:kinsoku w:val="0"/>
        <w:autoSpaceDE w:val="0"/>
        <w:autoSpaceDN w:val="0"/>
        <w:adjustRightInd w:val="0"/>
        <w:snapToGrid w:val="0"/>
        <w:spacing w:line="360" w:lineRule="auto"/>
        <w:ind w:left="4" w:firstLine="414"/>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1</w:t>
      </w:r>
      <w:r>
        <w:rPr>
          <w:rFonts w:hint="eastAsia" w:asciiTheme="minorEastAsia" w:hAnsiTheme="minorEastAsia" w:cstheme="minorEastAsia"/>
          <w:snapToGrid w:val="0"/>
          <w:color w:val="000000"/>
          <w:kern w:val="0"/>
          <w:szCs w:val="21"/>
        </w:rPr>
        <w:t xml:space="preserve">  发电机/发电电动机</w:t>
      </w:r>
    </w:p>
    <w:p>
      <w:pPr>
        <w:widowControl/>
        <w:kinsoku w:val="0"/>
        <w:autoSpaceDE w:val="0"/>
        <w:autoSpaceDN w:val="0"/>
        <w:adjustRightInd w:val="0"/>
        <w:snapToGrid w:val="0"/>
        <w:spacing w:line="360" w:lineRule="auto"/>
        <w:ind w:left="424" w:leftChars="202" w:firstLine="414"/>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1)</w:t>
      </w:r>
      <w:r>
        <w:rPr>
          <w:rFonts w:hint="eastAsia" w:asciiTheme="minorEastAsia" w:hAnsiTheme="minorEastAsia" w:cstheme="minorEastAsia"/>
          <w:snapToGrid w:val="0"/>
          <w:color w:val="000000"/>
          <w:kern w:val="0"/>
          <w:szCs w:val="21"/>
        </w:rPr>
        <w:t xml:space="preserve">  发电机/发电电动机安装质量检测应按SL 636、GB/T 8564的规定。</w:t>
      </w:r>
    </w:p>
    <w:p>
      <w:pPr>
        <w:widowControl/>
        <w:kinsoku w:val="0"/>
        <w:autoSpaceDE w:val="0"/>
        <w:autoSpaceDN w:val="0"/>
        <w:adjustRightInd w:val="0"/>
        <w:snapToGrid w:val="0"/>
        <w:spacing w:line="360" w:lineRule="auto"/>
        <w:ind w:left="846" w:leftChars="403"/>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2)</w:t>
      </w:r>
      <w:r>
        <w:rPr>
          <w:rFonts w:hint="eastAsia" w:asciiTheme="minorEastAsia" w:hAnsiTheme="minorEastAsia" w:cstheme="minorEastAsia"/>
          <w:snapToGrid w:val="0"/>
          <w:color w:val="000000"/>
          <w:kern w:val="0"/>
          <w:szCs w:val="21"/>
        </w:rPr>
        <w:t xml:space="preserve">  发电机/发电电动机振动和摆度：分别采用振动传感器和电涡流传感器检测。</w:t>
      </w:r>
    </w:p>
    <w:p>
      <w:pPr>
        <w:widowControl/>
        <w:kinsoku w:val="0"/>
        <w:autoSpaceDE w:val="0"/>
        <w:autoSpaceDN w:val="0"/>
        <w:adjustRightInd w:val="0"/>
        <w:snapToGrid w:val="0"/>
        <w:spacing w:line="360" w:lineRule="auto"/>
        <w:ind w:left="836" w:leftChars="398" w:right="632" w:rightChars="301" w:firstLine="2"/>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3)</w:t>
      </w:r>
      <w:r>
        <w:rPr>
          <w:rFonts w:hint="eastAsia" w:asciiTheme="minorEastAsia" w:hAnsiTheme="minorEastAsia" w:cstheme="minorEastAsia"/>
          <w:snapToGrid w:val="0"/>
          <w:color w:val="000000"/>
          <w:kern w:val="0"/>
          <w:szCs w:val="21"/>
        </w:rPr>
        <w:t xml:space="preserve">  轴承温度：采用埋置检温计法检测。</w:t>
      </w:r>
    </w:p>
    <w:p>
      <w:pPr>
        <w:widowControl/>
        <w:kinsoku w:val="0"/>
        <w:autoSpaceDE w:val="0"/>
        <w:autoSpaceDN w:val="0"/>
        <w:adjustRightInd w:val="0"/>
        <w:snapToGrid w:val="0"/>
        <w:spacing w:line="360" w:lineRule="auto"/>
        <w:ind w:left="424" w:leftChars="202" w:firstLine="414"/>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4) </w:t>
      </w:r>
      <w:r>
        <w:rPr>
          <w:rFonts w:hint="eastAsia" w:asciiTheme="minorEastAsia" w:hAnsiTheme="minorEastAsia" w:cstheme="minorEastAsia"/>
          <w:snapToGrid w:val="0"/>
          <w:color w:val="000000"/>
          <w:kern w:val="0"/>
          <w:szCs w:val="21"/>
        </w:rPr>
        <w:t xml:space="preserve"> 噪声：采用声级计进行检测，声级计采用A计权声级。</w:t>
      </w:r>
    </w:p>
    <w:p>
      <w:pPr>
        <w:widowControl/>
        <w:kinsoku w:val="0"/>
        <w:autoSpaceDE w:val="0"/>
        <w:autoSpaceDN w:val="0"/>
        <w:adjustRightInd w:val="0"/>
        <w:snapToGrid w:val="0"/>
        <w:spacing w:line="360" w:lineRule="auto"/>
        <w:ind w:left="838" w:leftChars="399"/>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5)</w:t>
      </w:r>
      <w:r>
        <w:rPr>
          <w:rFonts w:hint="eastAsia" w:asciiTheme="minorEastAsia" w:hAnsiTheme="minorEastAsia" w:cstheme="minorEastAsia"/>
          <w:snapToGrid w:val="0"/>
          <w:color w:val="000000"/>
          <w:kern w:val="0"/>
          <w:szCs w:val="21"/>
        </w:rPr>
        <w:t xml:space="preserve">  绝缘电阻：采用兆欧表检测。</w:t>
      </w:r>
    </w:p>
    <w:p>
      <w:pPr>
        <w:widowControl/>
        <w:kinsoku w:val="0"/>
        <w:autoSpaceDE w:val="0"/>
        <w:autoSpaceDN w:val="0"/>
        <w:adjustRightInd w:val="0"/>
        <w:snapToGrid w:val="0"/>
        <w:spacing w:line="360" w:lineRule="auto"/>
        <w:ind w:left="1244" w:leftChars="399" w:hanging="406"/>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6)</w:t>
      </w:r>
      <w:r>
        <w:rPr>
          <w:rFonts w:hint="eastAsia" w:asciiTheme="minorEastAsia" w:hAnsiTheme="minorEastAsia" w:cstheme="minorEastAsia"/>
          <w:snapToGrid w:val="0"/>
          <w:color w:val="000000"/>
          <w:kern w:val="0"/>
          <w:szCs w:val="21"/>
        </w:rPr>
        <w:t xml:space="preserve">  直流电阻、轴电压、短时过电流、短时升高电压试验、空载特性、三相稳态短路特性、绕组电抗和时间参数、温升试验、电压波形畸变率、电话谐波因数、三相突然短路：应执行GB/T 1029的规定。</w:t>
      </w:r>
    </w:p>
    <w:p>
      <w:pPr>
        <w:widowControl/>
        <w:kinsoku w:val="0"/>
        <w:autoSpaceDE w:val="0"/>
        <w:autoSpaceDN w:val="0"/>
        <w:adjustRightInd w:val="0"/>
        <w:snapToGrid w:val="0"/>
        <w:spacing w:line="360" w:lineRule="auto"/>
        <w:ind w:left="838" w:leftChars="399"/>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7) </w:t>
      </w:r>
      <w:r>
        <w:rPr>
          <w:rFonts w:hint="eastAsia" w:asciiTheme="minorEastAsia" w:hAnsiTheme="minorEastAsia" w:cstheme="minorEastAsia"/>
          <w:snapToGrid w:val="0"/>
          <w:color w:val="000000"/>
          <w:kern w:val="0"/>
          <w:szCs w:val="21"/>
        </w:rPr>
        <w:t xml:space="preserve"> 交流耐压：应执行DL/T 474.4的规定。</w:t>
      </w:r>
    </w:p>
    <w:p>
      <w:pPr>
        <w:widowControl/>
        <w:kinsoku w:val="0"/>
        <w:autoSpaceDE w:val="0"/>
        <w:autoSpaceDN w:val="0"/>
        <w:adjustRightInd w:val="0"/>
        <w:snapToGrid w:val="0"/>
        <w:spacing w:line="360" w:lineRule="auto"/>
        <w:ind w:left="424" w:leftChars="202" w:right="44" w:rightChars="21" w:firstLine="415"/>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8)</w:t>
      </w:r>
      <w:r>
        <w:rPr>
          <w:rFonts w:hint="eastAsia" w:asciiTheme="minorEastAsia" w:hAnsiTheme="minorEastAsia" w:cstheme="minorEastAsia"/>
          <w:snapToGrid w:val="0"/>
          <w:color w:val="000000"/>
          <w:kern w:val="0"/>
          <w:szCs w:val="21"/>
        </w:rPr>
        <w:t xml:space="preserve">  定子绕组直流耐压、定子绕组泄漏电流：应执行DL/T 474.2的规定。</w:t>
      </w:r>
    </w:p>
    <w:p>
      <w:pPr>
        <w:widowControl/>
        <w:kinsoku w:val="0"/>
        <w:autoSpaceDE w:val="0"/>
        <w:autoSpaceDN w:val="0"/>
        <w:adjustRightInd w:val="0"/>
        <w:snapToGrid w:val="0"/>
        <w:spacing w:line="360" w:lineRule="auto"/>
        <w:ind w:left="424" w:leftChars="202" w:right="78" w:rightChars="37" w:firstLine="413"/>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9) </w:t>
      </w:r>
      <w:r>
        <w:rPr>
          <w:rFonts w:hint="eastAsia" w:asciiTheme="minorEastAsia" w:hAnsiTheme="minorEastAsia" w:cstheme="minorEastAsia"/>
          <w:snapToGrid w:val="0"/>
          <w:color w:val="000000"/>
          <w:kern w:val="0"/>
          <w:szCs w:val="21"/>
        </w:rPr>
        <w:t xml:space="preserve"> 定子绕组吸收比或极化指数：采用兆欧表检测。</w:t>
      </w:r>
    </w:p>
    <w:p>
      <w:pPr>
        <w:widowControl/>
        <w:kinsoku w:val="0"/>
        <w:autoSpaceDE w:val="0"/>
        <w:autoSpaceDN w:val="0"/>
        <w:adjustRightInd w:val="0"/>
        <w:snapToGrid w:val="0"/>
        <w:spacing w:line="360" w:lineRule="auto"/>
        <w:ind w:left="846" w:leftChars="403"/>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10)</w:t>
      </w:r>
      <w:r>
        <w:rPr>
          <w:rFonts w:hint="eastAsia" w:asciiTheme="minorEastAsia" w:hAnsiTheme="minorEastAsia" w:cstheme="minorEastAsia"/>
          <w:snapToGrid w:val="0"/>
          <w:color w:val="000000"/>
          <w:kern w:val="0"/>
          <w:szCs w:val="21"/>
        </w:rPr>
        <w:t xml:space="preserve">  定子铁心磁化：应执行GB/T 20835的规定。</w:t>
      </w:r>
    </w:p>
    <w:p>
      <w:pPr>
        <w:widowControl/>
        <w:kinsoku w:val="0"/>
        <w:autoSpaceDE w:val="0"/>
        <w:autoSpaceDN w:val="0"/>
        <w:adjustRightInd w:val="0"/>
        <w:snapToGrid w:val="0"/>
        <w:spacing w:line="360" w:lineRule="auto"/>
        <w:ind w:left="846" w:leftChars="403" w:right="441" w:rightChars="210"/>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11) </w:t>
      </w:r>
      <w:r>
        <w:rPr>
          <w:rFonts w:hint="eastAsia" w:asciiTheme="minorEastAsia" w:hAnsiTheme="minorEastAsia" w:cstheme="minorEastAsia"/>
          <w:snapToGrid w:val="0"/>
          <w:color w:val="000000"/>
          <w:kern w:val="0"/>
          <w:szCs w:val="21"/>
        </w:rPr>
        <w:t xml:space="preserve"> 相序：采用相序仪在电压互感器低压侧进行检测。</w:t>
      </w:r>
    </w:p>
    <w:p>
      <w:pPr>
        <w:widowControl/>
        <w:kinsoku w:val="0"/>
        <w:autoSpaceDE w:val="0"/>
        <w:autoSpaceDN w:val="0"/>
        <w:adjustRightInd w:val="0"/>
        <w:snapToGrid w:val="0"/>
        <w:spacing w:line="360" w:lineRule="auto"/>
        <w:ind w:left="846" w:leftChars="403"/>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12)</w:t>
      </w:r>
      <w:r>
        <w:rPr>
          <w:rFonts w:hint="eastAsia" w:asciiTheme="minorEastAsia" w:hAnsiTheme="minorEastAsia" w:cstheme="minorEastAsia"/>
          <w:snapToGrid w:val="0"/>
          <w:color w:val="000000"/>
          <w:kern w:val="0"/>
          <w:szCs w:val="21"/>
        </w:rPr>
        <w:t xml:space="preserve">  效率和损耗：应执行GB/T 25442的规定。</w:t>
      </w:r>
    </w:p>
    <w:p>
      <w:pPr>
        <w:widowControl/>
        <w:kinsoku w:val="0"/>
        <w:autoSpaceDE w:val="0"/>
        <w:autoSpaceDN w:val="0"/>
        <w:adjustRightInd w:val="0"/>
        <w:snapToGrid w:val="0"/>
        <w:spacing w:line="360" w:lineRule="auto"/>
        <w:ind w:left="427"/>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2</w:t>
      </w:r>
      <w:r>
        <w:rPr>
          <w:rFonts w:hint="eastAsia" w:asciiTheme="minorEastAsia" w:hAnsiTheme="minorEastAsia" w:cstheme="minorEastAsia"/>
          <w:snapToGrid w:val="0"/>
          <w:color w:val="000000"/>
          <w:kern w:val="0"/>
          <w:szCs w:val="21"/>
        </w:rPr>
        <w:t xml:space="preserve">  主电动机</w:t>
      </w:r>
    </w:p>
    <w:p>
      <w:pPr>
        <w:widowControl/>
        <w:kinsoku w:val="0"/>
        <w:autoSpaceDE w:val="0"/>
        <w:autoSpaceDN w:val="0"/>
        <w:adjustRightInd w:val="0"/>
        <w:snapToGrid w:val="0"/>
        <w:spacing w:line="360" w:lineRule="auto"/>
        <w:ind w:firstLine="840" w:firstLineChars="400"/>
        <w:jc w:val="left"/>
        <w:textAlignment w:val="baseline"/>
        <w:rPr>
          <w:rFonts w:hint="eastAsia" w:asciiTheme="minorEastAsia" w:hAnsiTheme="minorEastAsia" w:cstheme="minorEastAsia"/>
          <w:snapToGrid w:val="0"/>
          <w:color w:val="000000"/>
          <w:kern w:val="0"/>
          <w:szCs w:val="21"/>
        </w:rPr>
      </w:pPr>
      <w:bookmarkStart w:id="143" w:name="_Hlk184133251"/>
      <w:r>
        <w:rPr>
          <w:rFonts w:hint="eastAsia" w:ascii="黑体" w:hAnsi="黑体" w:eastAsia="黑体" w:cs="黑体"/>
          <w:snapToGrid w:val="0"/>
          <w:color w:val="000000"/>
          <w:kern w:val="0"/>
          <w:szCs w:val="21"/>
        </w:rPr>
        <w:t xml:space="preserve">1) </w:t>
      </w:r>
      <w:r>
        <w:rPr>
          <w:rFonts w:hint="eastAsia" w:asciiTheme="minorEastAsia" w:hAnsiTheme="minorEastAsia" w:cstheme="minorEastAsia"/>
          <w:snapToGrid w:val="0"/>
          <w:color w:val="000000"/>
          <w:kern w:val="0"/>
          <w:szCs w:val="21"/>
        </w:rPr>
        <w:t xml:space="preserve"> 主电动机</w:t>
      </w:r>
      <w:bookmarkEnd w:id="143"/>
      <w:r>
        <w:rPr>
          <w:rFonts w:hint="eastAsia" w:asciiTheme="minorEastAsia" w:hAnsiTheme="minorEastAsia" w:cstheme="minorEastAsia"/>
          <w:snapToGrid w:val="0"/>
          <w:color w:val="000000"/>
          <w:kern w:val="0"/>
          <w:szCs w:val="21"/>
        </w:rPr>
        <w:t>机械部分</w:t>
      </w:r>
    </w:p>
    <w:p>
      <w:pPr>
        <w:widowControl/>
        <w:kinsoku w:val="0"/>
        <w:autoSpaceDE w:val="0"/>
        <w:autoSpaceDN w:val="0"/>
        <w:adjustRightInd w:val="0"/>
        <w:snapToGrid w:val="0"/>
        <w:spacing w:line="360" w:lineRule="auto"/>
        <w:ind w:left="1478" w:leftChars="500" w:hanging="428" w:hangingChars="204"/>
        <w:textAlignment w:val="baseline"/>
        <w:rPr>
          <w:rFonts w:hint="eastAsia" w:asciiTheme="minorEastAsia" w:hAnsiTheme="minorEastAsia" w:cstheme="minorEastAsia"/>
          <w:snapToGrid w:val="0"/>
          <w:color w:val="000000"/>
          <w:kern w:val="0"/>
          <w:position w:val="-2"/>
          <w:szCs w:val="21"/>
        </w:rPr>
      </w:pPr>
      <w:r>
        <w:rPr>
          <w:rFonts w:hint="eastAsia" w:ascii="黑体" w:hAnsi="黑体" w:eastAsia="黑体" w:cs="黑体"/>
          <w:snapToGrid w:val="0"/>
          <w:color w:val="000000"/>
          <w:kern w:val="0"/>
          <w:szCs w:val="21"/>
        </w:rPr>
        <w:t xml:space="preserve">a) </w:t>
      </w:r>
      <w:r>
        <w:rPr>
          <w:rFonts w:hint="eastAsia" w:asciiTheme="minorEastAsia" w:hAnsiTheme="minorEastAsia" w:cstheme="minorEastAsia"/>
          <w:snapToGrid w:val="0"/>
          <w:color w:val="000000"/>
          <w:kern w:val="0"/>
          <w:position w:val="-2"/>
          <w:szCs w:val="21"/>
        </w:rPr>
        <w:t>空气间隙、转子磁极圆度、水平度、垂直度、中心偏差、高程、轴线调整应执行SL 317的规定。</w:t>
      </w:r>
    </w:p>
    <w:p>
      <w:pPr>
        <w:widowControl/>
        <w:kinsoku w:val="0"/>
        <w:autoSpaceDE w:val="0"/>
        <w:autoSpaceDN w:val="0"/>
        <w:adjustRightInd w:val="0"/>
        <w:snapToGrid w:val="0"/>
        <w:spacing w:line="360" w:lineRule="auto"/>
        <w:ind w:left="840" w:leftChars="400" w:firstLine="210" w:firstLineChars="100"/>
        <w:textAlignment w:val="baseline"/>
        <w:rPr>
          <w:rFonts w:hint="eastAsia" w:asciiTheme="minorEastAsia" w:hAnsiTheme="minorEastAsia" w:cstheme="minorEastAsia"/>
          <w:snapToGrid w:val="0"/>
          <w:color w:val="000000"/>
          <w:kern w:val="0"/>
          <w:position w:val="-2"/>
          <w:szCs w:val="21"/>
        </w:rPr>
      </w:pPr>
      <w:r>
        <w:rPr>
          <w:rFonts w:hint="eastAsia" w:ascii="黑体" w:hAnsi="黑体" w:eastAsia="黑体" w:cs="黑体"/>
          <w:snapToGrid w:val="0"/>
          <w:color w:val="000000"/>
          <w:kern w:val="0"/>
          <w:szCs w:val="21"/>
        </w:rPr>
        <w:t xml:space="preserve">b) </w:t>
      </w:r>
      <w:r>
        <w:rPr>
          <w:rFonts w:hint="eastAsia" w:asciiTheme="minorEastAsia" w:hAnsiTheme="minorEastAsia" w:cstheme="minorEastAsia"/>
          <w:snapToGrid w:val="0"/>
          <w:color w:val="000000"/>
          <w:kern w:val="0"/>
          <w:position w:val="-2"/>
          <w:szCs w:val="21"/>
        </w:rPr>
        <w:t>振动：采用振动传感器检测。</w:t>
      </w:r>
    </w:p>
    <w:p>
      <w:pPr>
        <w:widowControl/>
        <w:kinsoku w:val="0"/>
        <w:autoSpaceDE w:val="0"/>
        <w:autoSpaceDN w:val="0"/>
        <w:adjustRightInd w:val="0"/>
        <w:snapToGrid w:val="0"/>
        <w:spacing w:line="360" w:lineRule="auto"/>
        <w:ind w:firstLine="840" w:firstLineChars="400"/>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2)</w:t>
      </w:r>
      <w:r>
        <w:rPr>
          <w:rFonts w:hint="eastAsia" w:asciiTheme="minorEastAsia" w:hAnsiTheme="minorEastAsia" w:cstheme="minorEastAsia"/>
          <w:snapToGrid w:val="0"/>
          <w:color w:val="000000"/>
          <w:kern w:val="0"/>
          <w:szCs w:val="21"/>
        </w:rPr>
        <w:t xml:space="preserve">  主电动机电气部分</w:t>
      </w:r>
    </w:p>
    <w:p>
      <w:pPr>
        <w:widowControl/>
        <w:kinsoku w:val="0"/>
        <w:autoSpaceDE w:val="0"/>
        <w:autoSpaceDN w:val="0"/>
        <w:adjustRightInd w:val="0"/>
        <w:snapToGrid w:val="0"/>
        <w:spacing w:line="360" w:lineRule="auto"/>
        <w:ind w:left="1249" w:leftChars="595" w:firstLine="10"/>
        <w:jc w:val="left"/>
        <w:textAlignment w:val="baseline"/>
        <w:rPr>
          <w:rFonts w:hint="eastAsia" w:asciiTheme="minorEastAsia" w:hAnsiTheme="minorEastAsia" w:cstheme="minorEastAsia"/>
          <w:snapToGrid w:val="0"/>
          <w:color w:val="000000"/>
          <w:kern w:val="0"/>
          <w:szCs w:val="21"/>
        </w:rPr>
      </w:pPr>
      <w:r>
        <w:rPr>
          <w:rFonts w:hint="eastAsia" w:asciiTheme="minorEastAsia" w:hAnsiTheme="minorEastAsia" w:cstheme="minorEastAsia"/>
          <w:snapToGrid w:val="0"/>
          <w:color w:val="000000"/>
          <w:kern w:val="0"/>
          <w:szCs w:val="21"/>
        </w:rPr>
        <w:t>所有检测项目应执行SL 548的规定。</w:t>
      </w:r>
    </w:p>
    <w:p>
      <w:pPr>
        <w:widowControl/>
        <w:kinsoku w:val="0"/>
        <w:autoSpaceDE w:val="0"/>
        <w:autoSpaceDN w:val="0"/>
        <w:adjustRightInd w:val="0"/>
        <w:snapToGrid w:val="0"/>
        <w:spacing w:line="360" w:lineRule="auto"/>
        <w:ind w:left="422"/>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3 </w:t>
      </w:r>
      <w:r>
        <w:rPr>
          <w:rFonts w:hint="eastAsia" w:asciiTheme="minorEastAsia" w:hAnsiTheme="minorEastAsia" w:cstheme="minorEastAsia"/>
          <w:snapToGrid w:val="0"/>
          <w:color w:val="000000"/>
          <w:kern w:val="0"/>
          <w:szCs w:val="21"/>
        </w:rPr>
        <w:t xml:space="preserve">  励磁系统：应执行DL/T 489的规定。</w:t>
      </w:r>
    </w:p>
    <w:p>
      <w:pPr>
        <w:widowControl/>
        <w:kinsoku w:val="0"/>
        <w:autoSpaceDE w:val="0"/>
        <w:autoSpaceDN w:val="0"/>
        <w:adjustRightInd w:val="0"/>
        <w:snapToGrid w:val="0"/>
        <w:spacing w:line="360" w:lineRule="auto"/>
        <w:jc w:val="left"/>
        <w:textAlignment w:val="baseline"/>
        <w:rPr>
          <w:rFonts w:hint="eastAsia" w:asciiTheme="minorEastAsia" w:hAnsiTheme="minorEastAsia" w:cstheme="minorEastAsia"/>
          <w:snapToGrid w:val="0"/>
          <w:color w:val="000000"/>
          <w:kern w:val="0"/>
          <w:szCs w:val="21"/>
        </w:rPr>
      </w:pPr>
      <w:bookmarkStart w:id="144" w:name="bookmark43"/>
      <w:bookmarkEnd w:id="144"/>
      <w:r>
        <w:rPr>
          <w:rFonts w:hint="eastAsia" w:ascii="黑体" w:hAnsi="黑体" w:eastAsia="黑体" w:cs="黑体"/>
          <w:snapToGrid w:val="0"/>
          <w:color w:val="000000"/>
          <w:kern w:val="0"/>
          <w:szCs w:val="21"/>
        </w:rPr>
        <w:t xml:space="preserve">8.3.5 </w:t>
      </w:r>
      <w:r>
        <w:rPr>
          <w:rFonts w:hint="eastAsia" w:asciiTheme="minorEastAsia" w:hAnsiTheme="minorEastAsia" w:cstheme="minorEastAsia"/>
          <w:snapToGrid w:val="0"/>
          <w:color w:val="000000"/>
          <w:kern w:val="0"/>
          <w:szCs w:val="21"/>
        </w:rPr>
        <w:t xml:space="preserve"> </w:t>
      </w:r>
      <w:bookmarkStart w:id="145" w:name="_Hlk193030554"/>
      <w:r>
        <w:rPr>
          <w:rFonts w:hint="eastAsia" w:asciiTheme="minorEastAsia" w:hAnsiTheme="minorEastAsia" w:cstheme="minorEastAsia"/>
          <w:snapToGrid w:val="0"/>
          <w:color w:val="000000"/>
          <w:kern w:val="0"/>
          <w:szCs w:val="21"/>
        </w:rPr>
        <w:t>检测项目满足下列要求的，质量检测结果评价为合格：</w:t>
      </w:r>
      <w:bookmarkEnd w:id="145"/>
    </w:p>
    <w:p>
      <w:pPr>
        <w:widowControl/>
        <w:kinsoku w:val="0"/>
        <w:autoSpaceDE w:val="0"/>
        <w:autoSpaceDN w:val="0"/>
        <w:adjustRightInd w:val="0"/>
        <w:snapToGrid w:val="0"/>
        <w:spacing w:line="360" w:lineRule="auto"/>
        <w:ind w:firstLine="420" w:firstLineChars="200"/>
        <w:jc w:val="left"/>
        <w:textAlignment w:val="baseline"/>
        <w:rPr>
          <w:rFonts w:hint="eastAsia" w:asciiTheme="minorEastAsia" w:hAnsiTheme="minorEastAsia" w:cstheme="minorEastAsia"/>
          <w:snapToGrid w:val="0"/>
          <w:color w:val="000000"/>
          <w:kern w:val="0"/>
          <w:position w:val="-2"/>
          <w:szCs w:val="21"/>
        </w:rPr>
      </w:pPr>
      <w:r>
        <w:rPr>
          <w:rFonts w:hint="eastAsia" w:ascii="黑体" w:hAnsi="黑体" w:eastAsia="黑体" w:cs="黑体"/>
          <w:snapToGrid w:val="0"/>
          <w:color w:val="000000"/>
          <w:kern w:val="0"/>
          <w:szCs w:val="21"/>
        </w:rPr>
        <w:t>1</w:t>
      </w:r>
      <w:r>
        <w:rPr>
          <w:rFonts w:hint="eastAsia" w:asciiTheme="minorEastAsia" w:hAnsiTheme="minorEastAsia" w:cstheme="minorEastAsia"/>
          <w:snapToGrid w:val="0"/>
          <w:color w:val="000000"/>
          <w:kern w:val="0"/>
          <w:position w:val="-2"/>
          <w:szCs w:val="21"/>
        </w:rPr>
        <w:t xml:space="preserve">  </w:t>
      </w:r>
      <w:r>
        <w:rPr>
          <w:rFonts w:hint="eastAsia" w:asciiTheme="minorEastAsia" w:hAnsiTheme="minorEastAsia" w:cstheme="minorEastAsia"/>
          <w:snapToGrid w:val="0"/>
          <w:color w:val="000000"/>
          <w:kern w:val="0"/>
          <w:szCs w:val="21"/>
        </w:rPr>
        <w:t>发电机/发电电动机</w:t>
      </w:r>
    </w:p>
    <w:p>
      <w:pPr>
        <w:widowControl/>
        <w:kinsoku w:val="0"/>
        <w:autoSpaceDE w:val="0"/>
        <w:autoSpaceDN w:val="0"/>
        <w:adjustRightInd w:val="0"/>
        <w:snapToGrid w:val="0"/>
        <w:spacing w:line="360" w:lineRule="auto"/>
        <w:ind w:left="1050" w:leftChars="300" w:hanging="420" w:hangingChars="200"/>
        <w:jc w:val="left"/>
        <w:textAlignment w:val="baseline"/>
        <w:rPr>
          <w:rFonts w:hint="eastAsia" w:asciiTheme="minorEastAsia" w:hAnsiTheme="minorEastAsia" w:cstheme="minorEastAsia"/>
          <w:snapToGrid w:val="0"/>
          <w:color w:val="000000"/>
          <w:kern w:val="0"/>
          <w:position w:val="-2"/>
          <w:szCs w:val="21"/>
        </w:rPr>
      </w:pPr>
      <w:r>
        <w:rPr>
          <w:rFonts w:hint="eastAsia" w:ascii="黑体" w:hAnsi="黑体" w:eastAsia="黑体" w:cs="黑体"/>
          <w:snapToGrid w:val="0"/>
          <w:color w:val="000000"/>
          <w:kern w:val="0"/>
          <w:szCs w:val="21"/>
        </w:rPr>
        <w:t xml:space="preserve">1) </w:t>
      </w:r>
      <w:r>
        <w:rPr>
          <w:rFonts w:hint="eastAsia" w:asciiTheme="minorEastAsia" w:hAnsiTheme="minorEastAsia" w:cstheme="minorEastAsia"/>
          <w:snapToGrid w:val="0"/>
          <w:color w:val="000000"/>
          <w:kern w:val="0"/>
          <w:position w:val="-2"/>
          <w:szCs w:val="21"/>
        </w:rPr>
        <w:t xml:space="preserve"> 平面度、水平度、波浪度、中心偏差、高程、转子圆度、定子圆度、空气间隙应符合SL 636的规定。</w:t>
      </w:r>
    </w:p>
    <w:p>
      <w:pPr>
        <w:widowControl/>
        <w:kinsoku w:val="0"/>
        <w:autoSpaceDE w:val="0"/>
        <w:autoSpaceDN w:val="0"/>
        <w:adjustRightInd w:val="0"/>
        <w:snapToGrid w:val="0"/>
        <w:spacing w:line="360" w:lineRule="auto"/>
        <w:ind w:left="630" w:leftChars="300"/>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2) </w:t>
      </w:r>
      <w:r>
        <w:rPr>
          <w:rFonts w:hint="eastAsia" w:asciiTheme="minorEastAsia" w:hAnsiTheme="minorEastAsia" w:cstheme="minorEastAsia"/>
          <w:snapToGrid w:val="0"/>
          <w:color w:val="000000"/>
          <w:kern w:val="0"/>
          <w:szCs w:val="21"/>
        </w:rPr>
        <w:t xml:space="preserve"> 振动和摆度：应符合附录</w:t>
      </w:r>
      <w:r>
        <w:rPr>
          <w:rFonts w:hint="eastAsia" w:ascii="宋体" w:hAnsi="宋体" w:eastAsia="宋体" w:cstheme="minorEastAsia"/>
          <w:snapToGrid w:val="0"/>
          <w:color w:val="000000"/>
          <w:kern w:val="0"/>
          <w:szCs w:val="21"/>
        </w:rPr>
        <w:t>H</w:t>
      </w:r>
      <w:r>
        <w:rPr>
          <w:rFonts w:hint="eastAsia" w:asciiTheme="minorEastAsia" w:hAnsiTheme="minorEastAsia" w:cstheme="minorEastAsia"/>
          <w:snapToGrid w:val="0"/>
          <w:color w:val="000000"/>
          <w:kern w:val="0"/>
          <w:szCs w:val="21"/>
        </w:rPr>
        <w:t>.1.1的要求。</w:t>
      </w:r>
    </w:p>
    <w:p>
      <w:pPr>
        <w:widowControl/>
        <w:kinsoku w:val="0"/>
        <w:autoSpaceDE w:val="0"/>
        <w:autoSpaceDN w:val="0"/>
        <w:adjustRightInd w:val="0"/>
        <w:snapToGrid w:val="0"/>
        <w:spacing w:line="360" w:lineRule="auto"/>
        <w:ind w:left="1050" w:leftChars="300" w:hanging="420" w:hangingChars="200"/>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3)</w:t>
      </w:r>
      <w:r>
        <w:rPr>
          <w:rFonts w:hint="eastAsia" w:asciiTheme="minorEastAsia" w:hAnsiTheme="minorEastAsia" w:cstheme="minorEastAsia"/>
          <w:snapToGrid w:val="0"/>
          <w:color w:val="000000"/>
          <w:kern w:val="0"/>
          <w:szCs w:val="21"/>
        </w:rPr>
        <w:t xml:space="preserve">  轴承温度：不应超过下列数值：a)推力轴承巴氏合金瓦：80℃；b)推力轴承塑料瓦体：55℃；c)导轴承巴氏合金瓦：75℃。</w:t>
      </w:r>
    </w:p>
    <w:p>
      <w:pPr>
        <w:widowControl/>
        <w:kinsoku w:val="0"/>
        <w:autoSpaceDE w:val="0"/>
        <w:autoSpaceDN w:val="0"/>
        <w:adjustRightInd w:val="0"/>
        <w:snapToGrid w:val="0"/>
        <w:spacing w:line="360" w:lineRule="auto"/>
        <w:ind w:left="1050" w:leftChars="300" w:hanging="420" w:hangingChars="200"/>
        <w:textAlignment w:val="baseline"/>
        <w:rPr>
          <w:rFonts w:hint="eastAsia" w:cs="Times New Roman" w:asciiTheme="minorEastAsia" w:hAnsiTheme="minorEastAsia"/>
        </w:rPr>
      </w:pPr>
      <w:r>
        <w:rPr>
          <w:rFonts w:hint="eastAsia" w:ascii="黑体" w:hAnsi="黑体" w:eastAsia="黑体" w:cs="黑体"/>
          <w:snapToGrid w:val="0"/>
          <w:color w:val="000000"/>
          <w:kern w:val="0"/>
          <w:szCs w:val="21"/>
        </w:rPr>
        <w:t xml:space="preserve">4)  </w:t>
      </w:r>
      <w:r>
        <w:rPr>
          <w:rFonts w:hint="eastAsia" w:asciiTheme="minorEastAsia" w:hAnsiTheme="minorEastAsia" w:cstheme="minorEastAsia"/>
          <w:snapToGrid w:val="0"/>
          <w:color w:val="000000"/>
          <w:kern w:val="0"/>
          <w:szCs w:val="21"/>
        </w:rPr>
        <w:t>绝缘电阻：</w:t>
      </w:r>
      <w:r>
        <w:rPr>
          <w:rFonts w:hint="eastAsia" w:cs="Times New Roman" w:asciiTheme="minorEastAsia" w:hAnsiTheme="minorEastAsia"/>
        </w:rPr>
        <w:t>转子单个磁极挂装前及挂装后在室温10℃～30℃用1000V 兆欧表测量时，其绝缘电阻值不应小于5MΩ。挂装后转子整体绕组的绝缘电阻值不应小于0.5MΩ。有绝缘要求的水轮发电机推力轴承、导轴承及埋置检温计均应对地绝缘。其绝缘电阻值在10~30℃测量时应为下列数值：</w:t>
      </w:r>
    </w:p>
    <w:p>
      <w:pPr>
        <w:pStyle w:val="6"/>
        <w:adjustRightInd w:val="0"/>
        <w:snapToGrid w:val="0"/>
        <w:spacing w:line="360" w:lineRule="auto"/>
        <w:ind w:left="1890" w:leftChars="689" w:hanging="443"/>
        <w:jc w:val="left"/>
        <w:rPr>
          <w:rFonts w:ascii="Times New Roman" w:hAnsi="Times New Roman" w:eastAsia="宋体" w:cs="Times New Roman"/>
          <w:sz w:val="21"/>
          <w:szCs w:val="22"/>
        </w:rPr>
      </w:pPr>
      <w:r>
        <w:rPr>
          <w:rFonts w:hint="eastAsia" w:ascii="黑体" w:hAnsi="黑体" w:eastAsia="黑体" w:cs="黑体"/>
          <w:snapToGrid w:val="0"/>
          <w:color w:val="000000"/>
          <w:kern w:val="0"/>
          <w:sz w:val="21"/>
          <w:szCs w:val="21"/>
        </w:rPr>
        <w:t xml:space="preserve">a) </w:t>
      </w:r>
      <w:r>
        <w:rPr>
          <w:rFonts w:hint="eastAsia" w:cs="Times New Roman" w:asciiTheme="minorEastAsia" w:hAnsiTheme="minorEastAsia" w:eastAsiaTheme="minorEastAsia"/>
          <w:sz w:val="21"/>
          <w:szCs w:val="22"/>
        </w:rPr>
        <w:t xml:space="preserve"> 在推力轴承、导轴承装入温度计注入润滑油前，用1000V兆欧表测得的绝缘电阻值不小于1.0MΩ，注入润滑油后，用500V兆欧表测得的绝缘电阻值不小于0.5MΩ。</w:t>
      </w:r>
    </w:p>
    <w:p>
      <w:pPr>
        <w:pStyle w:val="6"/>
        <w:adjustRightInd w:val="0"/>
        <w:snapToGrid w:val="0"/>
        <w:spacing w:line="360" w:lineRule="auto"/>
        <w:ind w:left="1890" w:leftChars="689" w:hanging="443"/>
        <w:rPr>
          <w:rFonts w:hint="eastAsia" w:cs="Times New Roman" w:asciiTheme="minorEastAsia" w:hAnsiTheme="minorEastAsia" w:eastAsiaTheme="minorEastAsia"/>
          <w:sz w:val="21"/>
          <w:szCs w:val="22"/>
        </w:rPr>
      </w:pPr>
      <w:r>
        <w:rPr>
          <w:rFonts w:hint="eastAsia" w:ascii="黑体" w:hAnsi="黑体" w:eastAsia="黑体" w:cs="黑体"/>
          <w:snapToGrid w:val="0"/>
          <w:color w:val="000000"/>
          <w:kern w:val="0"/>
          <w:sz w:val="21"/>
          <w:szCs w:val="21"/>
        </w:rPr>
        <w:t>b)</w:t>
      </w:r>
      <w:r>
        <w:rPr>
          <w:rFonts w:hint="eastAsia" w:ascii="Times New Roman" w:hAnsi="Times New Roman" w:eastAsia="宋体" w:cs="Times New Roman"/>
          <w:sz w:val="21"/>
          <w:szCs w:val="22"/>
        </w:rPr>
        <w:t xml:space="preserve"> </w:t>
      </w:r>
      <w:r>
        <w:rPr>
          <w:rFonts w:hint="eastAsia" w:cs="Times New Roman" w:asciiTheme="minorEastAsia" w:hAnsiTheme="minorEastAsia" w:eastAsiaTheme="minorEastAsia"/>
          <w:sz w:val="21"/>
          <w:szCs w:val="22"/>
        </w:rPr>
        <w:t xml:space="preserve"> 用250V兆欧表测得埋入式温度检测计和其他自动化元件的绝缘电阻值不小于1.0MΩ。</w:t>
      </w:r>
    </w:p>
    <w:p>
      <w:pPr>
        <w:widowControl/>
        <w:kinsoku w:val="0"/>
        <w:autoSpaceDE w:val="0"/>
        <w:autoSpaceDN w:val="0"/>
        <w:adjustRightInd w:val="0"/>
        <w:snapToGrid w:val="0"/>
        <w:spacing w:line="360" w:lineRule="auto"/>
        <w:ind w:left="1050" w:leftChars="300" w:hanging="420" w:hanging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5）  </w:t>
      </w:r>
      <w:r>
        <w:rPr>
          <w:rFonts w:hint="eastAsia" w:asciiTheme="minorEastAsia" w:hAnsiTheme="minorEastAsia" w:cstheme="minorEastAsia"/>
          <w:snapToGrid w:val="0"/>
          <w:color w:val="000000"/>
          <w:kern w:val="0"/>
          <w:szCs w:val="21"/>
        </w:rPr>
        <w:t>直流电阻：实际冷态下，定子绕组直流电阻最大与最小两相间的差值，在校正了由于引线长度不同引起的误差后，不应超过最小值的2%。</w:t>
      </w:r>
    </w:p>
    <w:p>
      <w:pPr>
        <w:widowControl/>
        <w:kinsoku w:val="0"/>
        <w:autoSpaceDE w:val="0"/>
        <w:autoSpaceDN w:val="0"/>
        <w:adjustRightInd w:val="0"/>
        <w:snapToGrid w:val="0"/>
        <w:spacing w:line="360" w:lineRule="auto"/>
        <w:ind w:left="1050" w:leftChars="300" w:hanging="420" w:hanging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6）  </w:t>
      </w:r>
      <w:r>
        <w:rPr>
          <w:rFonts w:hint="eastAsia" w:asciiTheme="minorEastAsia" w:hAnsiTheme="minorEastAsia" w:cstheme="minorEastAsia"/>
          <w:snapToGrid w:val="0"/>
          <w:color w:val="000000"/>
          <w:kern w:val="0"/>
          <w:szCs w:val="21"/>
        </w:rPr>
        <w:t>交流耐压试验、定子绕组直流耐压试验、定子绕组泄漏电流、定子绕组吸收比或极化数：应符合GB 50150的规定。</w:t>
      </w:r>
    </w:p>
    <w:p>
      <w:pPr>
        <w:widowControl/>
        <w:kinsoku w:val="0"/>
        <w:autoSpaceDE w:val="0"/>
        <w:autoSpaceDN w:val="0"/>
        <w:adjustRightInd w:val="0"/>
        <w:snapToGrid w:val="0"/>
        <w:spacing w:line="360" w:lineRule="auto"/>
        <w:ind w:left="1050" w:leftChars="300" w:hanging="420" w:hangingChars="200"/>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7）  </w:t>
      </w:r>
      <w:r>
        <w:rPr>
          <w:rFonts w:hint="eastAsia" w:asciiTheme="minorEastAsia" w:hAnsiTheme="minorEastAsia" w:cstheme="minorEastAsia"/>
          <w:snapToGrid w:val="0"/>
          <w:color w:val="000000"/>
          <w:kern w:val="0"/>
          <w:szCs w:val="21"/>
        </w:rPr>
        <w:t>相序：水轮发电机旋转方向，从非传动端看规定为顺时针方向，相序排列应为面对水轮发电机出线端从左至右排列的顺序为U、V、W。旋转方向如有特殊要求，应在专用技术协议或合同中规定。</w:t>
      </w:r>
    </w:p>
    <w:p>
      <w:pPr>
        <w:widowControl/>
        <w:kinsoku w:val="0"/>
        <w:autoSpaceDE w:val="0"/>
        <w:autoSpaceDN w:val="0"/>
        <w:adjustRightInd w:val="0"/>
        <w:snapToGrid w:val="0"/>
        <w:spacing w:line="360" w:lineRule="auto"/>
        <w:ind w:left="1050" w:leftChars="300" w:hanging="420" w:hangingChars="200"/>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8）  </w:t>
      </w:r>
      <w:r>
        <w:rPr>
          <w:rFonts w:hint="eastAsia" w:asciiTheme="minorEastAsia" w:hAnsiTheme="minorEastAsia" w:cstheme="minorEastAsia"/>
          <w:snapToGrid w:val="0"/>
          <w:color w:val="000000"/>
          <w:kern w:val="0"/>
          <w:szCs w:val="21"/>
        </w:rPr>
        <w:t>短时过电流试验：水轮发电机在事故条件下允许短时过电流，但不应发生有害变形及接头开焊等情况。</w:t>
      </w:r>
    </w:p>
    <w:p>
      <w:pPr>
        <w:widowControl/>
        <w:kinsoku w:val="0"/>
        <w:autoSpaceDE w:val="0"/>
        <w:autoSpaceDN w:val="0"/>
        <w:adjustRightInd w:val="0"/>
        <w:snapToGrid w:val="0"/>
        <w:spacing w:line="360" w:lineRule="auto"/>
        <w:ind w:left="1050" w:leftChars="300" w:hanging="420" w:hangingChars="200"/>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9）  </w:t>
      </w:r>
      <w:r>
        <w:rPr>
          <w:rFonts w:hint="eastAsia" w:asciiTheme="minorEastAsia" w:hAnsiTheme="minorEastAsia" w:cstheme="minorEastAsia"/>
          <w:snapToGrid w:val="0"/>
          <w:color w:val="000000"/>
          <w:kern w:val="0"/>
          <w:szCs w:val="21"/>
        </w:rPr>
        <w:t>温升试验：应符合附录</w:t>
      </w:r>
      <w:r>
        <w:rPr>
          <w:rFonts w:hint="eastAsia" w:ascii="宋体" w:hAnsi="宋体" w:eastAsia="宋体" w:cstheme="minorEastAsia"/>
          <w:snapToGrid w:val="0"/>
          <w:color w:val="000000"/>
          <w:kern w:val="0"/>
          <w:szCs w:val="21"/>
        </w:rPr>
        <w:t>H</w:t>
      </w:r>
      <w:r>
        <w:rPr>
          <w:rFonts w:hint="eastAsia" w:asciiTheme="minorEastAsia" w:hAnsiTheme="minorEastAsia" w:cstheme="minorEastAsia"/>
          <w:snapToGrid w:val="0"/>
          <w:color w:val="000000"/>
          <w:kern w:val="0"/>
          <w:szCs w:val="21"/>
        </w:rPr>
        <w:t>.1.3的要求。</w:t>
      </w:r>
    </w:p>
    <w:p>
      <w:pPr>
        <w:widowControl/>
        <w:kinsoku w:val="0"/>
        <w:autoSpaceDE w:val="0"/>
        <w:autoSpaceDN w:val="0"/>
        <w:adjustRightInd w:val="0"/>
        <w:snapToGrid w:val="0"/>
        <w:spacing w:line="360" w:lineRule="auto"/>
        <w:ind w:left="1050" w:leftChars="300" w:hanging="420" w:hangingChars="200"/>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10） </w:t>
      </w:r>
      <w:r>
        <w:rPr>
          <w:rFonts w:hint="eastAsia" w:asciiTheme="minorEastAsia" w:hAnsiTheme="minorEastAsia" w:cstheme="minorEastAsia"/>
          <w:snapToGrid w:val="0"/>
          <w:color w:val="000000"/>
          <w:kern w:val="0"/>
          <w:szCs w:val="21"/>
        </w:rPr>
        <w:t>电压波形畸变率：水轮发电机定子绕组接成正常工作接法时，在空载及额定电压下，线电压波形正弦性畸变率不应超过5%。</w:t>
      </w:r>
    </w:p>
    <w:p>
      <w:pPr>
        <w:widowControl/>
        <w:kinsoku w:val="0"/>
        <w:autoSpaceDE w:val="0"/>
        <w:autoSpaceDN w:val="0"/>
        <w:adjustRightInd w:val="0"/>
        <w:snapToGrid w:val="0"/>
        <w:spacing w:line="360" w:lineRule="auto"/>
        <w:ind w:left="1050" w:leftChars="300" w:hanging="420" w:hangingChars="200"/>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11） </w:t>
      </w:r>
      <w:r>
        <w:rPr>
          <w:rFonts w:hint="eastAsia" w:asciiTheme="minorEastAsia" w:hAnsiTheme="minorEastAsia" w:cstheme="minorEastAsia"/>
          <w:snapToGrid w:val="0"/>
          <w:color w:val="000000"/>
          <w:kern w:val="0"/>
          <w:szCs w:val="21"/>
        </w:rPr>
        <w:t>电话谐波因数：水轮发电机在空载额定电压和额定转速时，线电压的电压谐波因数(THF)不应超过1.5%。</w:t>
      </w:r>
    </w:p>
    <w:p>
      <w:pPr>
        <w:widowControl/>
        <w:kinsoku w:val="0"/>
        <w:autoSpaceDE w:val="0"/>
        <w:autoSpaceDN w:val="0"/>
        <w:adjustRightInd w:val="0"/>
        <w:snapToGrid w:val="0"/>
        <w:spacing w:line="360" w:lineRule="auto"/>
        <w:ind w:left="1058" w:leftChars="300" w:hanging="428" w:hangingChars="204"/>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12)</w:t>
      </w:r>
      <w:r>
        <w:rPr>
          <w:rFonts w:hint="eastAsia" w:asciiTheme="minorEastAsia" w:hAnsiTheme="minorEastAsia" w:cstheme="minorEastAsia"/>
          <w:snapToGrid w:val="0"/>
          <w:color w:val="000000"/>
          <w:kern w:val="0"/>
          <w:szCs w:val="21"/>
        </w:rPr>
        <w:t xml:space="preserve"> 噪声：在水轮发电机盖板外缘上方垂直距离1m处，水轮发电机噪声(声压级)不宜超过80dB(A)。</w:t>
      </w:r>
    </w:p>
    <w:p>
      <w:pPr>
        <w:widowControl/>
        <w:kinsoku w:val="0"/>
        <w:autoSpaceDE w:val="0"/>
        <w:autoSpaceDN w:val="0"/>
        <w:adjustRightInd w:val="0"/>
        <w:snapToGrid w:val="0"/>
        <w:spacing w:line="360" w:lineRule="auto"/>
        <w:ind w:left="1058" w:leftChars="300" w:hanging="428" w:hangingChars="204"/>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13)</w:t>
      </w:r>
      <w:r>
        <w:rPr>
          <w:rFonts w:hint="eastAsia" w:asciiTheme="minorEastAsia" w:hAnsiTheme="minorEastAsia" w:cstheme="minorEastAsia"/>
          <w:snapToGrid w:val="0"/>
          <w:color w:val="000000"/>
          <w:kern w:val="0"/>
          <w:szCs w:val="21"/>
        </w:rPr>
        <w:t xml:space="preserve"> 定子铁心磁化试验、绕组电抗和时间参数、气隙、三相突然短路试验、效率和损耗：应符合设计要求。</w:t>
      </w:r>
    </w:p>
    <w:p>
      <w:pPr>
        <w:widowControl/>
        <w:kinsoku w:val="0"/>
        <w:autoSpaceDE w:val="0"/>
        <w:autoSpaceDN w:val="0"/>
        <w:adjustRightInd w:val="0"/>
        <w:snapToGrid w:val="0"/>
        <w:spacing w:line="360" w:lineRule="auto"/>
        <w:ind w:left="1058" w:leftChars="300" w:hanging="428" w:hangingChars="204"/>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14) </w:t>
      </w:r>
      <w:r>
        <w:rPr>
          <w:rFonts w:hint="eastAsia" w:asciiTheme="minorEastAsia" w:hAnsiTheme="minorEastAsia" w:cstheme="minorEastAsia"/>
          <w:snapToGrid w:val="0"/>
          <w:color w:val="000000"/>
          <w:kern w:val="0"/>
          <w:szCs w:val="21"/>
        </w:rPr>
        <w:t>轴电压：应在2V以下。</w:t>
      </w:r>
    </w:p>
    <w:p>
      <w:pPr>
        <w:widowControl/>
        <w:kinsoku w:val="0"/>
        <w:autoSpaceDE w:val="0"/>
        <w:autoSpaceDN w:val="0"/>
        <w:adjustRightInd w:val="0"/>
        <w:snapToGrid w:val="0"/>
        <w:spacing w:line="360" w:lineRule="auto"/>
        <w:ind w:left="1058" w:leftChars="300" w:hanging="428" w:hangingChars="204"/>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15)</w:t>
      </w:r>
      <w:r>
        <w:rPr>
          <w:rFonts w:hint="eastAsia" w:asciiTheme="minorEastAsia" w:hAnsiTheme="minorEastAsia" w:cstheme="minorEastAsia"/>
          <w:snapToGrid w:val="0"/>
          <w:color w:val="000000"/>
          <w:kern w:val="0"/>
          <w:szCs w:val="21"/>
        </w:rPr>
        <w:t xml:space="preserve"> 短时升高电压试验：试验应对电机无损害。</w:t>
      </w:r>
    </w:p>
    <w:p>
      <w:pPr>
        <w:widowControl/>
        <w:kinsoku w:val="0"/>
        <w:autoSpaceDE w:val="0"/>
        <w:autoSpaceDN w:val="0"/>
        <w:adjustRightInd w:val="0"/>
        <w:snapToGrid w:val="0"/>
        <w:spacing w:line="360" w:lineRule="auto"/>
        <w:ind w:left="1058" w:leftChars="300" w:hanging="428" w:hangingChars="204"/>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16)</w:t>
      </w:r>
      <w:r>
        <w:rPr>
          <w:rFonts w:hint="eastAsia" w:asciiTheme="minorEastAsia" w:hAnsiTheme="minorEastAsia" w:cstheme="minorEastAsia"/>
          <w:snapToGrid w:val="0"/>
          <w:color w:val="000000"/>
          <w:kern w:val="0"/>
          <w:szCs w:val="21"/>
        </w:rPr>
        <w:t xml:space="preserve"> 空载特性和三相稳态短路特性：应符合附录</w:t>
      </w:r>
      <w:r>
        <w:rPr>
          <w:rFonts w:hint="eastAsia" w:ascii="宋体" w:hAnsi="宋体" w:eastAsia="宋体" w:cstheme="minorEastAsia"/>
          <w:snapToGrid w:val="0"/>
          <w:color w:val="000000"/>
          <w:kern w:val="0"/>
          <w:szCs w:val="21"/>
        </w:rPr>
        <w:t>H</w:t>
      </w:r>
      <w:r>
        <w:rPr>
          <w:rFonts w:hint="eastAsia" w:asciiTheme="minorEastAsia" w:hAnsiTheme="minorEastAsia" w:cstheme="minorEastAsia"/>
          <w:snapToGrid w:val="0"/>
          <w:color w:val="000000"/>
          <w:kern w:val="0"/>
          <w:szCs w:val="21"/>
        </w:rPr>
        <w:t>.1.4的要求。</w:t>
      </w:r>
    </w:p>
    <w:p>
      <w:pPr>
        <w:widowControl/>
        <w:kinsoku w:val="0"/>
        <w:autoSpaceDE w:val="0"/>
        <w:autoSpaceDN w:val="0"/>
        <w:adjustRightInd w:val="0"/>
        <w:snapToGrid w:val="0"/>
        <w:spacing w:line="360" w:lineRule="auto"/>
        <w:ind w:firstLine="420" w:firstLineChars="200"/>
        <w:jc w:val="left"/>
        <w:textAlignment w:val="baseline"/>
        <w:rPr>
          <w:rFonts w:hint="eastAsia" w:asciiTheme="minorEastAsia" w:hAnsiTheme="minorEastAsia" w:cstheme="minorEastAsia"/>
          <w:snapToGrid w:val="0"/>
          <w:color w:val="000000"/>
          <w:kern w:val="0"/>
          <w:position w:val="-2"/>
          <w:szCs w:val="21"/>
        </w:rPr>
      </w:pPr>
      <w:r>
        <w:rPr>
          <w:rFonts w:hint="eastAsia" w:ascii="黑体" w:hAnsi="黑体" w:eastAsia="黑体" w:cs="黑体"/>
          <w:snapToGrid w:val="0"/>
          <w:color w:val="000000"/>
          <w:kern w:val="0"/>
          <w:szCs w:val="21"/>
        </w:rPr>
        <w:t>2</w:t>
      </w:r>
      <w:r>
        <w:rPr>
          <w:rFonts w:hint="eastAsia" w:asciiTheme="minorEastAsia" w:hAnsiTheme="minorEastAsia" w:cstheme="minorEastAsia"/>
          <w:snapToGrid w:val="0"/>
          <w:color w:val="000000"/>
          <w:kern w:val="0"/>
          <w:position w:val="-2"/>
          <w:szCs w:val="21"/>
        </w:rPr>
        <w:t xml:space="preserve">  </w:t>
      </w:r>
      <w:r>
        <w:rPr>
          <w:rFonts w:hint="eastAsia" w:asciiTheme="minorEastAsia" w:hAnsiTheme="minorEastAsia" w:cstheme="minorEastAsia"/>
          <w:snapToGrid w:val="0"/>
          <w:color w:val="000000"/>
          <w:kern w:val="0"/>
          <w:szCs w:val="21"/>
        </w:rPr>
        <w:t>主电动机</w:t>
      </w:r>
    </w:p>
    <w:p>
      <w:pPr>
        <w:widowControl/>
        <w:kinsoku w:val="0"/>
        <w:autoSpaceDE w:val="0"/>
        <w:autoSpaceDN w:val="0"/>
        <w:adjustRightInd w:val="0"/>
        <w:snapToGrid w:val="0"/>
        <w:spacing w:line="360" w:lineRule="auto"/>
        <w:ind w:left="630" w:leftChars="300"/>
        <w:jc w:val="left"/>
        <w:textAlignment w:val="baseline"/>
        <w:rPr>
          <w:rFonts w:hint="eastAsia" w:asciiTheme="minorEastAsia" w:hAnsiTheme="minorEastAsia" w:cstheme="minorEastAsia"/>
          <w:snapToGrid w:val="0"/>
          <w:color w:val="000000"/>
          <w:kern w:val="0"/>
          <w:position w:val="1"/>
          <w:szCs w:val="21"/>
        </w:rPr>
      </w:pPr>
      <w:r>
        <w:rPr>
          <w:rFonts w:hint="eastAsia" w:ascii="黑体" w:hAnsi="黑体" w:eastAsia="黑体" w:cs="黑体"/>
          <w:snapToGrid w:val="0"/>
          <w:color w:val="000000"/>
          <w:kern w:val="0"/>
          <w:szCs w:val="21"/>
        </w:rPr>
        <w:t xml:space="preserve">1) </w:t>
      </w:r>
      <w:r>
        <w:rPr>
          <w:rFonts w:hint="eastAsia" w:asciiTheme="minorEastAsia" w:hAnsiTheme="minorEastAsia" w:cstheme="minorEastAsia"/>
          <w:snapToGrid w:val="0"/>
          <w:color w:val="000000"/>
          <w:kern w:val="0"/>
          <w:szCs w:val="21"/>
        </w:rPr>
        <w:t xml:space="preserve"> 振动</w:t>
      </w:r>
      <w:r>
        <w:rPr>
          <w:rFonts w:hint="eastAsia" w:asciiTheme="minorEastAsia" w:hAnsiTheme="minorEastAsia" w:cstheme="minorEastAsia"/>
          <w:snapToGrid w:val="0"/>
          <w:color w:val="000000"/>
          <w:kern w:val="0"/>
          <w:position w:val="1"/>
          <w:szCs w:val="21"/>
        </w:rPr>
        <w:t>：应符合附录</w:t>
      </w:r>
      <w:r>
        <w:rPr>
          <w:rFonts w:hint="eastAsia" w:ascii="宋体" w:hAnsi="宋体" w:eastAsia="宋体" w:cstheme="minorEastAsia"/>
          <w:snapToGrid w:val="0"/>
          <w:color w:val="000000"/>
          <w:kern w:val="0"/>
          <w:szCs w:val="21"/>
        </w:rPr>
        <w:t>H</w:t>
      </w:r>
      <w:r>
        <w:rPr>
          <w:rFonts w:hint="eastAsia" w:asciiTheme="minorEastAsia" w:hAnsiTheme="minorEastAsia" w:cstheme="minorEastAsia"/>
          <w:snapToGrid w:val="0"/>
          <w:color w:val="000000"/>
          <w:kern w:val="0"/>
          <w:position w:val="1"/>
          <w:szCs w:val="21"/>
        </w:rPr>
        <w:t>.2.1的要求。</w:t>
      </w:r>
    </w:p>
    <w:p>
      <w:pPr>
        <w:widowControl/>
        <w:kinsoku w:val="0"/>
        <w:autoSpaceDE w:val="0"/>
        <w:autoSpaceDN w:val="0"/>
        <w:adjustRightInd w:val="0"/>
        <w:snapToGrid w:val="0"/>
        <w:spacing w:line="360" w:lineRule="auto"/>
        <w:ind w:left="1050" w:leftChars="300" w:hanging="420" w:hangingChars="200"/>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2) </w:t>
      </w:r>
      <w:r>
        <w:rPr>
          <w:rFonts w:hint="eastAsia" w:asciiTheme="minorEastAsia" w:hAnsiTheme="minorEastAsia" w:cstheme="minorEastAsia"/>
          <w:snapToGrid w:val="0"/>
          <w:color w:val="000000"/>
          <w:kern w:val="0"/>
          <w:szCs w:val="21"/>
        </w:rPr>
        <w:t xml:space="preserve"> 机械部分其他检测项目：应符合SL 317的规定，且满足泵站设计要求和合同文件规定的技术要求。</w:t>
      </w:r>
    </w:p>
    <w:p>
      <w:pPr>
        <w:widowControl/>
        <w:kinsoku w:val="0"/>
        <w:autoSpaceDE w:val="0"/>
        <w:autoSpaceDN w:val="0"/>
        <w:adjustRightInd w:val="0"/>
        <w:snapToGrid w:val="0"/>
        <w:spacing w:line="360" w:lineRule="auto"/>
        <w:ind w:left="630" w:leftChars="300"/>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3) </w:t>
      </w:r>
      <w:r>
        <w:rPr>
          <w:rFonts w:hint="eastAsia" w:asciiTheme="minorEastAsia" w:hAnsiTheme="minorEastAsia" w:cstheme="minorEastAsia"/>
          <w:snapToGrid w:val="0"/>
          <w:color w:val="000000"/>
          <w:kern w:val="0"/>
          <w:szCs w:val="21"/>
        </w:rPr>
        <w:t xml:space="preserve"> 电气部分检测项目：应符合附录</w:t>
      </w:r>
      <w:r>
        <w:rPr>
          <w:rFonts w:hint="eastAsia" w:ascii="宋体" w:hAnsi="宋体" w:eastAsia="宋体" w:cstheme="minorEastAsia"/>
          <w:snapToGrid w:val="0"/>
          <w:color w:val="000000"/>
          <w:kern w:val="0"/>
          <w:szCs w:val="21"/>
        </w:rPr>
        <w:t>H</w:t>
      </w:r>
      <w:r>
        <w:rPr>
          <w:rFonts w:hint="eastAsia" w:asciiTheme="minorEastAsia" w:hAnsiTheme="minorEastAsia" w:cstheme="minorEastAsia"/>
          <w:snapToGrid w:val="0"/>
          <w:color w:val="000000"/>
          <w:kern w:val="0"/>
          <w:szCs w:val="21"/>
        </w:rPr>
        <w:t>.2.3、</w:t>
      </w:r>
      <w:r>
        <w:rPr>
          <w:rFonts w:hint="eastAsia" w:ascii="宋体" w:hAnsi="宋体" w:eastAsia="宋体" w:cstheme="minorEastAsia"/>
          <w:snapToGrid w:val="0"/>
          <w:color w:val="000000"/>
          <w:kern w:val="0"/>
          <w:szCs w:val="21"/>
        </w:rPr>
        <w:t>H</w:t>
      </w:r>
      <w:r>
        <w:rPr>
          <w:rFonts w:hint="eastAsia" w:asciiTheme="minorEastAsia" w:hAnsiTheme="minorEastAsia" w:cstheme="minorEastAsia"/>
          <w:snapToGrid w:val="0"/>
          <w:color w:val="000000"/>
          <w:kern w:val="0"/>
          <w:szCs w:val="21"/>
        </w:rPr>
        <w:t>2.2.4的要求。</w:t>
      </w:r>
    </w:p>
    <w:p>
      <w:pPr>
        <w:widowControl/>
        <w:kinsoku w:val="0"/>
        <w:autoSpaceDE w:val="0"/>
        <w:autoSpaceDN w:val="0"/>
        <w:adjustRightInd w:val="0"/>
        <w:snapToGrid w:val="0"/>
        <w:spacing w:line="360" w:lineRule="auto"/>
        <w:ind w:firstLine="420" w:firstLineChars="200"/>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3 </w:t>
      </w:r>
      <w:r>
        <w:rPr>
          <w:rFonts w:hint="eastAsia" w:asciiTheme="minorEastAsia" w:hAnsiTheme="minorEastAsia" w:cstheme="minorEastAsia"/>
          <w:snapToGrid w:val="0"/>
          <w:color w:val="000000"/>
          <w:kern w:val="0"/>
          <w:szCs w:val="21"/>
        </w:rPr>
        <w:t xml:space="preserve">  励磁系统：应符合DL/T 583的规定。</w:t>
      </w:r>
    </w:p>
    <w:p>
      <w:pPr>
        <w:pStyle w:val="3"/>
        <w:snapToGrid w:val="0"/>
        <w:spacing w:beforeLines="50" w:afterLines="50"/>
        <w:jc w:val="center"/>
        <w:rPr>
          <w:rFonts w:ascii="黑体" w:hAnsi="黑体" w:cs="黑体"/>
          <w:sz w:val="24"/>
          <w:szCs w:val="24"/>
        </w:rPr>
      </w:pPr>
      <w:bookmarkStart w:id="146" w:name="_Toc19359"/>
      <w:r>
        <w:rPr>
          <w:rFonts w:ascii="黑体" w:hAnsi="黑体" w:cs="黑体"/>
          <w:sz w:val="24"/>
          <w:szCs w:val="24"/>
        </w:rPr>
        <w:t>8.4  高压电气设备</w:t>
      </w:r>
      <w:bookmarkEnd w:id="146"/>
    </w:p>
    <w:p>
      <w:pPr>
        <w:widowControl/>
        <w:kinsoku w:val="0"/>
        <w:autoSpaceDE w:val="0"/>
        <w:autoSpaceDN w:val="0"/>
        <w:adjustRightInd w:val="0"/>
        <w:snapToGrid w:val="0"/>
        <w:spacing w:line="360" w:lineRule="auto"/>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8.4.1 </w:t>
      </w:r>
      <w:r>
        <w:rPr>
          <w:rFonts w:hint="eastAsia" w:asciiTheme="minorEastAsia" w:hAnsiTheme="minorEastAsia" w:cstheme="minorEastAsia"/>
          <w:snapToGrid w:val="0"/>
          <w:color w:val="000000"/>
          <w:kern w:val="0"/>
          <w:szCs w:val="21"/>
        </w:rPr>
        <w:t xml:space="preserve"> 检测项目宜包括下列内容：</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1 </w:t>
      </w:r>
      <w:r>
        <w:rPr>
          <w:rFonts w:hint="eastAsia" w:asciiTheme="minorEastAsia" w:hAnsiTheme="minorEastAsia" w:cstheme="minorEastAsia"/>
          <w:snapToGrid w:val="0"/>
          <w:color w:val="000000"/>
          <w:kern w:val="0"/>
          <w:szCs w:val="21"/>
        </w:rPr>
        <w:t xml:space="preserve"> 电站高压电气设备：</w:t>
      </w:r>
    </w:p>
    <w:p>
      <w:pPr>
        <w:widowControl/>
        <w:kinsoku w:val="0"/>
        <w:autoSpaceDE w:val="0"/>
        <w:autoSpaceDN w:val="0"/>
        <w:adjustRightInd w:val="0"/>
        <w:snapToGrid w:val="0"/>
        <w:spacing w:line="360" w:lineRule="auto"/>
        <w:ind w:left="1050" w:leftChars="300" w:hanging="420" w:hanging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1)</w:t>
      </w:r>
      <w:r>
        <w:rPr>
          <w:rFonts w:hint="eastAsia" w:asciiTheme="minorEastAsia" w:hAnsiTheme="minorEastAsia" w:cstheme="minorEastAsia"/>
          <w:snapToGrid w:val="0"/>
          <w:color w:val="000000"/>
          <w:kern w:val="0"/>
          <w:szCs w:val="21"/>
        </w:rPr>
        <w:t xml:space="preserve">  电力变压器：绕组连同套管的直流电阻、绝缘电阻、吸收比或极化指数、交流耐压、变比及组别测量、介质损耗因数、有载调压切换装置的检查和试验、冲击合闸试验、相位、绝缘油试验或SF6气体试验。</w:t>
      </w:r>
    </w:p>
    <w:p>
      <w:pPr>
        <w:widowControl/>
        <w:kinsoku w:val="0"/>
        <w:autoSpaceDE w:val="0"/>
        <w:autoSpaceDN w:val="0"/>
        <w:adjustRightInd w:val="0"/>
        <w:snapToGrid w:val="0"/>
        <w:spacing w:line="360" w:lineRule="auto"/>
        <w:ind w:left="1050" w:leftChars="300" w:hanging="420" w:hanging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2)</w:t>
      </w:r>
      <w:r>
        <w:rPr>
          <w:rFonts w:hint="eastAsia" w:asciiTheme="minorEastAsia" w:hAnsiTheme="minorEastAsia" w:cstheme="minorEastAsia"/>
          <w:snapToGrid w:val="0"/>
          <w:color w:val="000000"/>
          <w:kern w:val="0"/>
          <w:szCs w:val="21"/>
        </w:rPr>
        <w:t xml:space="preserve">  真空断路器：绝缘电阻、每相导电回路的电阻、交流耐压、断路器的分合闸时间、分合闸的同期性、合闸时触头的弹跳时间、分合闸线圈及合闸接触器线圈的绝缘电阻和直流电阻、断路器操动机构试验。</w:t>
      </w:r>
    </w:p>
    <w:p>
      <w:pPr>
        <w:widowControl/>
        <w:kinsoku w:val="0"/>
        <w:autoSpaceDE w:val="0"/>
        <w:autoSpaceDN w:val="0"/>
        <w:adjustRightInd w:val="0"/>
        <w:snapToGrid w:val="0"/>
        <w:spacing w:line="360" w:lineRule="auto"/>
        <w:ind w:left="1050" w:leftChars="300" w:hanging="420" w:hanging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3)</w:t>
      </w:r>
      <w:r>
        <w:rPr>
          <w:rFonts w:hint="eastAsia" w:asciiTheme="minorEastAsia" w:hAnsiTheme="minorEastAsia" w:cstheme="minorEastAsia"/>
          <w:snapToGrid w:val="0"/>
          <w:color w:val="000000"/>
          <w:kern w:val="0"/>
          <w:szCs w:val="21"/>
        </w:rPr>
        <w:t xml:space="preserve">  六氟化硫断路器：绝缘电阻、每相导电回路的电阻、交流耐压、断路器均压电容器试验、断路器的分合闸时间和速度、断路器主、辅触头分合闸的同期性及配合时间、断路器合闸电阻的投入时间及电阻值、断路器分合闸线圈绝缘电阻及直流电阻、断路器操动机构试验、套管式电流互感器试验、断路器内六氟化硫气体的含水量、密封性试验、气体密度继电器、压力表和压力动作阀的检查。</w:t>
      </w:r>
    </w:p>
    <w:p>
      <w:pPr>
        <w:widowControl/>
        <w:kinsoku w:val="0"/>
        <w:autoSpaceDE w:val="0"/>
        <w:autoSpaceDN w:val="0"/>
        <w:adjustRightInd w:val="0"/>
        <w:snapToGrid w:val="0"/>
        <w:spacing w:line="360" w:lineRule="auto"/>
        <w:ind w:left="1050" w:leftChars="300" w:hanging="420" w:hanging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4) </w:t>
      </w:r>
      <w:r>
        <w:rPr>
          <w:rFonts w:hint="eastAsia" w:asciiTheme="minorEastAsia" w:hAnsiTheme="minorEastAsia" w:cstheme="minorEastAsia"/>
          <w:snapToGrid w:val="0"/>
          <w:color w:val="000000"/>
          <w:kern w:val="0"/>
          <w:szCs w:val="21"/>
        </w:rPr>
        <w:t xml:space="preserve"> 互感器：绕组的绝缘电阻、35kV及以上电压等级互感器的介质损耗因数（tanδ）、局部放电、交流耐压、绝缘介质性能、绕组的直流电阻、接线组别和极性、误差及变比、电流互感器的励磁特性曲线、电磁式电压互感器的励磁特性、电容式电压互感器(CVT)、密封性能。</w:t>
      </w:r>
    </w:p>
    <w:p>
      <w:pPr>
        <w:widowControl/>
        <w:kinsoku w:val="0"/>
        <w:autoSpaceDE w:val="0"/>
        <w:autoSpaceDN w:val="0"/>
        <w:adjustRightInd w:val="0"/>
        <w:snapToGrid w:val="0"/>
        <w:spacing w:line="360" w:lineRule="auto"/>
        <w:ind w:left="1050" w:leftChars="300" w:hanging="420" w:hanging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5)  </w:t>
      </w:r>
      <w:r>
        <w:rPr>
          <w:rFonts w:hint="eastAsia" w:asciiTheme="minorEastAsia" w:hAnsiTheme="minorEastAsia" w:cstheme="minorEastAsia"/>
          <w:snapToGrid w:val="0"/>
          <w:color w:val="000000"/>
          <w:kern w:val="0"/>
          <w:szCs w:val="21"/>
        </w:rPr>
        <w:t>气体绝缘开关设备：主回路的导电电阻、主回路的交流耐压、密封性、六氟化硫气体含水量、封闭式组合电器内各元件、组合电器的操动、气体密度继电器、压力表和压力动作阀的检查。</w:t>
      </w:r>
    </w:p>
    <w:p>
      <w:pPr>
        <w:widowControl/>
        <w:kinsoku w:val="0"/>
        <w:autoSpaceDE w:val="0"/>
        <w:autoSpaceDN w:val="0"/>
        <w:adjustRightInd w:val="0"/>
        <w:snapToGrid w:val="0"/>
        <w:spacing w:line="360" w:lineRule="auto"/>
        <w:ind w:left="1050" w:leftChars="300" w:hanging="420" w:hanging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6)  </w:t>
      </w:r>
      <w:r>
        <w:rPr>
          <w:rFonts w:hint="eastAsia" w:asciiTheme="minorEastAsia" w:hAnsiTheme="minorEastAsia" w:cstheme="minorEastAsia"/>
          <w:snapToGrid w:val="0"/>
          <w:color w:val="000000"/>
          <w:kern w:val="0"/>
          <w:szCs w:val="21"/>
        </w:rPr>
        <w:t>隔离开关、负荷开关及高压熔断器：绝缘电阻、高压限流熔丝管熔丝的直流电阻、负荷开关导电回路的电阻、交流耐压、操动机构线圈的最低动作电压、操动机构试验。</w:t>
      </w:r>
    </w:p>
    <w:p>
      <w:pPr>
        <w:widowControl/>
        <w:kinsoku w:val="0"/>
        <w:autoSpaceDE w:val="0"/>
        <w:autoSpaceDN w:val="0"/>
        <w:adjustRightInd w:val="0"/>
        <w:snapToGrid w:val="0"/>
        <w:spacing w:line="360" w:lineRule="auto"/>
        <w:ind w:left="1050" w:leftChars="300" w:hanging="420" w:hanging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7)  </w:t>
      </w:r>
      <w:r>
        <w:rPr>
          <w:rFonts w:hint="eastAsia" w:asciiTheme="minorEastAsia" w:hAnsiTheme="minorEastAsia" w:cstheme="minorEastAsia"/>
          <w:snapToGrid w:val="0"/>
          <w:color w:val="000000"/>
          <w:kern w:val="0"/>
          <w:szCs w:val="21"/>
        </w:rPr>
        <w:t>套管：绝缘电阻、20kV及以上非纯瓷套管的介质损耗因数（tanδ）和电容值、交流耐压、绝缘油、六氟化硫套管气体。</w:t>
      </w:r>
    </w:p>
    <w:p>
      <w:pPr>
        <w:widowControl/>
        <w:kinsoku w:val="0"/>
        <w:autoSpaceDE w:val="0"/>
        <w:autoSpaceDN w:val="0"/>
        <w:adjustRightInd w:val="0"/>
        <w:snapToGrid w:val="0"/>
        <w:spacing w:line="360" w:lineRule="auto"/>
        <w:ind w:left="630" w:leftChars="3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8)  </w:t>
      </w:r>
      <w:r>
        <w:rPr>
          <w:rFonts w:hint="eastAsia" w:asciiTheme="minorEastAsia" w:hAnsiTheme="minorEastAsia" w:cstheme="minorEastAsia"/>
          <w:snapToGrid w:val="0"/>
          <w:color w:val="000000"/>
          <w:kern w:val="0"/>
          <w:szCs w:val="21"/>
        </w:rPr>
        <w:t>悬式绝缘子和支柱绝缘子：绝缘电阻、交流耐压。</w:t>
      </w:r>
    </w:p>
    <w:p>
      <w:pPr>
        <w:widowControl/>
        <w:kinsoku w:val="0"/>
        <w:autoSpaceDE w:val="0"/>
        <w:autoSpaceDN w:val="0"/>
        <w:adjustRightInd w:val="0"/>
        <w:snapToGrid w:val="0"/>
        <w:spacing w:line="360" w:lineRule="auto"/>
        <w:ind w:left="1050" w:leftChars="300" w:hanging="420" w:hanging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9)</w:t>
      </w:r>
      <w:r>
        <w:rPr>
          <w:rFonts w:hint="eastAsia" w:asciiTheme="minorEastAsia" w:hAnsiTheme="minorEastAsia" w:cstheme="minorEastAsia"/>
          <w:snapToGrid w:val="0"/>
          <w:color w:val="000000"/>
          <w:kern w:val="0"/>
          <w:szCs w:val="21"/>
        </w:rPr>
        <w:t xml:space="preserve">  电力电缆线路：绝缘电阻、直流耐压试验及泄漏电流测量、交流耐压、金属屏蔽层电阻和导体电阻比、电缆线路两端的相位、充油电缆的绝缘油、交叉互联系统试验。</w:t>
      </w:r>
    </w:p>
    <w:p>
      <w:pPr>
        <w:widowControl/>
        <w:kinsoku w:val="0"/>
        <w:autoSpaceDE w:val="0"/>
        <w:autoSpaceDN w:val="0"/>
        <w:adjustRightInd w:val="0"/>
        <w:snapToGrid w:val="0"/>
        <w:spacing w:line="360" w:lineRule="auto"/>
        <w:ind w:left="1050" w:leftChars="300" w:hanging="420" w:hanging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10) </w:t>
      </w:r>
      <w:r>
        <w:rPr>
          <w:rFonts w:hint="eastAsia" w:asciiTheme="minorEastAsia" w:hAnsiTheme="minorEastAsia" w:cstheme="minorEastAsia"/>
          <w:snapToGrid w:val="0"/>
          <w:color w:val="000000"/>
          <w:kern w:val="0"/>
          <w:szCs w:val="21"/>
        </w:rPr>
        <w:t>电容器：绝缘电阻、耦合电容器、断路器电容器的介质损耗因数（tanδ）及电容值、耦合电容器的局部放电、并联电容器交流耐压、冲击合闸试验。</w:t>
      </w:r>
    </w:p>
    <w:p>
      <w:pPr>
        <w:widowControl/>
        <w:kinsoku w:val="0"/>
        <w:autoSpaceDE w:val="0"/>
        <w:autoSpaceDN w:val="0"/>
        <w:adjustRightInd w:val="0"/>
        <w:snapToGrid w:val="0"/>
        <w:spacing w:line="360" w:lineRule="auto"/>
        <w:ind w:left="1050" w:leftChars="300" w:hanging="420" w:hanging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11)</w:t>
      </w:r>
      <w:r>
        <w:rPr>
          <w:rFonts w:hint="eastAsia" w:asciiTheme="minorEastAsia" w:hAnsiTheme="minorEastAsia" w:cstheme="minorEastAsia"/>
          <w:snapToGrid w:val="0"/>
          <w:color w:val="000000"/>
          <w:kern w:val="0"/>
          <w:szCs w:val="21"/>
        </w:rPr>
        <w:t xml:space="preserve"> 绝缘油和六氟化硫气体：水溶性酸、酸值、闪点（闭口）、水分、界面张力、介质损耗因数（tanδ）、击穿电压、体积电阻率、油中含气量、油泥与沉淀物、油中溶解气体组分含量色谱分析；SF6气体纯度、湿度、气体泄漏。</w:t>
      </w:r>
    </w:p>
    <w:p>
      <w:pPr>
        <w:widowControl/>
        <w:kinsoku w:val="0"/>
        <w:autoSpaceDE w:val="0"/>
        <w:autoSpaceDN w:val="0"/>
        <w:adjustRightInd w:val="0"/>
        <w:snapToGrid w:val="0"/>
        <w:spacing w:line="360" w:lineRule="auto"/>
        <w:ind w:left="1050" w:leftChars="300" w:hanging="420" w:hanging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12) </w:t>
      </w:r>
      <w:r>
        <w:rPr>
          <w:rFonts w:hint="eastAsia" w:asciiTheme="minorEastAsia" w:hAnsiTheme="minorEastAsia" w:cstheme="minorEastAsia"/>
          <w:snapToGrid w:val="0"/>
          <w:color w:val="000000"/>
          <w:kern w:val="0"/>
          <w:szCs w:val="21"/>
        </w:rPr>
        <w:t>避雷器：金属氧化物避雷器及基座绝缘电阻、金属氧化物避雷器的工频参考电压和持续电流、金属氧化物避雷器直流参考电压和0.75倍直流参考电压下的泄漏电流、放电记数器动作情况及监视电流表指示、工频放电电压。</w:t>
      </w:r>
    </w:p>
    <w:p>
      <w:pPr>
        <w:widowControl/>
        <w:kinsoku w:val="0"/>
        <w:autoSpaceDE w:val="0"/>
        <w:autoSpaceDN w:val="0"/>
        <w:adjustRightInd w:val="0"/>
        <w:snapToGrid w:val="0"/>
        <w:spacing w:line="360" w:lineRule="auto"/>
        <w:ind w:left="630" w:leftChars="3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13) </w:t>
      </w:r>
      <w:r>
        <w:rPr>
          <w:rFonts w:hint="eastAsia" w:asciiTheme="minorEastAsia" w:hAnsiTheme="minorEastAsia" w:cstheme="minorEastAsia"/>
          <w:snapToGrid w:val="0"/>
          <w:color w:val="000000"/>
          <w:kern w:val="0"/>
          <w:szCs w:val="21"/>
        </w:rPr>
        <w:t>接地装置：接地网电气完整性、接地阻抗。</w:t>
      </w:r>
    </w:p>
    <w:p>
      <w:pPr>
        <w:spacing w:line="360" w:lineRule="auto"/>
        <w:ind w:left="630" w:leftChars="300"/>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14)</w:t>
      </w:r>
      <w:r>
        <w:rPr>
          <w:rFonts w:hint="eastAsia" w:asciiTheme="minorEastAsia" w:hAnsiTheme="minorEastAsia" w:cstheme="minorEastAsia"/>
          <w:snapToGrid w:val="0"/>
          <w:color w:val="000000"/>
          <w:kern w:val="0"/>
          <w:szCs w:val="21"/>
        </w:rPr>
        <w:t xml:space="preserve"> 爬电距离和电气间隙。</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2  </w:t>
      </w:r>
      <w:r>
        <w:rPr>
          <w:rFonts w:hint="eastAsia" w:asciiTheme="minorEastAsia" w:hAnsiTheme="minorEastAsia" w:cstheme="minorEastAsia"/>
          <w:snapToGrid w:val="0"/>
          <w:color w:val="000000"/>
          <w:kern w:val="0"/>
          <w:szCs w:val="21"/>
        </w:rPr>
        <w:t>泵站电气设备：</w:t>
      </w:r>
    </w:p>
    <w:p>
      <w:pPr>
        <w:widowControl/>
        <w:kinsoku w:val="0"/>
        <w:autoSpaceDE w:val="0"/>
        <w:autoSpaceDN w:val="0"/>
        <w:adjustRightInd w:val="0"/>
        <w:snapToGrid w:val="0"/>
        <w:spacing w:line="360" w:lineRule="auto"/>
        <w:ind w:left="1050" w:leftChars="300" w:hanging="420" w:hanging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1）</w:t>
      </w:r>
      <w:r>
        <w:rPr>
          <w:rFonts w:hint="eastAsia" w:asciiTheme="minorEastAsia" w:hAnsiTheme="minorEastAsia" w:cstheme="minorEastAsia"/>
          <w:snapToGrid w:val="0"/>
          <w:color w:val="000000"/>
          <w:kern w:val="0"/>
          <w:szCs w:val="21"/>
        </w:rPr>
        <w:t>电力变压器：绕组连同套管的直流电阻、绕组连同套管的绝缘电阻和吸收比或极化指数、绕组连同套管的介质损耗因数tanδ、绕组连同套管的直流泄漏电流、绕组连同套管的交流耐压、所有分接头的变压比、绝缘油击穿电压。</w:t>
      </w:r>
    </w:p>
    <w:p>
      <w:pPr>
        <w:widowControl/>
        <w:kinsoku w:val="0"/>
        <w:autoSpaceDE w:val="0"/>
        <w:autoSpaceDN w:val="0"/>
        <w:adjustRightInd w:val="0"/>
        <w:snapToGrid w:val="0"/>
        <w:spacing w:line="360" w:lineRule="auto"/>
        <w:ind w:left="1050" w:leftChars="300" w:hanging="420" w:hanging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2）</w:t>
      </w:r>
      <w:r>
        <w:rPr>
          <w:rFonts w:hint="eastAsia" w:asciiTheme="minorEastAsia" w:hAnsiTheme="minorEastAsia" w:cstheme="minorEastAsia"/>
          <w:snapToGrid w:val="0"/>
          <w:color w:val="000000"/>
          <w:kern w:val="0"/>
          <w:szCs w:val="21"/>
        </w:rPr>
        <w:t xml:space="preserve"> 高压开关设备：绝缘电阻、开关导电回路的电阻、交流耐压。</w:t>
      </w:r>
    </w:p>
    <w:p>
      <w:pPr>
        <w:widowControl/>
        <w:kinsoku w:val="0"/>
        <w:autoSpaceDE w:val="0"/>
        <w:autoSpaceDN w:val="0"/>
        <w:adjustRightInd w:val="0"/>
        <w:snapToGrid w:val="0"/>
        <w:spacing w:line="360" w:lineRule="auto"/>
        <w:ind w:left="1050" w:leftChars="300" w:hanging="420" w:hanging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3）</w:t>
      </w:r>
      <w:r>
        <w:rPr>
          <w:rFonts w:hint="eastAsia" w:asciiTheme="minorEastAsia" w:hAnsiTheme="minorEastAsia" w:cstheme="minorEastAsia"/>
          <w:snapToGrid w:val="0"/>
          <w:color w:val="000000"/>
          <w:kern w:val="0"/>
          <w:szCs w:val="21"/>
        </w:rPr>
        <w:t xml:space="preserve"> 低压电器：低压电器连同所连接电缆及二次回路的绝缘电阻、阻器和变阻器的直流电阻、低压电器连同所连接电缆及二次回路的交流耐压。</w:t>
      </w:r>
    </w:p>
    <w:p>
      <w:pPr>
        <w:widowControl/>
        <w:kinsoku w:val="0"/>
        <w:autoSpaceDE w:val="0"/>
        <w:autoSpaceDN w:val="0"/>
        <w:adjustRightInd w:val="0"/>
        <w:snapToGrid w:val="0"/>
        <w:spacing w:line="360" w:lineRule="auto"/>
        <w:ind w:left="1050" w:leftChars="300" w:hanging="420" w:hanging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4）</w:t>
      </w:r>
      <w:r>
        <w:rPr>
          <w:rFonts w:hint="eastAsia" w:asciiTheme="minorEastAsia" w:hAnsiTheme="minorEastAsia" w:cstheme="minorEastAsia"/>
          <w:snapToGrid w:val="0"/>
          <w:color w:val="000000"/>
          <w:kern w:val="0"/>
          <w:szCs w:val="21"/>
        </w:rPr>
        <w:t xml:space="preserve"> 电力电缆：绝缘电阻、直流耐压和泄漏电流、交流耐压。</w:t>
      </w:r>
    </w:p>
    <w:p>
      <w:pPr>
        <w:widowControl/>
        <w:kinsoku w:val="0"/>
        <w:autoSpaceDE w:val="0"/>
        <w:autoSpaceDN w:val="0"/>
        <w:adjustRightInd w:val="0"/>
        <w:snapToGrid w:val="0"/>
        <w:spacing w:line="360" w:lineRule="auto"/>
        <w:ind w:left="1050" w:leftChars="300" w:hanging="420" w:hanging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5）</w:t>
      </w:r>
      <w:r>
        <w:rPr>
          <w:rFonts w:hint="eastAsia" w:asciiTheme="minorEastAsia" w:hAnsiTheme="minorEastAsia" w:cstheme="minorEastAsia"/>
          <w:snapToGrid w:val="0"/>
          <w:color w:val="000000"/>
          <w:kern w:val="0"/>
          <w:szCs w:val="21"/>
        </w:rPr>
        <w:t xml:space="preserve"> 接地装置：接地网电气完整性、接地阻抗。</w:t>
      </w:r>
    </w:p>
    <w:p>
      <w:pPr>
        <w:widowControl/>
        <w:kinsoku w:val="0"/>
        <w:autoSpaceDE w:val="0"/>
        <w:autoSpaceDN w:val="0"/>
        <w:adjustRightInd w:val="0"/>
        <w:snapToGrid w:val="0"/>
        <w:spacing w:line="360" w:lineRule="auto"/>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8.4.2 </w:t>
      </w:r>
      <w:r>
        <w:rPr>
          <w:rFonts w:hint="eastAsia" w:asciiTheme="minorEastAsia" w:hAnsiTheme="minorEastAsia" w:cstheme="minorEastAsia"/>
          <w:snapToGrid w:val="0"/>
          <w:color w:val="000000"/>
          <w:kern w:val="0"/>
          <w:szCs w:val="21"/>
        </w:rPr>
        <w:t xml:space="preserve"> 检测单元划分：每台(套)设备为1个检测单元。</w:t>
      </w:r>
    </w:p>
    <w:p>
      <w:pPr>
        <w:widowControl/>
        <w:kinsoku w:val="0"/>
        <w:autoSpaceDE w:val="0"/>
        <w:autoSpaceDN w:val="0"/>
        <w:adjustRightInd w:val="0"/>
        <w:snapToGrid w:val="0"/>
        <w:spacing w:line="360" w:lineRule="auto"/>
        <w:ind w:left="4" w:right="83" w:hanging="4"/>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8.4.3 </w:t>
      </w:r>
      <w:r>
        <w:rPr>
          <w:rFonts w:hint="eastAsia" w:asciiTheme="minorEastAsia" w:hAnsiTheme="minorEastAsia" w:cstheme="minorEastAsia"/>
          <w:snapToGrid w:val="0"/>
          <w:color w:val="000000"/>
          <w:kern w:val="0"/>
          <w:szCs w:val="21"/>
        </w:rPr>
        <w:t xml:space="preserve"> 检测数量布置：不同厂不同型号、不同厂同型号、同厂不同型号的，各至少选择1台(套)进行检测。</w:t>
      </w:r>
    </w:p>
    <w:p>
      <w:pPr>
        <w:widowControl/>
        <w:kinsoku w:val="0"/>
        <w:autoSpaceDE w:val="0"/>
        <w:autoSpaceDN w:val="0"/>
        <w:adjustRightInd w:val="0"/>
        <w:snapToGrid w:val="0"/>
        <w:spacing w:line="360" w:lineRule="auto"/>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8.4.4</w:t>
      </w:r>
      <w:r>
        <w:rPr>
          <w:rFonts w:hint="eastAsia" w:asciiTheme="minorEastAsia" w:hAnsiTheme="minorEastAsia" w:cstheme="minorEastAsia"/>
          <w:snapToGrid w:val="0"/>
          <w:color w:val="000000"/>
          <w:kern w:val="0"/>
          <w:szCs w:val="21"/>
        </w:rPr>
        <w:t xml:space="preserve">  检测方法应符合下列要求：</w:t>
      </w:r>
    </w:p>
    <w:p>
      <w:pPr>
        <w:widowControl/>
        <w:kinsoku w:val="0"/>
        <w:autoSpaceDE w:val="0"/>
        <w:autoSpaceDN w:val="0"/>
        <w:adjustRightInd w:val="0"/>
        <w:snapToGrid w:val="0"/>
        <w:spacing w:line="360" w:lineRule="auto"/>
        <w:ind w:left="419" w:right="316" w:firstLine="8"/>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1</w:t>
      </w:r>
      <w:r>
        <w:rPr>
          <w:rFonts w:hint="eastAsia" w:asciiTheme="minorEastAsia" w:hAnsiTheme="minorEastAsia" w:cstheme="minorEastAsia"/>
          <w:snapToGrid w:val="0"/>
          <w:color w:val="000000"/>
          <w:kern w:val="0"/>
          <w:szCs w:val="21"/>
        </w:rPr>
        <w:t xml:space="preserve">  电站高压电气设备</w:t>
      </w:r>
    </w:p>
    <w:p>
      <w:pPr>
        <w:widowControl/>
        <w:kinsoku w:val="0"/>
        <w:autoSpaceDE w:val="0"/>
        <w:autoSpaceDN w:val="0"/>
        <w:adjustRightInd w:val="0"/>
        <w:snapToGrid w:val="0"/>
        <w:spacing w:line="360" w:lineRule="auto"/>
        <w:ind w:left="630" w:leftChars="3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1)</w:t>
      </w:r>
      <w:r>
        <w:rPr>
          <w:rFonts w:hint="eastAsia" w:asciiTheme="minorEastAsia" w:hAnsiTheme="minorEastAsia" w:cstheme="minorEastAsia"/>
          <w:snapToGrid w:val="0"/>
          <w:color w:val="000000"/>
          <w:kern w:val="0"/>
          <w:szCs w:val="21"/>
        </w:rPr>
        <w:t xml:space="preserve">  爬电距离和电气间隙：应执行GB 19212.1的规定。</w:t>
      </w:r>
    </w:p>
    <w:p>
      <w:pPr>
        <w:widowControl/>
        <w:kinsoku w:val="0"/>
        <w:autoSpaceDE w:val="0"/>
        <w:autoSpaceDN w:val="0"/>
        <w:adjustRightInd w:val="0"/>
        <w:snapToGrid w:val="0"/>
        <w:spacing w:line="360" w:lineRule="auto"/>
        <w:ind w:left="630" w:leftChars="3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2)</w:t>
      </w:r>
      <w:r>
        <w:rPr>
          <w:rFonts w:hint="eastAsia" w:asciiTheme="minorEastAsia" w:hAnsiTheme="minorEastAsia" w:cstheme="minorEastAsia"/>
          <w:snapToGrid w:val="0"/>
          <w:color w:val="000000"/>
          <w:kern w:val="0"/>
          <w:szCs w:val="21"/>
        </w:rPr>
        <w:t xml:space="preserve">  六氟化硫气体：采用电解式、冷凝露点式、电阻电容式湿度计检测。</w:t>
      </w:r>
    </w:p>
    <w:p>
      <w:pPr>
        <w:spacing w:line="360" w:lineRule="auto"/>
        <w:ind w:left="630" w:leftChars="300"/>
        <w:rPr>
          <w:rFonts w:hint="eastAsia" w:ascii="宋体" w:hAnsi="宋体" w:eastAsia="宋体" w:cstheme="minorEastAsia"/>
          <w:color w:val="ED0000"/>
        </w:rPr>
      </w:pPr>
      <w:r>
        <w:rPr>
          <w:rFonts w:hint="eastAsia" w:ascii="黑体" w:hAnsi="黑体" w:eastAsia="黑体" w:cs="黑体"/>
          <w:snapToGrid w:val="0"/>
          <w:color w:val="000000"/>
          <w:kern w:val="0"/>
          <w:szCs w:val="21"/>
        </w:rPr>
        <w:t xml:space="preserve">3)  </w:t>
      </w:r>
      <w:r>
        <w:rPr>
          <w:rFonts w:hint="eastAsia" w:asciiTheme="minorEastAsia" w:hAnsiTheme="minorEastAsia" w:cstheme="minorEastAsia"/>
          <w:snapToGrid w:val="0"/>
          <w:color w:val="000000"/>
          <w:kern w:val="0"/>
          <w:szCs w:val="21"/>
        </w:rPr>
        <w:t>其他检测项目：应执行GB 50150的规定。</w:t>
      </w:r>
    </w:p>
    <w:p>
      <w:pPr>
        <w:spacing w:line="360" w:lineRule="auto"/>
        <w:ind w:firstLine="420" w:firstLineChars="200"/>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2 </w:t>
      </w:r>
      <w:r>
        <w:rPr>
          <w:rFonts w:hint="eastAsia" w:asciiTheme="minorEastAsia" w:hAnsiTheme="minorEastAsia" w:cstheme="minorEastAsia"/>
          <w:snapToGrid w:val="0"/>
          <w:color w:val="000000"/>
          <w:kern w:val="0"/>
          <w:szCs w:val="21"/>
        </w:rPr>
        <w:t xml:space="preserve"> 泵站高压电气设备：所有检测项目应执行SL 548的规定。</w:t>
      </w:r>
    </w:p>
    <w:p>
      <w:pPr>
        <w:widowControl/>
        <w:kinsoku w:val="0"/>
        <w:autoSpaceDE w:val="0"/>
        <w:autoSpaceDN w:val="0"/>
        <w:adjustRightInd w:val="0"/>
        <w:snapToGrid w:val="0"/>
        <w:spacing w:line="360" w:lineRule="auto"/>
        <w:ind w:left="5" w:right="83" w:hanging="5"/>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8.4.5  </w:t>
      </w:r>
      <w:r>
        <w:rPr>
          <w:rFonts w:hint="eastAsia" w:asciiTheme="minorEastAsia" w:hAnsiTheme="minorEastAsia" w:cstheme="minorEastAsia"/>
          <w:snapToGrid w:val="0"/>
          <w:color w:val="000000"/>
          <w:kern w:val="0"/>
          <w:szCs w:val="21"/>
        </w:rPr>
        <w:t>检测项目满足下列要求的，质量检测结果评价为合格：</w:t>
      </w:r>
    </w:p>
    <w:p>
      <w:pPr>
        <w:widowControl/>
        <w:kinsoku w:val="0"/>
        <w:autoSpaceDE w:val="0"/>
        <w:autoSpaceDN w:val="0"/>
        <w:adjustRightInd w:val="0"/>
        <w:snapToGrid w:val="0"/>
        <w:spacing w:line="360" w:lineRule="auto"/>
        <w:ind w:left="419" w:right="316" w:firstLine="8"/>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1</w:t>
      </w:r>
      <w:r>
        <w:rPr>
          <w:rFonts w:hint="eastAsia" w:asciiTheme="minorEastAsia" w:hAnsiTheme="minorEastAsia" w:cstheme="minorEastAsia"/>
          <w:snapToGrid w:val="0"/>
          <w:color w:val="000000"/>
          <w:kern w:val="0"/>
          <w:szCs w:val="21"/>
        </w:rPr>
        <w:t xml:space="preserve">  爬电距离和电气间隙：应符合GB 19212.1的规定。</w:t>
      </w:r>
    </w:p>
    <w:p>
      <w:pPr>
        <w:spacing w:line="360" w:lineRule="auto"/>
        <w:ind w:firstLine="420" w:firstLineChars="200"/>
        <w:rPr>
          <w:rFonts w:hint="eastAsia" w:ascii="宋体" w:hAnsi="宋体" w:eastAsia="宋体" w:cstheme="minorEastAsia"/>
          <w:color w:val="ED0000"/>
        </w:rPr>
      </w:pPr>
      <w:r>
        <w:rPr>
          <w:rFonts w:hint="eastAsia" w:ascii="黑体" w:hAnsi="黑体" w:eastAsia="黑体" w:cs="黑体"/>
          <w:snapToGrid w:val="0"/>
          <w:color w:val="000000"/>
          <w:kern w:val="0"/>
          <w:szCs w:val="21"/>
        </w:rPr>
        <w:t xml:space="preserve">2 </w:t>
      </w:r>
      <w:r>
        <w:rPr>
          <w:rFonts w:hint="eastAsia" w:asciiTheme="minorEastAsia" w:hAnsiTheme="minorEastAsia" w:cstheme="minorEastAsia"/>
          <w:snapToGrid w:val="0"/>
          <w:color w:val="000000"/>
          <w:kern w:val="0"/>
          <w:szCs w:val="21"/>
        </w:rPr>
        <w:t xml:space="preserve"> 其他检测项目：应符合GB 50150的规定。</w:t>
      </w:r>
    </w:p>
    <w:p>
      <w:pPr>
        <w:pStyle w:val="3"/>
        <w:snapToGrid w:val="0"/>
        <w:spacing w:beforeLines="50" w:afterLines="50"/>
        <w:jc w:val="center"/>
        <w:rPr>
          <w:rFonts w:ascii="黑体" w:hAnsi="黑体" w:cs="黑体"/>
          <w:sz w:val="24"/>
          <w:szCs w:val="24"/>
        </w:rPr>
      </w:pPr>
      <w:bookmarkStart w:id="147" w:name="_Toc857"/>
      <w:r>
        <w:rPr>
          <w:rFonts w:ascii="黑体" w:hAnsi="黑体" w:cs="黑体"/>
          <w:sz w:val="24"/>
          <w:szCs w:val="24"/>
        </w:rPr>
        <w:t>8.5  电气二次设备</w:t>
      </w:r>
      <w:bookmarkEnd w:id="147"/>
    </w:p>
    <w:p>
      <w:pPr>
        <w:widowControl/>
        <w:kinsoku w:val="0"/>
        <w:autoSpaceDE w:val="0"/>
        <w:autoSpaceDN w:val="0"/>
        <w:adjustRightInd w:val="0"/>
        <w:snapToGrid w:val="0"/>
        <w:spacing w:line="360" w:lineRule="auto"/>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8.5.1 </w:t>
      </w:r>
      <w:r>
        <w:rPr>
          <w:rFonts w:hint="eastAsia" w:asciiTheme="minorEastAsia" w:hAnsiTheme="minorEastAsia" w:cstheme="minorEastAsia"/>
          <w:snapToGrid w:val="0"/>
          <w:color w:val="000000"/>
          <w:kern w:val="0"/>
          <w:position w:val="-2"/>
          <w:szCs w:val="21"/>
        </w:rPr>
        <w:t xml:space="preserve"> </w:t>
      </w:r>
      <w:r>
        <w:rPr>
          <w:rFonts w:hint="eastAsia" w:asciiTheme="minorEastAsia" w:hAnsiTheme="minorEastAsia" w:cstheme="minorEastAsia"/>
          <w:snapToGrid w:val="0"/>
          <w:color w:val="000000"/>
          <w:kern w:val="0"/>
          <w:szCs w:val="21"/>
        </w:rPr>
        <w:t>检测项目宜包括下列内容：</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szCs w:val="21"/>
        </w:rPr>
      </w:pPr>
      <w:bookmarkStart w:id="148" w:name="bookmark47"/>
      <w:bookmarkEnd w:id="148"/>
      <w:bookmarkStart w:id="149" w:name="bookmark48"/>
      <w:bookmarkEnd w:id="149"/>
      <w:r>
        <w:rPr>
          <w:rFonts w:hint="eastAsia" w:ascii="黑体" w:hAnsi="黑体" w:eastAsia="黑体" w:cs="黑体"/>
          <w:snapToGrid w:val="0"/>
          <w:color w:val="000000"/>
          <w:kern w:val="0"/>
          <w:szCs w:val="21"/>
        </w:rPr>
        <w:t>1</w:t>
      </w:r>
      <w:r>
        <w:rPr>
          <w:rFonts w:hint="eastAsia" w:asciiTheme="minorEastAsia" w:hAnsiTheme="minorEastAsia" w:cstheme="minorEastAsia"/>
          <w:snapToGrid w:val="0"/>
          <w:color w:val="000000"/>
          <w:kern w:val="0"/>
          <w:szCs w:val="21"/>
        </w:rPr>
        <w:t xml:space="preserve">  水电站计算机监控系统：绝缘电阻、模拟量数据采集与处理、数字量数据采集与处理、计算量数据采集与处理、数据输出通道、其他数据处理、控制功能、功率调节、AGC、AVC、人机接口、系统时钟、时间同步、外部通信、系统自诊断及自恢复。</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2</w:t>
      </w:r>
      <w:r>
        <w:rPr>
          <w:rFonts w:hint="eastAsia" w:asciiTheme="minorEastAsia" w:hAnsiTheme="minorEastAsia" w:cstheme="minorEastAsia"/>
          <w:snapToGrid w:val="0"/>
          <w:color w:val="000000"/>
          <w:kern w:val="0"/>
          <w:szCs w:val="21"/>
        </w:rPr>
        <w:t xml:space="preserve">  水电站继电保护系统：二次回路绝缘电阻、开关输入回路、采样精度，对发电机主保护、过电流保护、低电压保护、定子接地保护、失磁保护、转子接地保护、过电压保护、过负荷保护、负序过流保护、差动保护、发电机失灵保护、励磁主保护、励磁后备与异常保护进行整定及校核。</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3</w:t>
      </w:r>
      <w:r>
        <w:rPr>
          <w:rFonts w:hint="eastAsia" w:asciiTheme="minorEastAsia" w:hAnsiTheme="minorEastAsia" w:cstheme="minorEastAsia"/>
          <w:snapToGrid w:val="0"/>
          <w:color w:val="000000"/>
          <w:kern w:val="0"/>
          <w:szCs w:val="21"/>
        </w:rPr>
        <w:t xml:space="preserve">  泵站计算机监控系统：一般性能测试、针对性功能测试（模拟量数据采集与处理功能测试、数字量数据采集与处理功能测试、数据输出通道测试、网络通信功能测试、控制功能测试、实时性及负荷率测试、纠错性能测试）。</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4 </w:t>
      </w:r>
      <w:r>
        <w:rPr>
          <w:rFonts w:hint="eastAsia" w:asciiTheme="minorEastAsia" w:hAnsiTheme="minorEastAsia" w:cstheme="minorEastAsia"/>
          <w:snapToGrid w:val="0"/>
          <w:color w:val="000000"/>
          <w:kern w:val="0"/>
          <w:szCs w:val="21"/>
        </w:rPr>
        <w:t xml:space="preserve"> 泵站继电保护系统：对速断保护、过电流保护、低电压保护、转子接地保护、过负荷保护、失磁保护、失步保护、过电压保护、差动保护、高频(载波)保护进行整定及校核。</w:t>
      </w:r>
    </w:p>
    <w:p>
      <w:pPr>
        <w:widowControl/>
        <w:kinsoku w:val="0"/>
        <w:autoSpaceDE w:val="0"/>
        <w:autoSpaceDN w:val="0"/>
        <w:adjustRightInd w:val="0"/>
        <w:snapToGrid w:val="0"/>
        <w:spacing w:line="360" w:lineRule="auto"/>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8.5.2 </w:t>
      </w:r>
      <w:r>
        <w:rPr>
          <w:rFonts w:hint="eastAsia" w:asciiTheme="minorEastAsia" w:hAnsiTheme="minorEastAsia" w:cstheme="minorEastAsia"/>
          <w:snapToGrid w:val="0"/>
          <w:color w:val="000000"/>
          <w:kern w:val="0"/>
          <w:position w:val="-2"/>
          <w:szCs w:val="21"/>
        </w:rPr>
        <w:t xml:space="preserve"> </w:t>
      </w:r>
      <w:r>
        <w:rPr>
          <w:rFonts w:hint="eastAsia" w:asciiTheme="minorEastAsia" w:hAnsiTheme="minorEastAsia" w:cstheme="minorEastAsia"/>
          <w:snapToGrid w:val="0"/>
          <w:color w:val="000000"/>
          <w:kern w:val="0"/>
          <w:szCs w:val="21"/>
        </w:rPr>
        <w:t>检测单元划分：每台(套)独立的电气二次设备为1个检测单元。</w:t>
      </w:r>
    </w:p>
    <w:p>
      <w:pPr>
        <w:widowControl/>
        <w:kinsoku w:val="0"/>
        <w:autoSpaceDE w:val="0"/>
        <w:autoSpaceDN w:val="0"/>
        <w:adjustRightInd w:val="0"/>
        <w:snapToGrid w:val="0"/>
        <w:spacing w:line="360" w:lineRule="auto"/>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8.5.3</w:t>
      </w:r>
      <w:r>
        <w:rPr>
          <w:rFonts w:hint="eastAsia" w:asciiTheme="minorEastAsia" w:hAnsiTheme="minorEastAsia" w:cstheme="minorEastAsia"/>
          <w:snapToGrid w:val="0"/>
          <w:color w:val="000000"/>
          <w:kern w:val="0"/>
          <w:position w:val="-2"/>
          <w:szCs w:val="21"/>
        </w:rPr>
        <w:t xml:space="preserve">  </w:t>
      </w:r>
      <w:r>
        <w:rPr>
          <w:rFonts w:hint="eastAsia" w:asciiTheme="minorEastAsia" w:hAnsiTheme="minorEastAsia" w:cstheme="minorEastAsia"/>
          <w:snapToGrid w:val="0"/>
          <w:color w:val="000000"/>
          <w:kern w:val="0"/>
          <w:szCs w:val="21"/>
        </w:rPr>
        <w:t>检测数量布置：检测单元内的检测项目均应进行检测。</w:t>
      </w:r>
    </w:p>
    <w:p>
      <w:pPr>
        <w:widowControl/>
        <w:kinsoku w:val="0"/>
        <w:autoSpaceDE w:val="0"/>
        <w:autoSpaceDN w:val="0"/>
        <w:adjustRightInd w:val="0"/>
        <w:snapToGrid w:val="0"/>
        <w:spacing w:line="360" w:lineRule="auto"/>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8.5.4</w:t>
      </w:r>
      <w:r>
        <w:rPr>
          <w:rFonts w:hint="eastAsia" w:asciiTheme="minorEastAsia" w:hAnsiTheme="minorEastAsia" w:cstheme="minorEastAsia"/>
          <w:snapToGrid w:val="0"/>
          <w:color w:val="000000"/>
          <w:kern w:val="0"/>
          <w:position w:val="-2"/>
          <w:szCs w:val="21"/>
        </w:rPr>
        <w:t xml:space="preserve">  </w:t>
      </w:r>
      <w:r>
        <w:rPr>
          <w:rFonts w:hint="eastAsia" w:asciiTheme="minorEastAsia" w:hAnsiTheme="minorEastAsia" w:cstheme="minorEastAsia"/>
          <w:snapToGrid w:val="0"/>
          <w:color w:val="000000"/>
          <w:kern w:val="0"/>
          <w:szCs w:val="21"/>
        </w:rPr>
        <w:t>检测方法应符合下列要求：</w:t>
      </w:r>
    </w:p>
    <w:p>
      <w:pPr>
        <w:widowControl/>
        <w:kinsoku w:val="0"/>
        <w:autoSpaceDE w:val="0"/>
        <w:autoSpaceDN w:val="0"/>
        <w:adjustRightInd w:val="0"/>
        <w:snapToGrid w:val="0"/>
        <w:spacing w:line="360" w:lineRule="auto"/>
        <w:ind w:firstLine="420" w:firstLineChars="200"/>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1</w:t>
      </w:r>
      <w:r>
        <w:rPr>
          <w:rFonts w:hint="eastAsia" w:asciiTheme="minorEastAsia" w:hAnsiTheme="minorEastAsia" w:cstheme="minorEastAsia"/>
          <w:snapToGrid w:val="0"/>
          <w:color w:val="000000"/>
          <w:kern w:val="0"/>
          <w:szCs w:val="21"/>
        </w:rPr>
        <w:t xml:space="preserve">  水电站计算机监控系统：应执行DL/T 822的规定。</w:t>
      </w:r>
    </w:p>
    <w:p>
      <w:pPr>
        <w:spacing w:line="360" w:lineRule="auto"/>
        <w:ind w:firstLine="420" w:firstLineChars="200"/>
        <w:rPr>
          <w:rFonts w:hint="eastAsia" w:ascii="宋体" w:hAnsi="宋体" w:eastAsia="宋体" w:cstheme="minorEastAsia"/>
          <w:color w:val="ED0000"/>
        </w:rPr>
      </w:pPr>
      <w:r>
        <w:rPr>
          <w:rFonts w:hint="eastAsia" w:ascii="黑体" w:hAnsi="黑体" w:eastAsia="黑体" w:cs="黑体"/>
          <w:snapToGrid w:val="0"/>
          <w:color w:val="000000"/>
          <w:kern w:val="0"/>
          <w:szCs w:val="21"/>
        </w:rPr>
        <w:t>2</w:t>
      </w:r>
      <w:r>
        <w:rPr>
          <w:rFonts w:hint="eastAsia" w:asciiTheme="minorEastAsia" w:hAnsiTheme="minorEastAsia" w:cstheme="minorEastAsia"/>
          <w:snapToGrid w:val="0"/>
          <w:color w:val="000000"/>
          <w:kern w:val="0"/>
          <w:szCs w:val="21"/>
        </w:rPr>
        <w:t xml:space="preserve">  水电站继电保护系统：应执行NB/T 35010的规定。</w:t>
      </w:r>
    </w:p>
    <w:p>
      <w:pPr>
        <w:widowControl/>
        <w:kinsoku w:val="0"/>
        <w:autoSpaceDE w:val="0"/>
        <w:autoSpaceDN w:val="0"/>
        <w:adjustRightInd w:val="0"/>
        <w:snapToGrid w:val="0"/>
        <w:spacing w:line="360" w:lineRule="auto"/>
        <w:ind w:left="427"/>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3</w:t>
      </w:r>
      <w:r>
        <w:rPr>
          <w:rFonts w:hint="eastAsia" w:asciiTheme="minorEastAsia" w:hAnsiTheme="minorEastAsia" w:cstheme="minorEastAsia"/>
          <w:snapToGrid w:val="0"/>
          <w:color w:val="000000"/>
          <w:kern w:val="0"/>
          <w:szCs w:val="21"/>
        </w:rPr>
        <w:t xml:space="preserve">  泵站计算机监控系统：应执行SL 583的规定。</w:t>
      </w:r>
    </w:p>
    <w:p>
      <w:pPr>
        <w:widowControl/>
        <w:kinsoku w:val="0"/>
        <w:autoSpaceDE w:val="0"/>
        <w:autoSpaceDN w:val="0"/>
        <w:adjustRightInd w:val="0"/>
        <w:snapToGrid w:val="0"/>
        <w:spacing w:line="360" w:lineRule="auto"/>
        <w:ind w:left="419"/>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4</w:t>
      </w:r>
      <w:r>
        <w:rPr>
          <w:rFonts w:hint="eastAsia" w:asciiTheme="minorEastAsia" w:hAnsiTheme="minorEastAsia" w:cstheme="minorEastAsia"/>
          <w:snapToGrid w:val="0"/>
          <w:color w:val="000000"/>
          <w:kern w:val="0"/>
          <w:szCs w:val="21"/>
        </w:rPr>
        <w:t xml:space="preserve">  泵站继电保护系统：应执行NB/T 35010的规定。</w:t>
      </w:r>
    </w:p>
    <w:p>
      <w:pPr>
        <w:widowControl/>
        <w:kinsoku w:val="0"/>
        <w:autoSpaceDE w:val="0"/>
        <w:autoSpaceDN w:val="0"/>
        <w:adjustRightInd w:val="0"/>
        <w:snapToGrid w:val="0"/>
        <w:spacing w:line="360" w:lineRule="auto"/>
        <w:ind w:left="5" w:hanging="5"/>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8.5.5</w:t>
      </w:r>
      <w:r>
        <w:rPr>
          <w:rFonts w:hint="eastAsia" w:asciiTheme="minorEastAsia" w:hAnsiTheme="minorEastAsia" w:cstheme="minorEastAsia"/>
          <w:snapToGrid w:val="0"/>
          <w:color w:val="000000"/>
          <w:kern w:val="0"/>
          <w:position w:val="-2"/>
          <w:szCs w:val="21"/>
        </w:rPr>
        <w:t xml:space="preserve">  </w:t>
      </w:r>
      <w:r>
        <w:rPr>
          <w:rFonts w:hint="eastAsia" w:asciiTheme="minorEastAsia" w:hAnsiTheme="minorEastAsia" w:cstheme="minorEastAsia"/>
          <w:snapToGrid w:val="0"/>
          <w:color w:val="000000"/>
          <w:kern w:val="0"/>
          <w:szCs w:val="21"/>
        </w:rPr>
        <w:t>检测项目满足下列要求的，质量检测结果评价为合格：</w:t>
      </w:r>
    </w:p>
    <w:p>
      <w:pPr>
        <w:widowControl/>
        <w:kinsoku w:val="0"/>
        <w:autoSpaceDE w:val="0"/>
        <w:autoSpaceDN w:val="0"/>
        <w:adjustRightInd w:val="0"/>
        <w:snapToGrid w:val="0"/>
        <w:spacing w:line="360" w:lineRule="auto"/>
        <w:ind w:firstLine="420" w:firstLineChars="200"/>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 xml:space="preserve">1 </w:t>
      </w:r>
      <w:r>
        <w:rPr>
          <w:rFonts w:hint="eastAsia" w:asciiTheme="minorEastAsia" w:hAnsiTheme="minorEastAsia" w:cstheme="minorEastAsia"/>
          <w:snapToGrid w:val="0"/>
          <w:color w:val="000000"/>
          <w:kern w:val="0"/>
          <w:szCs w:val="21"/>
        </w:rPr>
        <w:t xml:space="preserve"> 水电站计算机监控系统：应符合DL/T 822的规定。</w:t>
      </w:r>
    </w:p>
    <w:p>
      <w:pPr>
        <w:widowControl/>
        <w:kinsoku w:val="0"/>
        <w:autoSpaceDE w:val="0"/>
        <w:autoSpaceDN w:val="0"/>
        <w:adjustRightInd w:val="0"/>
        <w:snapToGrid w:val="0"/>
        <w:spacing w:line="360" w:lineRule="auto"/>
        <w:ind w:firstLine="420" w:firstLineChars="200"/>
        <w:jc w:val="left"/>
        <w:textAlignment w:val="baseline"/>
        <w:rPr>
          <w:rFonts w:hint="eastAsia" w:asciiTheme="minorEastAsia" w:hAnsiTheme="minorEastAsia" w:cstheme="minorEastAsia"/>
          <w:snapToGrid w:val="0"/>
          <w:color w:val="000000"/>
          <w:kern w:val="0"/>
          <w:szCs w:val="21"/>
        </w:rPr>
      </w:pPr>
      <w:bookmarkStart w:id="150" w:name="bookmark49"/>
      <w:bookmarkEnd w:id="150"/>
      <w:r>
        <w:rPr>
          <w:rFonts w:hint="eastAsia" w:ascii="黑体" w:hAnsi="黑体" w:eastAsia="黑体" w:cs="黑体"/>
          <w:snapToGrid w:val="0"/>
          <w:color w:val="000000"/>
          <w:kern w:val="0"/>
          <w:szCs w:val="21"/>
        </w:rPr>
        <w:t>2</w:t>
      </w:r>
      <w:r>
        <w:rPr>
          <w:rFonts w:hint="eastAsia" w:asciiTheme="minorEastAsia" w:hAnsiTheme="minorEastAsia" w:cstheme="minorEastAsia"/>
          <w:snapToGrid w:val="0"/>
          <w:color w:val="000000"/>
          <w:kern w:val="0"/>
          <w:szCs w:val="21"/>
        </w:rPr>
        <w:t xml:space="preserve">  水电站继电保护系统：应符合NB/T 35010的规定。</w:t>
      </w:r>
    </w:p>
    <w:p>
      <w:pPr>
        <w:spacing w:line="360" w:lineRule="auto"/>
        <w:ind w:firstLine="420" w:firstLineChars="200"/>
        <w:rPr>
          <w:rFonts w:hint="eastAsia" w:ascii="宋体" w:hAnsi="宋体" w:eastAsia="宋体" w:cstheme="minorEastAsia"/>
          <w:color w:val="ED0000"/>
        </w:rPr>
      </w:pPr>
      <w:r>
        <w:rPr>
          <w:rFonts w:hint="eastAsia" w:ascii="黑体" w:hAnsi="黑体" w:eastAsia="黑体" w:cs="黑体"/>
          <w:snapToGrid w:val="0"/>
          <w:color w:val="000000"/>
          <w:kern w:val="0"/>
          <w:szCs w:val="21"/>
        </w:rPr>
        <w:t>3</w:t>
      </w:r>
      <w:r>
        <w:rPr>
          <w:rFonts w:hint="eastAsia" w:asciiTheme="minorEastAsia" w:hAnsiTheme="minorEastAsia" w:cstheme="minorEastAsia"/>
          <w:snapToGrid w:val="0"/>
          <w:color w:val="000000"/>
          <w:kern w:val="0"/>
          <w:szCs w:val="21"/>
        </w:rPr>
        <w:t xml:space="preserve">  泵站计算机监控系统：应符合SL 583的规定。</w:t>
      </w:r>
    </w:p>
    <w:p>
      <w:pPr>
        <w:widowControl/>
        <w:kinsoku w:val="0"/>
        <w:autoSpaceDE w:val="0"/>
        <w:autoSpaceDN w:val="0"/>
        <w:adjustRightInd w:val="0"/>
        <w:snapToGrid w:val="0"/>
        <w:spacing w:line="360" w:lineRule="auto"/>
        <w:ind w:firstLine="420" w:firstLineChars="200"/>
        <w:jc w:val="left"/>
        <w:textAlignment w:val="baseline"/>
        <w:rPr>
          <w:rFonts w:hint="eastAsia" w:asciiTheme="minorEastAsia" w:hAnsiTheme="minorEastAsia" w:cstheme="minorEastAsia"/>
          <w:snapToGrid w:val="0"/>
          <w:color w:val="000000"/>
          <w:kern w:val="0"/>
          <w:szCs w:val="21"/>
        </w:rPr>
      </w:pPr>
      <w:r>
        <w:rPr>
          <w:rFonts w:hint="eastAsia" w:ascii="黑体" w:hAnsi="黑体" w:eastAsia="黑体" w:cs="黑体"/>
          <w:snapToGrid w:val="0"/>
          <w:color w:val="000000"/>
          <w:kern w:val="0"/>
          <w:szCs w:val="21"/>
        </w:rPr>
        <w:t>4</w:t>
      </w:r>
      <w:r>
        <w:rPr>
          <w:rFonts w:hint="eastAsia" w:asciiTheme="minorEastAsia" w:hAnsiTheme="minorEastAsia" w:cstheme="minorEastAsia"/>
          <w:snapToGrid w:val="0"/>
          <w:color w:val="000000"/>
          <w:kern w:val="0"/>
          <w:szCs w:val="21"/>
        </w:rPr>
        <w:t xml:space="preserve">  泵站继电保护系统：应符合NB/T 35010的规定。</w:t>
      </w:r>
    </w:p>
    <w:p>
      <w:pPr>
        <w:rPr>
          <w:rFonts w:hint="eastAsia" w:ascii="宋体" w:hAnsi="宋体" w:eastAsia="宋体" w:cs="宋体"/>
        </w:rPr>
      </w:pPr>
    </w:p>
    <w:p>
      <w:pPr>
        <w:rPr>
          <w:rFonts w:hint="eastAsia" w:ascii="宋体" w:hAnsi="宋体" w:eastAsia="宋体" w:cs="宋体"/>
        </w:rPr>
      </w:pPr>
    </w:p>
    <w:p>
      <w:pPr>
        <w:rPr>
          <w:rFonts w:hint="eastAsia" w:ascii="宋体" w:hAnsi="宋体" w:eastAsia="宋体" w:cs="宋体"/>
        </w:rPr>
      </w:pPr>
    </w:p>
    <w:p>
      <w:pPr>
        <w:rPr>
          <w:rFonts w:hint="eastAsia" w:ascii="宋体" w:hAnsi="宋体" w:eastAsia="宋体" w:cs="宋体"/>
        </w:rPr>
      </w:pPr>
      <w:r>
        <w:rPr>
          <w:rFonts w:hint="eastAsia" w:ascii="宋体" w:hAnsi="宋体" w:eastAsia="宋体" w:cs="宋体"/>
        </w:rPr>
        <w:br w:type="page"/>
      </w:r>
    </w:p>
    <w:p>
      <w:pPr>
        <w:pStyle w:val="2"/>
        <w:rPr>
          <w:rFonts w:hint="eastAsia" w:ascii="黑体" w:hAnsi="黑体" w:eastAsia="黑体" w:cs="黑体"/>
          <w:b w:val="0"/>
          <w:bCs w:val="0"/>
          <w:sz w:val="28"/>
          <w:szCs w:val="28"/>
        </w:rPr>
      </w:pPr>
      <w:bookmarkStart w:id="151" w:name="_Toc4798"/>
      <w:r>
        <w:rPr>
          <w:rFonts w:hint="eastAsia" w:ascii="黑体" w:hAnsi="黑体" w:eastAsia="黑体" w:cs="黑体"/>
          <w:b w:val="0"/>
          <w:bCs w:val="0"/>
          <w:sz w:val="28"/>
          <w:szCs w:val="28"/>
        </w:rPr>
        <w:t>9  外观测量</w:t>
      </w:r>
      <w:bookmarkEnd w:id="151"/>
    </w:p>
    <w:p>
      <w:pPr>
        <w:pStyle w:val="3"/>
        <w:snapToGrid w:val="0"/>
        <w:spacing w:beforeLines="50" w:afterLines="50" w:line="360" w:lineRule="auto"/>
        <w:jc w:val="center"/>
        <w:rPr>
          <w:rFonts w:ascii="黑体" w:hAnsi="黑体" w:cs="黑体"/>
          <w:sz w:val="24"/>
          <w:szCs w:val="24"/>
        </w:rPr>
      </w:pPr>
      <w:bookmarkStart w:id="152" w:name="_Toc27015"/>
      <w:r>
        <w:rPr>
          <w:rFonts w:ascii="黑体" w:hAnsi="黑体" w:cs="黑体"/>
          <w:sz w:val="24"/>
          <w:szCs w:val="24"/>
        </w:rPr>
        <w:t>9.1  一般规定</w:t>
      </w:r>
      <w:bookmarkEnd w:id="152"/>
    </w:p>
    <w:p>
      <w:pPr>
        <w:spacing w:line="360" w:lineRule="auto"/>
        <w:rPr>
          <w:rFonts w:ascii="Times New Roman" w:hAnsi="Times New Roman" w:cs="Times New Roman"/>
        </w:rPr>
      </w:pPr>
      <w:r>
        <w:rPr>
          <w:rFonts w:hint="eastAsia" w:ascii="黑体" w:hAnsi="黑体" w:eastAsia="黑体" w:cs="黑体"/>
          <w:szCs w:val="21"/>
        </w:rPr>
        <w:t xml:space="preserve">9.1.1 </w:t>
      </w:r>
      <w:r>
        <w:rPr>
          <w:rFonts w:ascii="Times New Roman" w:hAnsi="Times New Roman" w:cs="Times New Roman"/>
        </w:rPr>
        <w:t xml:space="preserve"> 高程控制</w:t>
      </w:r>
      <w:r>
        <w:rPr>
          <w:rFonts w:hint="eastAsia" w:ascii="Times New Roman" w:hAnsi="Times New Roman" w:cs="Times New Roman"/>
        </w:rPr>
        <w:t>测量</w:t>
      </w:r>
      <w:r>
        <w:rPr>
          <w:rFonts w:ascii="Times New Roman" w:hAnsi="Times New Roman" w:cs="Times New Roman"/>
        </w:rPr>
        <w:t>和平面控制</w:t>
      </w:r>
      <w:r>
        <w:rPr>
          <w:rFonts w:hint="eastAsia" w:ascii="Times New Roman" w:hAnsi="Times New Roman" w:cs="Times New Roman"/>
        </w:rPr>
        <w:t>测量</w:t>
      </w:r>
      <w:r>
        <w:rPr>
          <w:rFonts w:ascii="Times New Roman" w:hAnsi="Times New Roman" w:cs="Times New Roman"/>
        </w:rPr>
        <w:t>应</w:t>
      </w:r>
      <w:r>
        <w:rPr>
          <w:rFonts w:hint="eastAsia" w:ascii="Times New Roman" w:hAnsi="Times New Roman" w:cs="Times New Roman"/>
        </w:rPr>
        <w:t>符合</w:t>
      </w:r>
      <w:r>
        <w:rPr>
          <w:rFonts w:cs="Times New Roman" w:asciiTheme="minorEastAsia" w:hAnsiTheme="minorEastAsia"/>
        </w:rPr>
        <w:t>SL 197</w:t>
      </w:r>
      <w:r>
        <w:rPr>
          <w:rFonts w:ascii="Times New Roman" w:hAnsi="Times New Roman" w:cs="Times New Roman"/>
        </w:rPr>
        <w:t>的规定，采用的控制起始点和精度应与施工测量一致。</w:t>
      </w:r>
    </w:p>
    <w:p>
      <w:pPr>
        <w:spacing w:line="360" w:lineRule="auto"/>
        <w:rPr>
          <w:rFonts w:ascii="Times New Roman" w:hAnsi="Times New Roman" w:cs="Times New Roman"/>
        </w:rPr>
      </w:pPr>
      <w:r>
        <w:rPr>
          <w:rFonts w:hint="eastAsia" w:ascii="黑体" w:hAnsi="黑体" w:eastAsia="黑体" w:cs="黑体"/>
          <w:szCs w:val="21"/>
        </w:rPr>
        <w:t>9.1.2</w:t>
      </w:r>
      <w:r>
        <w:rPr>
          <w:rFonts w:ascii="Times New Roman" w:hAnsi="Times New Roman" w:eastAsia="黑体" w:cs="Times New Roman"/>
        </w:rPr>
        <w:t xml:space="preserve">  </w:t>
      </w:r>
      <w:r>
        <w:rPr>
          <w:rFonts w:ascii="Times New Roman" w:hAnsi="Times New Roman" w:cs="Times New Roman"/>
        </w:rPr>
        <w:t>检测点的布置应采用随机布点的原则。</w:t>
      </w:r>
    </w:p>
    <w:p>
      <w:pPr>
        <w:spacing w:line="360" w:lineRule="auto"/>
        <w:rPr>
          <w:rFonts w:ascii="Times New Roman" w:hAnsi="Times New Roman" w:cs="Times New Roman"/>
        </w:rPr>
      </w:pPr>
      <w:r>
        <w:rPr>
          <w:rFonts w:hint="eastAsia" w:ascii="黑体" w:hAnsi="黑体" w:eastAsia="黑体" w:cs="黑体"/>
          <w:szCs w:val="21"/>
        </w:rPr>
        <w:t>9.1.3</w:t>
      </w:r>
      <w:r>
        <w:rPr>
          <w:rFonts w:ascii="Times New Roman" w:hAnsi="Times New Roman" w:eastAsia="黑体" w:cs="Times New Roman"/>
        </w:rPr>
        <w:t xml:space="preserve">  </w:t>
      </w:r>
      <w:r>
        <w:rPr>
          <w:rFonts w:hint="eastAsia" w:ascii="Times New Roman" w:hAnsi="Times New Roman" w:cs="Times New Roman"/>
        </w:rPr>
        <w:t>测量</w:t>
      </w:r>
      <w:r>
        <w:rPr>
          <w:rFonts w:ascii="Times New Roman" w:hAnsi="Times New Roman" w:cs="Times New Roman"/>
        </w:rPr>
        <w:t>记录及签证</w:t>
      </w:r>
      <w:r>
        <w:rPr>
          <w:rFonts w:hint="eastAsia" w:ascii="Times New Roman" w:hAnsi="Times New Roman" w:cs="Times New Roman"/>
        </w:rPr>
        <w:t>应</w:t>
      </w:r>
      <w:r>
        <w:rPr>
          <w:rFonts w:ascii="Times New Roman" w:hAnsi="Times New Roman" w:cs="Times New Roman"/>
        </w:rPr>
        <w:t>完整齐全，宜使用</w:t>
      </w:r>
      <w:r>
        <w:rPr>
          <w:rFonts w:hint="eastAsia" w:ascii="Times New Roman" w:hAnsi="Times New Roman" w:cs="Times New Roman"/>
        </w:rPr>
        <w:t>单项检测项目结果及评价表</w:t>
      </w:r>
      <w:r>
        <w:rPr>
          <w:rFonts w:ascii="Times New Roman" w:hAnsi="Times New Roman" w:cs="Times New Roman"/>
        </w:rPr>
        <w:t>，</w:t>
      </w:r>
      <w:r>
        <w:rPr>
          <w:rFonts w:hint="eastAsia" w:cs="Times New Roman" w:asciiTheme="minorEastAsia" w:hAnsiTheme="minorEastAsia"/>
        </w:rPr>
        <w:t>见表</w:t>
      </w:r>
      <w:r>
        <w:rPr>
          <w:rFonts w:cs="Times New Roman" w:asciiTheme="minorEastAsia" w:hAnsiTheme="minorEastAsia"/>
        </w:rPr>
        <w:t>9.1.3</w:t>
      </w:r>
      <w:r>
        <w:rPr>
          <w:rFonts w:ascii="Times New Roman" w:hAnsi="Times New Roman" w:cs="Times New Roman"/>
        </w:rPr>
        <w:t>。</w:t>
      </w:r>
    </w:p>
    <w:p>
      <w:pPr>
        <w:spacing w:line="360" w:lineRule="auto"/>
        <w:ind w:firstLine="360" w:firstLineChars="200"/>
        <w:jc w:val="center"/>
        <w:rPr>
          <w:rFonts w:hint="eastAsia" w:ascii="黑体" w:hAnsi="黑体" w:eastAsia="黑体" w:cs="黑体"/>
          <w:sz w:val="18"/>
          <w:szCs w:val="18"/>
        </w:rPr>
      </w:pPr>
      <w:r>
        <w:rPr>
          <w:rFonts w:hint="eastAsia" w:ascii="黑体" w:hAnsi="黑体" w:eastAsia="黑体" w:cs="黑体"/>
          <w:sz w:val="18"/>
          <w:szCs w:val="18"/>
        </w:rPr>
        <w:t>表9.1.3  单项检测项目结果及评价表</w:t>
      </w:r>
    </w:p>
    <w:tbl>
      <w:tblPr>
        <w:tblStyle w:val="19"/>
        <w:tblW w:w="8398" w:type="dxa"/>
        <w:tblInd w:w="7" w:type="dxa"/>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Layout w:type="fixed"/>
        <w:tblCellMar>
          <w:top w:w="0" w:type="dxa"/>
          <w:left w:w="108" w:type="dxa"/>
          <w:bottom w:w="0" w:type="dxa"/>
          <w:right w:w="108" w:type="dxa"/>
        </w:tblCellMar>
      </w:tblPr>
      <w:tblGrid>
        <w:gridCol w:w="561"/>
        <w:gridCol w:w="558"/>
        <w:gridCol w:w="619"/>
        <w:gridCol w:w="1200"/>
        <w:gridCol w:w="1200"/>
        <w:gridCol w:w="1185"/>
        <w:gridCol w:w="1440"/>
        <w:gridCol w:w="1635"/>
      </w:tblGrid>
      <w:tr>
        <w:tblPrEx>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CellMar>
            <w:top w:w="0" w:type="dxa"/>
            <w:left w:w="108" w:type="dxa"/>
            <w:bottom w:w="0" w:type="dxa"/>
            <w:right w:w="108" w:type="dxa"/>
          </w:tblCellMar>
        </w:tblPrEx>
        <w:trPr>
          <w:trHeight w:val="556" w:hRule="atLeast"/>
        </w:trPr>
        <w:tc>
          <w:tcPr>
            <w:tcW w:w="561" w:type="dxa"/>
            <w:vMerge w:val="restart"/>
            <w:tcBorders>
              <w:top w:val="single" w:color="231F20" w:sz="6" w:space="0"/>
              <w:left w:val="single" w:color="231F20" w:sz="6" w:space="0"/>
              <w:bottom w:val="nil"/>
            </w:tcBorders>
            <w:textDirection w:val="tbRlV"/>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检 测 成 果</w:t>
            </w:r>
          </w:p>
        </w:tc>
        <w:tc>
          <w:tcPr>
            <w:tcW w:w="558" w:type="dxa"/>
            <w:tcBorders>
              <w:top w:val="single" w:color="231F20" w:sz="6" w:space="0"/>
            </w:tcBorders>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序号</w:t>
            </w:r>
          </w:p>
        </w:tc>
        <w:tc>
          <w:tcPr>
            <w:tcW w:w="619" w:type="dxa"/>
            <w:tcBorders>
              <w:top w:val="single" w:color="231F20" w:sz="6" w:space="0"/>
            </w:tcBorders>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测点</w:t>
            </w:r>
          </w:p>
        </w:tc>
        <w:tc>
          <w:tcPr>
            <w:tcW w:w="1200" w:type="dxa"/>
            <w:tcBorders>
              <w:top w:val="single" w:color="231F20" w:sz="6" w:space="0"/>
            </w:tcBorders>
            <w:vAlign w:val="center"/>
          </w:tcPr>
          <w:p>
            <w:pPr>
              <w:pStyle w:val="27"/>
              <w:spacing w:line="240" w:lineRule="auto"/>
              <w:ind w:firstLine="150" w:firstLineChars="100"/>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设计值或规定值</w:t>
            </w:r>
          </w:p>
        </w:tc>
        <w:tc>
          <w:tcPr>
            <w:tcW w:w="1200" w:type="dxa"/>
            <w:tcBorders>
              <w:top w:val="single" w:color="231F20" w:sz="6" w:space="0"/>
            </w:tcBorders>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实测值</w:t>
            </w:r>
          </w:p>
        </w:tc>
        <w:tc>
          <w:tcPr>
            <w:tcW w:w="1185" w:type="dxa"/>
            <w:tcBorders>
              <w:top w:val="single" w:color="231F20" w:sz="6" w:space="0"/>
            </w:tcBorders>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偏差值</w:t>
            </w:r>
          </w:p>
        </w:tc>
        <w:tc>
          <w:tcPr>
            <w:tcW w:w="1440" w:type="dxa"/>
            <w:tcBorders>
              <w:top w:val="single" w:color="231F20" w:sz="6" w:space="0"/>
            </w:tcBorders>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允许偏差值</w:t>
            </w:r>
          </w:p>
        </w:tc>
        <w:tc>
          <w:tcPr>
            <w:tcW w:w="1635" w:type="dxa"/>
            <w:tcBorders>
              <w:top w:val="single" w:color="231F20" w:sz="6" w:space="0"/>
              <w:right w:val="single" w:color="231F20" w:sz="6" w:space="0"/>
            </w:tcBorders>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结果</w:t>
            </w:r>
          </w:p>
        </w:tc>
      </w:tr>
      <w:tr>
        <w:tblPrEx>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CellMar>
            <w:top w:w="0" w:type="dxa"/>
            <w:left w:w="108" w:type="dxa"/>
            <w:bottom w:w="0" w:type="dxa"/>
            <w:right w:w="108" w:type="dxa"/>
          </w:tblCellMar>
        </w:tblPrEx>
        <w:trPr>
          <w:trHeight w:val="312" w:hRule="atLeast"/>
        </w:trPr>
        <w:tc>
          <w:tcPr>
            <w:tcW w:w="561" w:type="dxa"/>
            <w:vMerge w:val="continue"/>
            <w:tcBorders>
              <w:top w:val="nil"/>
              <w:left w:val="single" w:color="231F20" w:sz="6" w:space="0"/>
              <w:bottom w:val="nil"/>
            </w:tcBorders>
            <w:textDirection w:val="tbRlV"/>
            <w:vAlign w:val="center"/>
          </w:tcPr>
          <w:p>
            <w:pPr>
              <w:jc w:val="center"/>
              <w:rPr>
                <w:rFonts w:hint="eastAsia" w:asciiTheme="minorEastAsia" w:hAnsiTheme="minorEastAsia" w:cstheme="minorEastAsia"/>
                <w:sz w:val="15"/>
                <w:szCs w:val="15"/>
              </w:rPr>
            </w:pPr>
          </w:p>
        </w:tc>
        <w:tc>
          <w:tcPr>
            <w:tcW w:w="558"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1</w:t>
            </w:r>
          </w:p>
        </w:tc>
        <w:tc>
          <w:tcPr>
            <w:tcW w:w="619" w:type="dxa"/>
            <w:vAlign w:val="center"/>
          </w:tcPr>
          <w:p>
            <w:pPr>
              <w:jc w:val="center"/>
              <w:rPr>
                <w:rFonts w:hint="eastAsia" w:asciiTheme="minorEastAsia" w:hAnsiTheme="minorEastAsia" w:cstheme="minorEastAsia"/>
                <w:sz w:val="15"/>
                <w:szCs w:val="15"/>
              </w:rPr>
            </w:pPr>
          </w:p>
        </w:tc>
        <w:tc>
          <w:tcPr>
            <w:tcW w:w="1200" w:type="dxa"/>
            <w:vAlign w:val="center"/>
          </w:tcPr>
          <w:p>
            <w:pPr>
              <w:jc w:val="center"/>
              <w:rPr>
                <w:rFonts w:hint="eastAsia" w:asciiTheme="minorEastAsia" w:hAnsiTheme="minorEastAsia" w:cstheme="minorEastAsia"/>
                <w:sz w:val="15"/>
                <w:szCs w:val="15"/>
              </w:rPr>
            </w:pPr>
          </w:p>
        </w:tc>
        <w:tc>
          <w:tcPr>
            <w:tcW w:w="1200" w:type="dxa"/>
            <w:vAlign w:val="center"/>
          </w:tcPr>
          <w:p>
            <w:pPr>
              <w:jc w:val="center"/>
              <w:rPr>
                <w:rFonts w:hint="eastAsia" w:asciiTheme="minorEastAsia" w:hAnsiTheme="minorEastAsia" w:cstheme="minorEastAsia"/>
                <w:sz w:val="15"/>
                <w:szCs w:val="15"/>
              </w:rPr>
            </w:pPr>
          </w:p>
        </w:tc>
        <w:tc>
          <w:tcPr>
            <w:tcW w:w="1185" w:type="dxa"/>
            <w:vAlign w:val="center"/>
          </w:tcPr>
          <w:p>
            <w:pPr>
              <w:jc w:val="center"/>
              <w:rPr>
                <w:rFonts w:hint="eastAsia" w:asciiTheme="minorEastAsia" w:hAnsiTheme="minorEastAsia" w:cstheme="minorEastAsia"/>
                <w:sz w:val="15"/>
                <w:szCs w:val="15"/>
              </w:rPr>
            </w:pPr>
          </w:p>
        </w:tc>
        <w:tc>
          <w:tcPr>
            <w:tcW w:w="1440" w:type="dxa"/>
            <w:vAlign w:val="center"/>
          </w:tcPr>
          <w:p>
            <w:pPr>
              <w:jc w:val="center"/>
              <w:rPr>
                <w:rFonts w:hint="eastAsia" w:asciiTheme="minorEastAsia" w:hAnsiTheme="minorEastAsia" w:cstheme="minorEastAsia"/>
                <w:sz w:val="15"/>
                <w:szCs w:val="15"/>
              </w:rPr>
            </w:pPr>
          </w:p>
        </w:tc>
        <w:tc>
          <w:tcPr>
            <w:tcW w:w="1635" w:type="dxa"/>
            <w:tcBorders>
              <w:right w:val="single" w:color="231F20" w:sz="6" w:space="0"/>
            </w:tcBorders>
            <w:vAlign w:val="center"/>
          </w:tcPr>
          <w:p>
            <w:pPr>
              <w:jc w:val="center"/>
              <w:rPr>
                <w:rFonts w:hint="eastAsia" w:asciiTheme="minorEastAsia" w:hAnsiTheme="minorEastAsia" w:cstheme="minorEastAsia"/>
                <w:sz w:val="15"/>
                <w:szCs w:val="15"/>
              </w:rPr>
            </w:pPr>
          </w:p>
        </w:tc>
      </w:tr>
      <w:tr>
        <w:tblPrEx>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CellMar>
            <w:top w:w="0" w:type="dxa"/>
            <w:left w:w="108" w:type="dxa"/>
            <w:bottom w:w="0" w:type="dxa"/>
            <w:right w:w="108" w:type="dxa"/>
          </w:tblCellMar>
        </w:tblPrEx>
        <w:trPr>
          <w:trHeight w:val="312" w:hRule="atLeast"/>
        </w:trPr>
        <w:tc>
          <w:tcPr>
            <w:tcW w:w="561" w:type="dxa"/>
            <w:vMerge w:val="continue"/>
            <w:tcBorders>
              <w:top w:val="nil"/>
              <w:left w:val="single" w:color="231F20" w:sz="6" w:space="0"/>
              <w:bottom w:val="nil"/>
            </w:tcBorders>
            <w:textDirection w:val="tbRlV"/>
            <w:vAlign w:val="center"/>
          </w:tcPr>
          <w:p>
            <w:pPr>
              <w:jc w:val="center"/>
              <w:rPr>
                <w:rFonts w:hint="eastAsia" w:asciiTheme="minorEastAsia" w:hAnsiTheme="minorEastAsia" w:cstheme="minorEastAsia"/>
                <w:sz w:val="15"/>
                <w:szCs w:val="15"/>
              </w:rPr>
            </w:pPr>
          </w:p>
        </w:tc>
        <w:tc>
          <w:tcPr>
            <w:tcW w:w="558"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2</w:t>
            </w:r>
          </w:p>
        </w:tc>
        <w:tc>
          <w:tcPr>
            <w:tcW w:w="619" w:type="dxa"/>
            <w:vAlign w:val="center"/>
          </w:tcPr>
          <w:p>
            <w:pPr>
              <w:jc w:val="center"/>
              <w:rPr>
                <w:rFonts w:hint="eastAsia" w:asciiTheme="minorEastAsia" w:hAnsiTheme="minorEastAsia" w:cstheme="minorEastAsia"/>
                <w:sz w:val="15"/>
                <w:szCs w:val="15"/>
              </w:rPr>
            </w:pPr>
          </w:p>
        </w:tc>
        <w:tc>
          <w:tcPr>
            <w:tcW w:w="1200" w:type="dxa"/>
            <w:vAlign w:val="center"/>
          </w:tcPr>
          <w:p>
            <w:pPr>
              <w:jc w:val="center"/>
              <w:rPr>
                <w:rFonts w:hint="eastAsia" w:asciiTheme="minorEastAsia" w:hAnsiTheme="minorEastAsia" w:cstheme="minorEastAsia"/>
                <w:sz w:val="15"/>
                <w:szCs w:val="15"/>
              </w:rPr>
            </w:pPr>
          </w:p>
        </w:tc>
        <w:tc>
          <w:tcPr>
            <w:tcW w:w="1200" w:type="dxa"/>
            <w:vAlign w:val="center"/>
          </w:tcPr>
          <w:p>
            <w:pPr>
              <w:jc w:val="center"/>
              <w:rPr>
                <w:rFonts w:hint="eastAsia" w:asciiTheme="minorEastAsia" w:hAnsiTheme="minorEastAsia" w:cstheme="minorEastAsia"/>
                <w:sz w:val="15"/>
                <w:szCs w:val="15"/>
              </w:rPr>
            </w:pPr>
          </w:p>
        </w:tc>
        <w:tc>
          <w:tcPr>
            <w:tcW w:w="1185" w:type="dxa"/>
            <w:vAlign w:val="center"/>
          </w:tcPr>
          <w:p>
            <w:pPr>
              <w:jc w:val="center"/>
              <w:rPr>
                <w:rFonts w:hint="eastAsia" w:asciiTheme="minorEastAsia" w:hAnsiTheme="minorEastAsia" w:cstheme="minorEastAsia"/>
                <w:sz w:val="15"/>
                <w:szCs w:val="15"/>
              </w:rPr>
            </w:pPr>
          </w:p>
        </w:tc>
        <w:tc>
          <w:tcPr>
            <w:tcW w:w="1440" w:type="dxa"/>
            <w:vAlign w:val="center"/>
          </w:tcPr>
          <w:p>
            <w:pPr>
              <w:jc w:val="center"/>
              <w:rPr>
                <w:rFonts w:hint="eastAsia" w:asciiTheme="minorEastAsia" w:hAnsiTheme="minorEastAsia" w:cstheme="minorEastAsia"/>
                <w:sz w:val="15"/>
                <w:szCs w:val="15"/>
              </w:rPr>
            </w:pPr>
          </w:p>
        </w:tc>
        <w:tc>
          <w:tcPr>
            <w:tcW w:w="1635" w:type="dxa"/>
            <w:tcBorders>
              <w:right w:val="single" w:color="231F20" w:sz="6" w:space="0"/>
            </w:tcBorders>
            <w:vAlign w:val="center"/>
          </w:tcPr>
          <w:p>
            <w:pPr>
              <w:jc w:val="center"/>
              <w:rPr>
                <w:rFonts w:hint="eastAsia" w:asciiTheme="minorEastAsia" w:hAnsiTheme="minorEastAsia" w:cstheme="minorEastAsia"/>
                <w:sz w:val="15"/>
                <w:szCs w:val="15"/>
              </w:rPr>
            </w:pPr>
          </w:p>
        </w:tc>
      </w:tr>
      <w:tr>
        <w:tblPrEx>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CellMar>
            <w:top w:w="0" w:type="dxa"/>
            <w:left w:w="108" w:type="dxa"/>
            <w:bottom w:w="0" w:type="dxa"/>
            <w:right w:w="108" w:type="dxa"/>
          </w:tblCellMar>
        </w:tblPrEx>
        <w:trPr>
          <w:trHeight w:val="312" w:hRule="atLeast"/>
        </w:trPr>
        <w:tc>
          <w:tcPr>
            <w:tcW w:w="561" w:type="dxa"/>
            <w:vMerge w:val="continue"/>
            <w:tcBorders>
              <w:top w:val="nil"/>
              <w:left w:val="single" w:color="231F20" w:sz="6" w:space="0"/>
              <w:bottom w:val="nil"/>
            </w:tcBorders>
            <w:textDirection w:val="tbRlV"/>
            <w:vAlign w:val="center"/>
          </w:tcPr>
          <w:p>
            <w:pPr>
              <w:jc w:val="center"/>
              <w:rPr>
                <w:rFonts w:hint="eastAsia" w:asciiTheme="minorEastAsia" w:hAnsiTheme="minorEastAsia" w:cstheme="minorEastAsia"/>
                <w:sz w:val="15"/>
                <w:szCs w:val="15"/>
              </w:rPr>
            </w:pPr>
          </w:p>
        </w:tc>
        <w:tc>
          <w:tcPr>
            <w:tcW w:w="558"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3</w:t>
            </w:r>
          </w:p>
        </w:tc>
        <w:tc>
          <w:tcPr>
            <w:tcW w:w="619" w:type="dxa"/>
            <w:vAlign w:val="center"/>
          </w:tcPr>
          <w:p>
            <w:pPr>
              <w:jc w:val="center"/>
              <w:rPr>
                <w:rFonts w:hint="eastAsia" w:asciiTheme="minorEastAsia" w:hAnsiTheme="minorEastAsia" w:cstheme="minorEastAsia"/>
                <w:sz w:val="15"/>
                <w:szCs w:val="15"/>
              </w:rPr>
            </w:pPr>
          </w:p>
        </w:tc>
        <w:tc>
          <w:tcPr>
            <w:tcW w:w="1200" w:type="dxa"/>
            <w:vAlign w:val="center"/>
          </w:tcPr>
          <w:p>
            <w:pPr>
              <w:jc w:val="center"/>
              <w:rPr>
                <w:rFonts w:hint="eastAsia" w:asciiTheme="minorEastAsia" w:hAnsiTheme="minorEastAsia" w:cstheme="minorEastAsia"/>
                <w:sz w:val="15"/>
                <w:szCs w:val="15"/>
              </w:rPr>
            </w:pPr>
          </w:p>
        </w:tc>
        <w:tc>
          <w:tcPr>
            <w:tcW w:w="1200" w:type="dxa"/>
            <w:vAlign w:val="center"/>
          </w:tcPr>
          <w:p>
            <w:pPr>
              <w:jc w:val="center"/>
              <w:rPr>
                <w:rFonts w:hint="eastAsia" w:asciiTheme="minorEastAsia" w:hAnsiTheme="minorEastAsia" w:cstheme="minorEastAsia"/>
                <w:sz w:val="15"/>
                <w:szCs w:val="15"/>
              </w:rPr>
            </w:pPr>
          </w:p>
        </w:tc>
        <w:tc>
          <w:tcPr>
            <w:tcW w:w="1185" w:type="dxa"/>
            <w:vAlign w:val="center"/>
          </w:tcPr>
          <w:p>
            <w:pPr>
              <w:jc w:val="center"/>
              <w:rPr>
                <w:rFonts w:hint="eastAsia" w:asciiTheme="minorEastAsia" w:hAnsiTheme="minorEastAsia" w:cstheme="minorEastAsia"/>
                <w:sz w:val="15"/>
                <w:szCs w:val="15"/>
              </w:rPr>
            </w:pPr>
          </w:p>
        </w:tc>
        <w:tc>
          <w:tcPr>
            <w:tcW w:w="1440" w:type="dxa"/>
            <w:vAlign w:val="center"/>
          </w:tcPr>
          <w:p>
            <w:pPr>
              <w:jc w:val="center"/>
              <w:rPr>
                <w:rFonts w:hint="eastAsia" w:asciiTheme="minorEastAsia" w:hAnsiTheme="minorEastAsia" w:cstheme="minorEastAsia"/>
                <w:sz w:val="15"/>
                <w:szCs w:val="15"/>
              </w:rPr>
            </w:pPr>
          </w:p>
        </w:tc>
        <w:tc>
          <w:tcPr>
            <w:tcW w:w="1635" w:type="dxa"/>
            <w:tcBorders>
              <w:right w:val="single" w:color="231F20" w:sz="6" w:space="0"/>
            </w:tcBorders>
            <w:vAlign w:val="center"/>
          </w:tcPr>
          <w:p>
            <w:pPr>
              <w:jc w:val="center"/>
              <w:rPr>
                <w:rFonts w:hint="eastAsia" w:asciiTheme="minorEastAsia" w:hAnsiTheme="minorEastAsia" w:cstheme="minorEastAsia"/>
                <w:sz w:val="15"/>
                <w:szCs w:val="15"/>
              </w:rPr>
            </w:pPr>
          </w:p>
        </w:tc>
      </w:tr>
      <w:tr>
        <w:tblPrEx>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CellMar>
            <w:top w:w="0" w:type="dxa"/>
            <w:left w:w="108" w:type="dxa"/>
            <w:bottom w:w="0" w:type="dxa"/>
            <w:right w:w="108" w:type="dxa"/>
          </w:tblCellMar>
        </w:tblPrEx>
        <w:trPr>
          <w:trHeight w:val="312" w:hRule="atLeast"/>
        </w:trPr>
        <w:tc>
          <w:tcPr>
            <w:tcW w:w="561" w:type="dxa"/>
            <w:vMerge w:val="continue"/>
            <w:tcBorders>
              <w:top w:val="nil"/>
              <w:left w:val="single" w:color="231F20" w:sz="6" w:space="0"/>
              <w:bottom w:val="nil"/>
            </w:tcBorders>
            <w:textDirection w:val="tbRlV"/>
            <w:vAlign w:val="center"/>
          </w:tcPr>
          <w:p>
            <w:pPr>
              <w:jc w:val="center"/>
              <w:rPr>
                <w:rFonts w:hint="eastAsia" w:asciiTheme="minorEastAsia" w:hAnsiTheme="minorEastAsia" w:cstheme="minorEastAsia"/>
                <w:sz w:val="15"/>
                <w:szCs w:val="15"/>
              </w:rPr>
            </w:pPr>
          </w:p>
        </w:tc>
        <w:tc>
          <w:tcPr>
            <w:tcW w:w="558" w:type="dxa"/>
            <w:vAlign w:val="center"/>
          </w:tcPr>
          <w:p>
            <w:pPr>
              <w:jc w:val="center"/>
              <w:rPr>
                <w:rFonts w:hint="eastAsia" w:asciiTheme="minorEastAsia" w:hAnsiTheme="minorEastAsia" w:cstheme="minorEastAsia"/>
                <w:sz w:val="15"/>
                <w:szCs w:val="15"/>
              </w:rPr>
            </w:pPr>
          </w:p>
        </w:tc>
        <w:tc>
          <w:tcPr>
            <w:tcW w:w="619" w:type="dxa"/>
            <w:vAlign w:val="center"/>
          </w:tcPr>
          <w:p>
            <w:pPr>
              <w:jc w:val="center"/>
              <w:rPr>
                <w:rFonts w:hint="eastAsia" w:asciiTheme="minorEastAsia" w:hAnsiTheme="minorEastAsia" w:cstheme="minorEastAsia"/>
                <w:sz w:val="15"/>
                <w:szCs w:val="15"/>
              </w:rPr>
            </w:pPr>
          </w:p>
        </w:tc>
        <w:tc>
          <w:tcPr>
            <w:tcW w:w="1200" w:type="dxa"/>
            <w:vAlign w:val="center"/>
          </w:tcPr>
          <w:p>
            <w:pPr>
              <w:jc w:val="center"/>
              <w:rPr>
                <w:rFonts w:hint="eastAsia" w:asciiTheme="minorEastAsia" w:hAnsiTheme="minorEastAsia" w:cstheme="minorEastAsia"/>
                <w:sz w:val="15"/>
                <w:szCs w:val="15"/>
              </w:rPr>
            </w:pPr>
          </w:p>
        </w:tc>
        <w:tc>
          <w:tcPr>
            <w:tcW w:w="1200" w:type="dxa"/>
            <w:vAlign w:val="center"/>
          </w:tcPr>
          <w:p>
            <w:pPr>
              <w:jc w:val="center"/>
              <w:rPr>
                <w:rFonts w:hint="eastAsia" w:asciiTheme="minorEastAsia" w:hAnsiTheme="minorEastAsia" w:cstheme="minorEastAsia"/>
                <w:sz w:val="15"/>
                <w:szCs w:val="15"/>
              </w:rPr>
            </w:pPr>
          </w:p>
        </w:tc>
        <w:tc>
          <w:tcPr>
            <w:tcW w:w="1185" w:type="dxa"/>
            <w:vAlign w:val="center"/>
          </w:tcPr>
          <w:p>
            <w:pPr>
              <w:jc w:val="center"/>
              <w:rPr>
                <w:rFonts w:hint="eastAsia" w:asciiTheme="minorEastAsia" w:hAnsiTheme="minorEastAsia" w:cstheme="minorEastAsia"/>
                <w:sz w:val="15"/>
                <w:szCs w:val="15"/>
              </w:rPr>
            </w:pPr>
          </w:p>
        </w:tc>
        <w:tc>
          <w:tcPr>
            <w:tcW w:w="1440" w:type="dxa"/>
            <w:vAlign w:val="center"/>
          </w:tcPr>
          <w:p>
            <w:pPr>
              <w:jc w:val="center"/>
              <w:rPr>
                <w:rFonts w:hint="eastAsia" w:asciiTheme="minorEastAsia" w:hAnsiTheme="minorEastAsia" w:cstheme="minorEastAsia"/>
                <w:sz w:val="15"/>
                <w:szCs w:val="15"/>
              </w:rPr>
            </w:pPr>
          </w:p>
        </w:tc>
        <w:tc>
          <w:tcPr>
            <w:tcW w:w="1635" w:type="dxa"/>
            <w:tcBorders>
              <w:right w:val="single" w:color="231F20" w:sz="6" w:space="0"/>
            </w:tcBorders>
            <w:vAlign w:val="center"/>
          </w:tcPr>
          <w:p>
            <w:pPr>
              <w:jc w:val="center"/>
              <w:rPr>
                <w:rFonts w:hint="eastAsia" w:asciiTheme="minorEastAsia" w:hAnsiTheme="minorEastAsia" w:cstheme="minorEastAsia"/>
                <w:sz w:val="15"/>
                <w:szCs w:val="15"/>
              </w:rPr>
            </w:pPr>
          </w:p>
        </w:tc>
      </w:tr>
      <w:tr>
        <w:tblPrEx>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CellMar>
            <w:top w:w="0" w:type="dxa"/>
            <w:left w:w="108" w:type="dxa"/>
            <w:bottom w:w="0" w:type="dxa"/>
            <w:right w:w="108" w:type="dxa"/>
          </w:tblCellMar>
        </w:tblPrEx>
        <w:trPr>
          <w:trHeight w:val="308" w:hRule="atLeast"/>
        </w:trPr>
        <w:tc>
          <w:tcPr>
            <w:tcW w:w="561" w:type="dxa"/>
            <w:vMerge w:val="continue"/>
            <w:tcBorders>
              <w:top w:val="nil"/>
              <w:left w:val="single" w:color="231F20" w:sz="6" w:space="0"/>
              <w:bottom w:val="nil"/>
            </w:tcBorders>
            <w:textDirection w:val="tbRlV"/>
            <w:vAlign w:val="center"/>
          </w:tcPr>
          <w:p>
            <w:pPr>
              <w:jc w:val="center"/>
              <w:rPr>
                <w:rFonts w:hint="eastAsia" w:asciiTheme="minorEastAsia" w:hAnsiTheme="minorEastAsia" w:cstheme="minorEastAsia"/>
                <w:sz w:val="15"/>
                <w:szCs w:val="15"/>
              </w:rPr>
            </w:pPr>
          </w:p>
        </w:tc>
        <w:tc>
          <w:tcPr>
            <w:tcW w:w="558"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w:t>
            </w:r>
          </w:p>
        </w:tc>
        <w:tc>
          <w:tcPr>
            <w:tcW w:w="619" w:type="dxa"/>
            <w:vAlign w:val="center"/>
          </w:tcPr>
          <w:p>
            <w:pPr>
              <w:jc w:val="center"/>
              <w:rPr>
                <w:rFonts w:hint="eastAsia" w:asciiTheme="minorEastAsia" w:hAnsiTheme="minorEastAsia" w:cstheme="minorEastAsia"/>
                <w:sz w:val="15"/>
                <w:szCs w:val="15"/>
              </w:rPr>
            </w:pPr>
          </w:p>
        </w:tc>
        <w:tc>
          <w:tcPr>
            <w:tcW w:w="1200" w:type="dxa"/>
            <w:vAlign w:val="center"/>
          </w:tcPr>
          <w:p>
            <w:pPr>
              <w:jc w:val="center"/>
              <w:rPr>
                <w:rFonts w:hint="eastAsia" w:asciiTheme="minorEastAsia" w:hAnsiTheme="minorEastAsia" w:cstheme="minorEastAsia"/>
                <w:sz w:val="15"/>
                <w:szCs w:val="15"/>
              </w:rPr>
            </w:pPr>
          </w:p>
        </w:tc>
        <w:tc>
          <w:tcPr>
            <w:tcW w:w="1200" w:type="dxa"/>
            <w:vAlign w:val="center"/>
          </w:tcPr>
          <w:p>
            <w:pPr>
              <w:jc w:val="center"/>
              <w:rPr>
                <w:rFonts w:hint="eastAsia" w:asciiTheme="minorEastAsia" w:hAnsiTheme="minorEastAsia" w:cstheme="minorEastAsia"/>
                <w:sz w:val="15"/>
                <w:szCs w:val="15"/>
              </w:rPr>
            </w:pPr>
          </w:p>
        </w:tc>
        <w:tc>
          <w:tcPr>
            <w:tcW w:w="1185" w:type="dxa"/>
            <w:vAlign w:val="center"/>
          </w:tcPr>
          <w:p>
            <w:pPr>
              <w:jc w:val="center"/>
              <w:rPr>
                <w:rFonts w:hint="eastAsia" w:asciiTheme="minorEastAsia" w:hAnsiTheme="minorEastAsia" w:cstheme="minorEastAsia"/>
                <w:sz w:val="15"/>
                <w:szCs w:val="15"/>
              </w:rPr>
            </w:pPr>
          </w:p>
        </w:tc>
        <w:tc>
          <w:tcPr>
            <w:tcW w:w="1440" w:type="dxa"/>
            <w:vAlign w:val="center"/>
          </w:tcPr>
          <w:p>
            <w:pPr>
              <w:jc w:val="center"/>
              <w:rPr>
                <w:rFonts w:hint="eastAsia" w:asciiTheme="minorEastAsia" w:hAnsiTheme="minorEastAsia" w:cstheme="minorEastAsia"/>
                <w:sz w:val="15"/>
                <w:szCs w:val="15"/>
              </w:rPr>
            </w:pPr>
          </w:p>
        </w:tc>
        <w:tc>
          <w:tcPr>
            <w:tcW w:w="1635" w:type="dxa"/>
            <w:tcBorders>
              <w:right w:val="single" w:color="231F20" w:sz="6" w:space="0"/>
            </w:tcBorders>
            <w:vAlign w:val="center"/>
          </w:tcPr>
          <w:p>
            <w:pPr>
              <w:jc w:val="center"/>
              <w:rPr>
                <w:rFonts w:hint="eastAsia" w:asciiTheme="minorEastAsia" w:hAnsiTheme="minorEastAsia" w:cstheme="minorEastAsia"/>
                <w:sz w:val="15"/>
                <w:szCs w:val="15"/>
              </w:rPr>
            </w:pPr>
          </w:p>
        </w:tc>
      </w:tr>
      <w:tr>
        <w:tblPrEx>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CellMar>
            <w:top w:w="0" w:type="dxa"/>
            <w:left w:w="108" w:type="dxa"/>
            <w:bottom w:w="0" w:type="dxa"/>
            <w:right w:w="108" w:type="dxa"/>
          </w:tblCellMar>
        </w:tblPrEx>
        <w:trPr>
          <w:trHeight w:val="516" w:hRule="atLeast"/>
        </w:trPr>
        <w:tc>
          <w:tcPr>
            <w:tcW w:w="561" w:type="dxa"/>
            <w:vMerge w:val="continue"/>
            <w:tcBorders>
              <w:top w:val="nil"/>
              <w:left w:val="single" w:color="231F20" w:sz="6" w:space="0"/>
            </w:tcBorders>
            <w:textDirection w:val="tbRlV"/>
            <w:vAlign w:val="center"/>
          </w:tcPr>
          <w:p>
            <w:pPr>
              <w:jc w:val="center"/>
              <w:rPr>
                <w:rFonts w:hint="eastAsia" w:asciiTheme="minorEastAsia" w:hAnsiTheme="minorEastAsia" w:cstheme="minorEastAsia"/>
                <w:sz w:val="15"/>
                <w:szCs w:val="15"/>
              </w:rPr>
            </w:pPr>
          </w:p>
        </w:tc>
        <w:tc>
          <w:tcPr>
            <w:tcW w:w="558"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测点总数</w:t>
            </w:r>
          </w:p>
        </w:tc>
        <w:tc>
          <w:tcPr>
            <w:tcW w:w="1819" w:type="dxa"/>
            <w:gridSpan w:val="2"/>
            <w:vAlign w:val="center"/>
          </w:tcPr>
          <w:p>
            <w:pPr>
              <w:jc w:val="center"/>
              <w:rPr>
                <w:rFonts w:hint="eastAsia" w:asciiTheme="minorEastAsia" w:hAnsiTheme="minorEastAsia" w:cstheme="minorEastAsia"/>
                <w:sz w:val="15"/>
                <w:szCs w:val="15"/>
              </w:rPr>
            </w:pPr>
          </w:p>
        </w:tc>
        <w:tc>
          <w:tcPr>
            <w:tcW w:w="1200"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合格点数</w:t>
            </w:r>
          </w:p>
        </w:tc>
        <w:tc>
          <w:tcPr>
            <w:tcW w:w="2625" w:type="dxa"/>
            <w:gridSpan w:val="2"/>
            <w:vAlign w:val="center"/>
          </w:tcPr>
          <w:p>
            <w:pPr>
              <w:jc w:val="center"/>
              <w:rPr>
                <w:rFonts w:hint="eastAsia" w:asciiTheme="minorEastAsia" w:hAnsiTheme="minorEastAsia" w:cstheme="minorEastAsia"/>
                <w:sz w:val="15"/>
                <w:szCs w:val="15"/>
              </w:rPr>
            </w:pPr>
          </w:p>
        </w:tc>
        <w:tc>
          <w:tcPr>
            <w:tcW w:w="1635" w:type="dxa"/>
            <w:tcBorders>
              <w:right w:val="single" w:color="231F20" w:sz="6" w:space="0"/>
            </w:tcBorders>
            <w:vAlign w:val="center"/>
          </w:tcPr>
          <w:p>
            <w:pPr>
              <w:jc w:val="center"/>
              <w:rPr>
                <w:rFonts w:hint="eastAsia" w:asciiTheme="minorEastAsia" w:hAnsiTheme="minorEastAsia" w:cstheme="minorEastAsia"/>
                <w:sz w:val="15"/>
                <w:szCs w:val="15"/>
              </w:rPr>
            </w:pPr>
          </w:p>
        </w:tc>
      </w:tr>
      <w:tr>
        <w:tblPrEx>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CellMar>
            <w:top w:w="0" w:type="dxa"/>
            <w:left w:w="108" w:type="dxa"/>
            <w:bottom w:w="0" w:type="dxa"/>
            <w:right w:w="108" w:type="dxa"/>
          </w:tblCellMar>
        </w:tblPrEx>
        <w:trPr>
          <w:trHeight w:val="788" w:hRule="atLeast"/>
        </w:trPr>
        <w:tc>
          <w:tcPr>
            <w:tcW w:w="561" w:type="dxa"/>
            <w:vMerge w:val="restart"/>
            <w:tcBorders>
              <w:left w:val="single" w:color="231F20" w:sz="6" w:space="0"/>
              <w:bottom w:val="nil"/>
            </w:tcBorders>
            <w:textDirection w:val="tbRlV"/>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评 价</w:t>
            </w:r>
          </w:p>
        </w:tc>
        <w:tc>
          <w:tcPr>
            <w:tcW w:w="558"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检测 结果</w:t>
            </w:r>
          </w:p>
        </w:tc>
        <w:tc>
          <w:tcPr>
            <w:tcW w:w="5644" w:type="dxa"/>
            <w:gridSpan w:val="5"/>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position w:val="-1"/>
                <w:sz w:val="15"/>
                <w:szCs w:val="15"/>
              </w:rPr>
              <w:t xml:space="preserve">1. </w:t>
            </w:r>
            <w:r>
              <w:rPr>
                <w:rFonts w:hint="eastAsia" w:asciiTheme="minorEastAsia" w:hAnsiTheme="minorEastAsia" w:eastAsiaTheme="minorEastAsia" w:cstheme="minorEastAsia"/>
                <w:sz w:val="15"/>
                <w:szCs w:val="15"/>
              </w:rPr>
              <w:t xml:space="preserve">共检测 </w:t>
            </w:r>
            <w:r>
              <w:rPr>
                <w:rFonts w:hint="eastAsia" w:asciiTheme="minorEastAsia" w:hAnsiTheme="minorEastAsia" w:eastAsiaTheme="minorEastAsia" w:cstheme="minorEastAsia"/>
                <w:sz w:val="15"/>
                <w:szCs w:val="15"/>
                <w:u w:val="single" w:color="231F20"/>
              </w:rPr>
              <w:t xml:space="preserve">      </w:t>
            </w:r>
            <w:r>
              <w:rPr>
                <w:rFonts w:hint="eastAsia" w:asciiTheme="minorEastAsia" w:hAnsiTheme="minorEastAsia" w:eastAsiaTheme="minorEastAsia" w:cstheme="minorEastAsia"/>
                <w:sz w:val="15"/>
                <w:szCs w:val="15"/>
              </w:rPr>
              <w:t xml:space="preserve"> 点 ,  合格 </w:t>
            </w:r>
            <w:r>
              <w:rPr>
                <w:rFonts w:hint="eastAsia" w:asciiTheme="minorEastAsia" w:hAnsiTheme="minorEastAsia" w:eastAsiaTheme="minorEastAsia" w:cstheme="minorEastAsia"/>
                <w:sz w:val="15"/>
                <w:szCs w:val="15"/>
                <w:u w:val="single" w:color="231F20"/>
              </w:rPr>
              <w:t xml:space="preserve">      </w:t>
            </w:r>
            <w:r>
              <w:rPr>
                <w:rFonts w:hint="eastAsia" w:asciiTheme="minorEastAsia" w:hAnsiTheme="minorEastAsia" w:eastAsiaTheme="minorEastAsia" w:cstheme="minorEastAsia"/>
                <w:sz w:val="15"/>
                <w:szCs w:val="15"/>
              </w:rPr>
              <w:t xml:space="preserve"> 点 ,  合格率 </w:t>
            </w:r>
            <w:r>
              <w:rPr>
                <w:rFonts w:hint="eastAsia" w:asciiTheme="minorEastAsia" w:hAnsiTheme="minorEastAsia" w:eastAsiaTheme="minorEastAsia" w:cstheme="minorEastAsia"/>
                <w:sz w:val="15"/>
                <w:szCs w:val="15"/>
                <w:u w:val="single" w:color="231F20"/>
              </w:rPr>
              <w:t xml:space="preserve">      </w:t>
            </w:r>
            <w:r>
              <w:rPr>
                <w:rFonts w:hint="eastAsia" w:asciiTheme="minorEastAsia" w:hAnsiTheme="minorEastAsia" w:eastAsiaTheme="minorEastAsia" w:cstheme="minorEastAsia"/>
                <w:sz w:val="15"/>
                <w:szCs w:val="15"/>
              </w:rPr>
              <w:t xml:space="preserve"> </w:t>
            </w:r>
            <w:r>
              <w:rPr>
                <w:rFonts w:hint="eastAsia" w:asciiTheme="minorEastAsia" w:hAnsiTheme="minorEastAsia" w:eastAsiaTheme="minorEastAsia" w:cstheme="minorEastAsia"/>
                <w:position w:val="-1"/>
                <w:sz w:val="15"/>
                <w:szCs w:val="15"/>
              </w:rPr>
              <w:t xml:space="preserve">% </w:t>
            </w:r>
            <w:r>
              <w:rPr>
                <w:rFonts w:hint="eastAsia" w:asciiTheme="minorEastAsia" w:hAnsiTheme="minorEastAsia" w:eastAsiaTheme="minorEastAsia" w:cstheme="minorEastAsia"/>
                <w:sz w:val="15"/>
                <w:szCs w:val="15"/>
              </w:rPr>
              <w:t>;</w:t>
            </w:r>
          </w:p>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position w:val="-1"/>
                <w:sz w:val="15"/>
                <w:szCs w:val="15"/>
              </w:rPr>
              <w:t xml:space="preserve">2. </w:t>
            </w:r>
            <w:r>
              <w:rPr>
                <w:rFonts w:hint="eastAsia" w:asciiTheme="minorEastAsia" w:hAnsiTheme="minorEastAsia" w:eastAsiaTheme="minorEastAsia" w:cstheme="minorEastAsia"/>
                <w:sz w:val="15"/>
                <w:szCs w:val="15"/>
              </w:rPr>
              <w:t>不合格点不集中 □          不集中为</w:t>
            </w:r>
            <w:r>
              <w:rPr>
                <w:rFonts w:hint="eastAsia" w:asciiTheme="minorEastAsia" w:hAnsiTheme="minorEastAsia" w:eastAsiaTheme="minorEastAsia" w:cstheme="minorEastAsia"/>
                <w:position w:val="-1"/>
                <w:sz w:val="15"/>
                <w:szCs w:val="15"/>
              </w:rPr>
              <w:t xml:space="preserve">√ </w:t>
            </w:r>
            <w:r>
              <w:rPr>
                <w:rFonts w:hint="eastAsia" w:asciiTheme="minorEastAsia" w:hAnsiTheme="minorEastAsia" w:eastAsiaTheme="minorEastAsia" w:cstheme="minorEastAsia"/>
                <w:sz w:val="15"/>
                <w:szCs w:val="15"/>
              </w:rPr>
              <w:t xml:space="preserve">,  集中为 </w:t>
            </w:r>
            <w:r>
              <w:rPr>
                <w:rFonts w:hint="eastAsia" w:asciiTheme="minorEastAsia" w:hAnsiTheme="minorEastAsia" w:eastAsiaTheme="minorEastAsia" w:cstheme="minorEastAsia"/>
                <w:position w:val="-1"/>
                <w:sz w:val="15"/>
                <w:szCs w:val="15"/>
              </w:rPr>
              <w:t>×。</w:t>
            </w:r>
          </w:p>
        </w:tc>
        <w:tc>
          <w:tcPr>
            <w:tcW w:w="1635" w:type="dxa"/>
            <w:tcBorders>
              <w:right w:val="single" w:color="231F20" w:sz="6" w:space="0"/>
            </w:tcBorders>
            <w:vAlign w:val="center"/>
          </w:tcPr>
          <w:p>
            <w:pPr>
              <w:jc w:val="center"/>
              <w:rPr>
                <w:rFonts w:hint="eastAsia" w:asciiTheme="minorEastAsia" w:hAnsiTheme="minorEastAsia" w:cstheme="minorEastAsia"/>
                <w:sz w:val="15"/>
                <w:szCs w:val="15"/>
              </w:rPr>
            </w:pPr>
          </w:p>
        </w:tc>
      </w:tr>
      <w:tr>
        <w:tblPrEx>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CellMar>
            <w:top w:w="0" w:type="dxa"/>
            <w:left w:w="108" w:type="dxa"/>
            <w:bottom w:w="0" w:type="dxa"/>
            <w:right w:w="108" w:type="dxa"/>
          </w:tblCellMar>
        </w:tblPrEx>
        <w:trPr>
          <w:trHeight w:val="1106" w:hRule="atLeast"/>
        </w:trPr>
        <w:tc>
          <w:tcPr>
            <w:tcW w:w="561" w:type="dxa"/>
            <w:vMerge w:val="continue"/>
            <w:tcBorders>
              <w:top w:val="nil"/>
              <w:left w:val="single" w:color="231F20" w:sz="6" w:space="0"/>
            </w:tcBorders>
            <w:textDirection w:val="tbRlV"/>
            <w:vAlign w:val="center"/>
          </w:tcPr>
          <w:p>
            <w:pPr>
              <w:jc w:val="center"/>
              <w:rPr>
                <w:rFonts w:hint="eastAsia" w:asciiTheme="minorEastAsia" w:hAnsiTheme="minorEastAsia" w:cstheme="minorEastAsia"/>
                <w:sz w:val="15"/>
                <w:szCs w:val="15"/>
              </w:rPr>
            </w:pPr>
          </w:p>
        </w:tc>
        <w:tc>
          <w:tcPr>
            <w:tcW w:w="558"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结论</w:t>
            </w:r>
          </w:p>
        </w:tc>
        <w:tc>
          <w:tcPr>
            <w:tcW w:w="5644" w:type="dxa"/>
            <w:gridSpan w:val="5"/>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不合格 □</w:t>
            </w:r>
          </w:p>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合格 □</w:t>
            </w:r>
          </w:p>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评价结论选择其一 ,  用  “</w:t>
            </w:r>
            <w:r>
              <w:rPr>
                <w:rFonts w:hint="eastAsia" w:asciiTheme="minorEastAsia" w:hAnsiTheme="minorEastAsia" w:eastAsiaTheme="minorEastAsia" w:cstheme="minorEastAsia"/>
                <w:position w:val="-1"/>
                <w:sz w:val="15"/>
                <w:szCs w:val="15"/>
              </w:rPr>
              <w:t xml:space="preserve">√ </w:t>
            </w:r>
            <w:r>
              <w:rPr>
                <w:rFonts w:hint="eastAsia" w:asciiTheme="minorEastAsia" w:hAnsiTheme="minorEastAsia" w:eastAsiaTheme="minorEastAsia" w:cstheme="minorEastAsia"/>
                <w:sz w:val="15"/>
                <w:szCs w:val="15"/>
              </w:rPr>
              <w:t>” 表示</w:t>
            </w:r>
          </w:p>
        </w:tc>
        <w:tc>
          <w:tcPr>
            <w:tcW w:w="1635" w:type="dxa"/>
            <w:tcBorders>
              <w:right w:val="single" w:color="231F20" w:sz="6" w:space="0"/>
            </w:tcBorders>
            <w:vAlign w:val="center"/>
          </w:tcPr>
          <w:p>
            <w:pPr>
              <w:jc w:val="center"/>
              <w:rPr>
                <w:rFonts w:hint="eastAsia" w:asciiTheme="minorEastAsia" w:hAnsiTheme="minorEastAsia" w:cstheme="minorEastAsia"/>
                <w:sz w:val="15"/>
                <w:szCs w:val="15"/>
              </w:rPr>
            </w:pPr>
          </w:p>
        </w:tc>
      </w:tr>
      <w:tr>
        <w:tblPrEx>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CellMar>
            <w:top w:w="0" w:type="dxa"/>
            <w:left w:w="108" w:type="dxa"/>
            <w:bottom w:w="0" w:type="dxa"/>
            <w:right w:w="108" w:type="dxa"/>
          </w:tblCellMar>
        </w:tblPrEx>
        <w:trPr>
          <w:trHeight w:val="351" w:hRule="atLeast"/>
        </w:trPr>
        <w:tc>
          <w:tcPr>
            <w:tcW w:w="1119" w:type="dxa"/>
            <w:gridSpan w:val="2"/>
            <w:tcBorders>
              <w:left w:val="single" w:color="231F20" w:sz="6" w:space="0"/>
            </w:tcBorders>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测量人</w:t>
            </w:r>
          </w:p>
        </w:tc>
        <w:tc>
          <w:tcPr>
            <w:tcW w:w="1819" w:type="dxa"/>
            <w:gridSpan w:val="2"/>
            <w:vAlign w:val="center"/>
          </w:tcPr>
          <w:p>
            <w:pPr>
              <w:jc w:val="center"/>
              <w:rPr>
                <w:rFonts w:hint="eastAsia" w:asciiTheme="minorEastAsia" w:hAnsiTheme="minorEastAsia" w:cstheme="minorEastAsia"/>
                <w:sz w:val="15"/>
                <w:szCs w:val="15"/>
              </w:rPr>
            </w:pPr>
          </w:p>
        </w:tc>
        <w:tc>
          <w:tcPr>
            <w:tcW w:w="1200"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审核人</w:t>
            </w:r>
          </w:p>
        </w:tc>
        <w:tc>
          <w:tcPr>
            <w:tcW w:w="2625" w:type="dxa"/>
            <w:gridSpan w:val="2"/>
            <w:vAlign w:val="center"/>
          </w:tcPr>
          <w:p>
            <w:pPr>
              <w:jc w:val="center"/>
              <w:rPr>
                <w:rFonts w:hint="eastAsia" w:asciiTheme="minorEastAsia" w:hAnsiTheme="minorEastAsia" w:cstheme="minorEastAsia"/>
                <w:sz w:val="15"/>
                <w:szCs w:val="15"/>
              </w:rPr>
            </w:pPr>
          </w:p>
        </w:tc>
        <w:tc>
          <w:tcPr>
            <w:tcW w:w="1635" w:type="dxa"/>
            <w:tcBorders>
              <w:right w:val="single" w:color="231F20" w:sz="6" w:space="0"/>
            </w:tcBorders>
            <w:vAlign w:val="center"/>
          </w:tcPr>
          <w:p>
            <w:pPr>
              <w:jc w:val="center"/>
              <w:rPr>
                <w:rFonts w:hint="eastAsia" w:asciiTheme="minorEastAsia" w:hAnsiTheme="minorEastAsia" w:cstheme="minorEastAsia"/>
                <w:sz w:val="15"/>
                <w:szCs w:val="15"/>
              </w:rPr>
            </w:pPr>
          </w:p>
        </w:tc>
      </w:tr>
      <w:tr>
        <w:tblPrEx>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CellMar>
            <w:top w:w="0" w:type="dxa"/>
            <w:left w:w="108" w:type="dxa"/>
            <w:bottom w:w="0" w:type="dxa"/>
            <w:right w:w="108" w:type="dxa"/>
          </w:tblCellMar>
        </w:tblPrEx>
        <w:trPr>
          <w:trHeight w:val="357" w:hRule="atLeast"/>
        </w:trPr>
        <w:tc>
          <w:tcPr>
            <w:tcW w:w="8398" w:type="dxa"/>
            <w:gridSpan w:val="8"/>
            <w:tcBorders>
              <w:left w:val="single" w:color="231F20" w:sz="6" w:space="0"/>
              <w:bottom w:val="single" w:color="231F20" w:sz="6" w:space="0"/>
              <w:right w:val="single" w:color="231F20" w:sz="6" w:space="0"/>
            </w:tcBorders>
            <w:vAlign w:val="center"/>
          </w:tcPr>
          <w:p>
            <w:pPr>
              <w:pStyle w:val="27"/>
              <w:spacing w:line="240" w:lineRule="auto"/>
              <w:rPr>
                <w:rFonts w:hint="eastAsia" w:asciiTheme="minorEastAsia" w:hAnsiTheme="minorEastAsia" w:eastAsiaTheme="minorEastAsia" w:cstheme="minorEastAsia"/>
                <w:sz w:val="15"/>
                <w:szCs w:val="15"/>
              </w:rPr>
            </w:pPr>
            <w:r>
              <w:rPr>
                <w:rFonts w:hint="eastAsia" w:ascii="黑体" w:hAnsi="黑体" w:eastAsia="黑体" w:cs="黑体"/>
                <w:sz w:val="15"/>
                <w:szCs w:val="15"/>
              </w:rPr>
              <w:t>注 :  结果评定为栏合格打  “</w:t>
            </w:r>
            <w:r>
              <w:rPr>
                <w:rFonts w:hint="eastAsia" w:ascii="黑体" w:hAnsi="黑体" w:eastAsia="黑体" w:cs="黑体"/>
                <w:position w:val="-1"/>
                <w:sz w:val="15"/>
                <w:szCs w:val="15"/>
              </w:rPr>
              <w:t xml:space="preserve">√ </w:t>
            </w:r>
            <w:r>
              <w:rPr>
                <w:rFonts w:hint="eastAsia" w:ascii="黑体" w:hAnsi="黑体" w:eastAsia="黑体" w:cs="黑体"/>
                <w:sz w:val="15"/>
                <w:szCs w:val="15"/>
              </w:rPr>
              <w:t>”,  不合格打  “</w:t>
            </w:r>
            <w:r>
              <w:rPr>
                <w:rFonts w:hint="eastAsia" w:ascii="黑体" w:hAnsi="黑体" w:eastAsia="黑体" w:cs="黑体"/>
                <w:position w:val="-1"/>
                <w:sz w:val="15"/>
                <w:szCs w:val="15"/>
              </w:rPr>
              <w:t xml:space="preserve">× </w:t>
            </w:r>
            <w:r>
              <w:rPr>
                <w:rFonts w:hint="eastAsia" w:ascii="黑体" w:hAnsi="黑体" w:eastAsia="黑体" w:cs="黑体"/>
                <w:sz w:val="15"/>
                <w:szCs w:val="15"/>
              </w:rPr>
              <w:t>”。</w:t>
            </w:r>
          </w:p>
        </w:tc>
      </w:tr>
    </w:tbl>
    <w:p>
      <w:pPr>
        <w:spacing w:line="360" w:lineRule="auto"/>
        <w:rPr>
          <w:rFonts w:ascii="Times New Roman" w:hAnsi="Times New Roman" w:cs="Times New Roman"/>
        </w:rPr>
      </w:pPr>
    </w:p>
    <w:p>
      <w:pPr>
        <w:pStyle w:val="3"/>
        <w:snapToGrid w:val="0"/>
        <w:spacing w:beforeLines="50" w:afterLines="50" w:line="360" w:lineRule="auto"/>
        <w:jc w:val="center"/>
        <w:rPr>
          <w:rFonts w:ascii="黑体" w:hAnsi="黑体" w:cs="黑体"/>
          <w:sz w:val="24"/>
          <w:szCs w:val="24"/>
        </w:rPr>
      </w:pPr>
      <w:bookmarkStart w:id="153" w:name="_Toc7216"/>
      <w:r>
        <w:rPr>
          <w:rFonts w:ascii="黑体" w:hAnsi="黑体" w:cs="黑体"/>
          <w:sz w:val="24"/>
          <w:szCs w:val="24"/>
        </w:rPr>
        <w:t>9.2  检测项目及布置</w:t>
      </w:r>
      <w:bookmarkEnd w:id="153"/>
    </w:p>
    <w:p>
      <w:pPr>
        <w:spacing w:line="360" w:lineRule="auto"/>
        <w:rPr>
          <w:rFonts w:ascii="Times New Roman" w:hAnsi="Times New Roman" w:cs="Times New Roman"/>
          <w:kern w:val="0"/>
        </w:rPr>
      </w:pPr>
      <w:r>
        <w:rPr>
          <w:rFonts w:hint="eastAsia" w:ascii="黑体" w:hAnsi="黑体" w:eastAsia="黑体" w:cs="黑体"/>
          <w:kern w:val="0"/>
          <w:szCs w:val="21"/>
        </w:rPr>
        <w:t xml:space="preserve">9.2.1  </w:t>
      </w:r>
      <w:r>
        <w:rPr>
          <w:rFonts w:ascii="Times New Roman" w:hAnsi="Times New Roman" w:cs="Times New Roman"/>
          <w:kern w:val="0"/>
        </w:rPr>
        <w:t>检测项目宜包括：高程、平面位置</w:t>
      </w:r>
      <w:r>
        <w:rPr>
          <w:rFonts w:hint="eastAsia" w:ascii="Times New Roman" w:hAnsi="Times New Roman" w:cs="Times New Roman"/>
          <w:kern w:val="0"/>
        </w:rPr>
        <w:t>、</w:t>
      </w:r>
      <w:r>
        <w:rPr>
          <w:rFonts w:ascii="Times New Roman" w:hAnsi="Times New Roman" w:cs="Times New Roman"/>
          <w:kern w:val="0"/>
        </w:rPr>
        <w:t>建筑物纵横轴线</w:t>
      </w:r>
      <w:r>
        <w:rPr>
          <w:rFonts w:hint="eastAsia" w:ascii="Times New Roman" w:hAnsi="Times New Roman" w:cs="Times New Roman"/>
          <w:kern w:val="0"/>
        </w:rPr>
        <w:t>、</w:t>
      </w:r>
      <w:r>
        <w:rPr>
          <w:rFonts w:ascii="Times New Roman" w:hAnsi="Times New Roman" w:cs="Times New Roman"/>
          <w:kern w:val="0"/>
        </w:rPr>
        <w:t>建筑物断面几何尺寸（</w:t>
      </w:r>
      <w:r>
        <w:rPr>
          <w:rFonts w:hint="eastAsia" w:ascii="Times New Roman" w:hAnsi="Times New Roman" w:cs="Times New Roman"/>
          <w:kern w:val="0"/>
        </w:rPr>
        <w:t>、结构构件</w:t>
      </w:r>
      <w:r>
        <w:rPr>
          <w:rFonts w:ascii="Times New Roman" w:hAnsi="Times New Roman" w:cs="Times New Roman"/>
          <w:kern w:val="0"/>
        </w:rPr>
        <w:t>几何尺寸、角度</w:t>
      </w:r>
      <w:r>
        <w:rPr>
          <w:rFonts w:hint="eastAsia" w:ascii="Times New Roman" w:hAnsi="Times New Roman" w:cs="Times New Roman"/>
          <w:kern w:val="0"/>
        </w:rPr>
        <w:t>、</w:t>
      </w:r>
      <w:r>
        <w:rPr>
          <w:rFonts w:ascii="Times New Roman" w:hAnsi="Times New Roman" w:cs="Times New Roman"/>
          <w:kern w:val="0"/>
        </w:rPr>
        <w:t>坡度</w:t>
      </w:r>
      <w:r>
        <w:rPr>
          <w:rFonts w:hint="eastAsia" w:ascii="Times New Roman" w:hAnsi="Times New Roman" w:cs="Times New Roman"/>
          <w:kern w:val="0"/>
        </w:rPr>
        <w:t>及</w:t>
      </w:r>
      <w:r>
        <w:rPr>
          <w:rFonts w:ascii="Times New Roman" w:hAnsi="Times New Roman" w:cs="Times New Roman"/>
          <w:kern w:val="0"/>
        </w:rPr>
        <w:t>平整度。</w:t>
      </w:r>
    </w:p>
    <w:p>
      <w:pPr>
        <w:spacing w:line="360" w:lineRule="auto"/>
        <w:rPr>
          <w:rFonts w:ascii="Times New Roman" w:hAnsi="Times New Roman" w:cs="Times New Roman"/>
          <w:kern w:val="0"/>
        </w:rPr>
      </w:pPr>
      <w:r>
        <w:rPr>
          <w:rFonts w:hint="eastAsia" w:ascii="黑体" w:hAnsi="黑体" w:eastAsia="黑体" w:cs="黑体"/>
          <w:kern w:val="0"/>
          <w:szCs w:val="21"/>
        </w:rPr>
        <w:t>9.2.2</w:t>
      </w:r>
      <w:r>
        <w:rPr>
          <w:rFonts w:ascii="Times New Roman" w:hAnsi="Times New Roman" w:cs="Times New Roman"/>
          <w:kern w:val="0"/>
        </w:rPr>
        <w:t xml:space="preserve">  挡水建筑物的测区布置和数量应符合下列要求：</w:t>
      </w:r>
    </w:p>
    <w:p>
      <w:pPr>
        <w:spacing w:line="360" w:lineRule="auto"/>
        <w:ind w:firstLine="420" w:firstLineChars="200"/>
        <w:rPr>
          <w:rFonts w:hint="eastAsia" w:cs="Times New Roman" w:asciiTheme="minorEastAsia" w:hAnsiTheme="minorEastAsia"/>
          <w:kern w:val="0"/>
        </w:rPr>
      </w:pPr>
      <w:r>
        <w:rPr>
          <w:rFonts w:hint="eastAsia" w:ascii="黑体" w:hAnsi="黑体" w:eastAsia="黑体" w:cs="黑体"/>
          <w:kern w:val="0"/>
          <w:szCs w:val="21"/>
        </w:rPr>
        <w:t xml:space="preserve">1 </w:t>
      </w:r>
      <w:r>
        <w:rPr>
          <w:rFonts w:ascii="Times New Roman" w:hAnsi="Times New Roman" w:eastAsia="黑体" w:cs="Times New Roman"/>
          <w:kern w:val="0"/>
        </w:rPr>
        <w:t xml:space="preserve"> </w:t>
      </w:r>
      <w:r>
        <w:rPr>
          <w:rFonts w:hint="eastAsia" w:cs="Times New Roman" w:asciiTheme="minorEastAsia" w:hAnsiTheme="minorEastAsia"/>
          <w:kern w:val="0"/>
        </w:rPr>
        <w:t>坝顶和马道高程测点按长度布置，长度小于</w:t>
      </w:r>
      <w:r>
        <w:rPr>
          <w:rFonts w:cs="Times New Roman" w:asciiTheme="minorEastAsia" w:hAnsiTheme="minorEastAsia"/>
          <w:kern w:val="0"/>
        </w:rPr>
        <w:t>500m</w:t>
      </w:r>
      <w:r>
        <w:rPr>
          <w:rFonts w:hint="eastAsia" w:cs="Times New Roman" w:asciiTheme="minorEastAsia" w:hAnsiTheme="minorEastAsia"/>
          <w:kern w:val="0"/>
        </w:rPr>
        <w:t>，应按每</w:t>
      </w:r>
      <w:r>
        <w:rPr>
          <w:rFonts w:cs="Times New Roman" w:asciiTheme="minorEastAsia" w:hAnsiTheme="minorEastAsia"/>
          <w:kern w:val="0"/>
        </w:rPr>
        <w:t>20m</w:t>
      </w:r>
      <w:r>
        <w:rPr>
          <w:rFonts w:hint="eastAsia" w:cs="Times New Roman" w:asciiTheme="minorEastAsia" w:hAnsiTheme="minorEastAsia"/>
          <w:kern w:val="0"/>
        </w:rPr>
        <w:t>～</w:t>
      </w:r>
      <w:r>
        <w:rPr>
          <w:rFonts w:cs="Times New Roman" w:asciiTheme="minorEastAsia" w:hAnsiTheme="minorEastAsia"/>
          <w:kern w:val="0"/>
        </w:rPr>
        <w:t>50m</w:t>
      </w:r>
      <w:r>
        <w:rPr>
          <w:rFonts w:hint="eastAsia" w:cs="Times New Roman" w:asciiTheme="minorEastAsia" w:hAnsiTheme="minorEastAsia"/>
          <w:kern w:val="0"/>
        </w:rPr>
        <w:t>布置</w:t>
      </w:r>
      <w:r>
        <w:rPr>
          <w:rFonts w:cs="Times New Roman" w:asciiTheme="minorEastAsia" w:hAnsiTheme="minorEastAsia"/>
          <w:kern w:val="0"/>
        </w:rPr>
        <w:t>1</w:t>
      </w:r>
      <w:r>
        <w:rPr>
          <w:rFonts w:hint="eastAsia" w:cs="Times New Roman" w:asciiTheme="minorEastAsia" w:hAnsiTheme="minorEastAsia"/>
          <w:kern w:val="0"/>
        </w:rPr>
        <w:t>个测点；长度</w:t>
      </w:r>
      <w:r>
        <w:rPr>
          <w:rFonts w:cs="Times New Roman" w:asciiTheme="minorEastAsia" w:hAnsiTheme="minorEastAsia"/>
          <w:kern w:val="0"/>
        </w:rPr>
        <w:t>500m</w:t>
      </w:r>
      <w:r>
        <w:rPr>
          <w:rFonts w:hint="eastAsia" w:cs="Times New Roman" w:asciiTheme="minorEastAsia" w:hAnsiTheme="minorEastAsia"/>
          <w:kern w:val="0"/>
        </w:rPr>
        <w:t>～</w:t>
      </w:r>
      <w:r>
        <w:rPr>
          <w:rFonts w:cs="Times New Roman" w:asciiTheme="minorEastAsia" w:hAnsiTheme="minorEastAsia"/>
          <w:kern w:val="0"/>
        </w:rPr>
        <w:t>1000m</w:t>
      </w:r>
      <w:r>
        <w:rPr>
          <w:rFonts w:hint="eastAsia" w:cs="Times New Roman" w:asciiTheme="minorEastAsia" w:hAnsiTheme="minorEastAsia"/>
          <w:kern w:val="0"/>
        </w:rPr>
        <w:t>，应按每</w:t>
      </w:r>
      <w:r>
        <w:rPr>
          <w:rFonts w:cs="Times New Roman" w:asciiTheme="minorEastAsia" w:hAnsiTheme="minorEastAsia"/>
          <w:kern w:val="0"/>
        </w:rPr>
        <w:t>50m</w:t>
      </w:r>
      <w:r>
        <w:rPr>
          <w:rFonts w:hint="eastAsia" w:cs="Times New Roman" w:asciiTheme="minorEastAsia" w:hAnsiTheme="minorEastAsia"/>
          <w:kern w:val="0"/>
        </w:rPr>
        <w:t>～</w:t>
      </w:r>
      <w:r>
        <w:rPr>
          <w:rFonts w:cs="Times New Roman" w:asciiTheme="minorEastAsia" w:hAnsiTheme="minorEastAsia"/>
          <w:kern w:val="0"/>
        </w:rPr>
        <w:t>100m</w:t>
      </w:r>
      <w:r>
        <w:rPr>
          <w:rFonts w:hint="eastAsia" w:cs="Times New Roman" w:asciiTheme="minorEastAsia" w:hAnsiTheme="minorEastAsia"/>
          <w:kern w:val="0"/>
        </w:rPr>
        <w:t>布置</w:t>
      </w:r>
      <w:r>
        <w:rPr>
          <w:rFonts w:cs="Times New Roman" w:asciiTheme="minorEastAsia" w:hAnsiTheme="minorEastAsia"/>
          <w:kern w:val="0"/>
        </w:rPr>
        <w:t>1</w:t>
      </w:r>
      <w:r>
        <w:rPr>
          <w:rFonts w:hint="eastAsia" w:cs="Times New Roman" w:asciiTheme="minorEastAsia" w:hAnsiTheme="minorEastAsia"/>
          <w:kern w:val="0"/>
        </w:rPr>
        <w:t>个测点；长度大于</w:t>
      </w:r>
      <w:r>
        <w:rPr>
          <w:rFonts w:cs="Times New Roman" w:asciiTheme="minorEastAsia" w:hAnsiTheme="minorEastAsia"/>
          <w:kern w:val="0"/>
        </w:rPr>
        <w:t>1000m</w:t>
      </w:r>
      <w:r>
        <w:rPr>
          <w:rFonts w:hint="eastAsia" w:cs="Times New Roman" w:asciiTheme="minorEastAsia" w:hAnsiTheme="minorEastAsia"/>
          <w:kern w:val="0"/>
        </w:rPr>
        <w:t>，应按每</w:t>
      </w:r>
      <w:r>
        <w:rPr>
          <w:rFonts w:cs="Times New Roman" w:asciiTheme="minorEastAsia" w:hAnsiTheme="minorEastAsia"/>
          <w:kern w:val="0"/>
        </w:rPr>
        <w:t>100m</w:t>
      </w:r>
      <w:r>
        <w:rPr>
          <w:rFonts w:hint="eastAsia" w:cs="Times New Roman" w:asciiTheme="minorEastAsia" w:hAnsiTheme="minorEastAsia"/>
          <w:kern w:val="0"/>
        </w:rPr>
        <w:t>～</w:t>
      </w:r>
      <w:r>
        <w:rPr>
          <w:rFonts w:cs="Times New Roman" w:asciiTheme="minorEastAsia" w:hAnsiTheme="minorEastAsia"/>
          <w:kern w:val="0"/>
        </w:rPr>
        <w:t>150m</w:t>
      </w:r>
      <w:r>
        <w:rPr>
          <w:rFonts w:hint="eastAsia" w:cs="Times New Roman" w:asciiTheme="minorEastAsia" w:hAnsiTheme="minorEastAsia"/>
          <w:kern w:val="0"/>
        </w:rPr>
        <w:t>布置</w:t>
      </w:r>
      <w:r>
        <w:rPr>
          <w:rFonts w:cs="Times New Roman" w:asciiTheme="minorEastAsia" w:hAnsiTheme="minorEastAsia"/>
          <w:kern w:val="0"/>
        </w:rPr>
        <w:t>1</w:t>
      </w:r>
      <w:r>
        <w:rPr>
          <w:rFonts w:hint="eastAsia" w:cs="Times New Roman" w:asciiTheme="minorEastAsia" w:hAnsiTheme="minorEastAsia"/>
          <w:kern w:val="0"/>
        </w:rPr>
        <w:t>个测点。总测点数量不少于</w:t>
      </w:r>
      <w:r>
        <w:rPr>
          <w:rFonts w:cs="Times New Roman" w:asciiTheme="minorEastAsia" w:hAnsiTheme="minorEastAsia"/>
          <w:kern w:val="0"/>
        </w:rPr>
        <w:t>10</w:t>
      </w:r>
      <w:r>
        <w:rPr>
          <w:rFonts w:hint="eastAsia" w:cs="Times New Roman" w:asciiTheme="minorEastAsia" w:hAnsiTheme="minorEastAsia"/>
          <w:kern w:val="0"/>
        </w:rPr>
        <w:t>个。</w:t>
      </w:r>
    </w:p>
    <w:p>
      <w:pPr>
        <w:spacing w:line="360" w:lineRule="auto"/>
        <w:ind w:firstLine="420" w:firstLineChars="200"/>
        <w:rPr>
          <w:rFonts w:hint="eastAsia" w:cs="Times New Roman" w:asciiTheme="minorEastAsia" w:hAnsiTheme="minorEastAsia"/>
          <w:kern w:val="0"/>
        </w:rPr>
      </w:pPr>
      <w:r>
        <w:rPr>
          <w:rFonts w:hint="eastAsia" w:ascii="黑体" w:hAnsi="黑体" w:eastAsia="黑体" w:cs="黑体"/>
          <w:kern w:val="0"/>
          <w:szCs w:val="21"/>
        </w:rPr>
        <w:t xml:space="preserve">2 </w:t>
      </w:r>
      <w:r>
        <w:rPr>
          <w:rFonts w:ascii="Times New Roman" w:hAnsi="Times New Roman" w:eastAsia="黑体" w:cs="Times New Roman"/>
          <w:kern w:val="0"/>
        </w:rPr>
        <w:t xml:space="preserve"> </w:t>
      </w:r>
      <w:r>
        <w:rPr>
          <w:rFonts w:hint="eastAsia" w:cs="Times New Roman" w:asciiTheme="minorEastAsia" w:hAnsiTheme="minorEastAsia"/>
          <w:kern w:val="0"/>
        </w:rPr>
        <w:t>坝顶长度测点和坝轴线坐标测点沿坝顶轴线布置，包括起始点、转折点和终点。</w:t>
      </w:r>
    </w:p>
    <w:p>
      <w:pPr>
        <w:spacing w:line="360" w:lineRule="auto"/>
        <w:ind w:firstLine="420" w:firstLineChars="200"/>
        <w:rPr>
          <w:rFonts w:hint="eastAsia" w:cs="Times New Roman" w:asciiTheme="minorEastAsia" w:hAnsiTheme="minorEastAsia"/>
          <w:kern w:val="0"/>
        </w:rPr>
      </w:pPr>
      <w:r>
        <w:rPr>
          <w:rFonts w:hint="eastAsia" w:ascii="黑体" w:hAnsi="黑体" w:eastAsia="黑体" w:cs="黑体"/>
          <w:kern w:val="0"/>
          <w:szCs w:val="21"/>
        </w:rPr>
        <w:t xml:space="preserve">3 </w:t>
      </w:r>
      <w:r>
        <w:rPr>
          <w:rFonts w:ascii="Times New Roman" w:hAnsi="Times New Roman" w:eastAsia="黑体" w:cs="Times New Roman"/>
          <w:kern w:val="0"/>
        </w:rPr>
        <w:t xml:space="preserve"> </w:t>
      </w:r>
      <w:r>
        <w:rPr>
          <w:rFonts w:hint="eastAsia" w:cs="Times New Roman" w:asciiTheme="minorEastAsia" w:hAnsiTheme="minorEastAsia"/>
          <w:kern w:val="0"/>
        </w:rPr>
        <w:t>坝顶和马道宽度以及坝坡坡度测点按断面布置，坝长小于</w:t>
      </w:r>
      <w:r>
        <w:rPr>
          <w:rFonts w:cs="Times New Roman" w:asciiTheme="minorEastAsia" w:hAnsiTheme="minorEastAsia"/>
          <w:kern w:val="0"/>
        </w:rPr>
        <w:t>500m</w:t>
      </w:r>
      <w:r>
        <w:rPr>
          <w:rFonts w:hint="eastAsia" w:cs="Times New Roman" w:asciiTheme="minorEastAsia" w:hAnsiTheme="minorEastAsia"/>
          <w:kern w:val="0"/>
        </w:rPr>
        <w:t>，应按每</w:t>
      </w:r>
      <w:r>
        <w:rPr>
          <w:rFonts w:cs="Times New Roman" w:asciiTheme="minorEastAsia" w:hAnsiTheme="minorEastAsia"/>
          <w:kern w:val="0"/>
        </w:rPr>
        <w:t>50m</w:t>
      </w:r>
      <w:r>
        <w:rPr>
          <w:rFonts w:hint="eastAsia" w:cs="Times New Roman" w:asciiTheme="minorEastAsia" w:hAnsiTheme="minorEastAsia"/>
          <w:kern w:val="0"/>
        </w:rPr>
        <w:t>～</w:t>
      </w:r>
      <w:r>
        <w:rPr>
          <w:rFonts w:cs="Times New Roman" w:asciiTheme="minorEastAsia" w:hAnsiTheme="minorEastAsia"/>
          <w:kern w:val="0"/>
        </w:rPr>
        <w:t>100m</w:t>
      </w:r>
      <w:r>
        <w:rPr>
          <w:rFonts w:hint="eastAsia" w:cs="Times New Roman" w:asciiTheme="minorEastAsia" w:hAnsiTheme="minorEastAsia"/>
          <w:kern w:val="0"/>
        </w:rPr>
        <w:t>布置</w:t>
      </w:r>
      <w:r>
        <w:rPr>
          <w:rFonts w:cs="Times New Roman" w:asciiTheme="minorEastAsia" w:hAnsiTheme="minorEastAsia"/>
          <w:kern w:val="0"/>
        </w:rPr>
        <w:t>1</w:t>
      </w:r>
      <w:r>
        <w:rPr>
          <w:rFonts w:hint="eastAsia" w:cs="Times New Roman" w:asciiTheme="minorEastAsia" w:hAnsiTheme="minorEastAsia"/>
          <w:kern w:val="0"/>
        </w:rPr>
        <w:t>个断面，坝长</w:t>
      </w:r>
      <w:r>
        <w:rPr>
          <w:rFonts w:cs="Times New Roman" w:asciiTheme="minorEastAsia" w:hAnsiTheme="minorEastAsia"/>
          <w:kern w:val="0"/>
        </w:rPr>
        <w:t>500m</w:t>
      </w:r>
      <w:r>
        <w:rPr>
          <w:rFonts w:hint="eastAsia" w:cs="Times New Roman" w:asciiTheme="minorEastAsia" w:hAnsiTheme="minorEastAsia"/>
          <w:kern w:val="0"/>
        </w:rPr>
        <w:t>～</w:t>
      </w:r>
      <w:r>
        <w:rPr>
          <w:rFonts w:cs="Times New Roman" w:asciiTheme="minorEastAsia" w:hAnsiTheme="minorEastAsia"/>
          <w:kern w:val="0"/>
        </w:rPr>
        <w:t>1000m</w:t>
      </w:r>
      <w:r>
        <w:rPr>
          <w:rFonts w:hint="eastAsia" w:cs="Times New Roman" w:asciiTheme="minorEastAsia" w:hAnsiTheme="minorEastAsia"/>
          <w:kern w:val="0"/>
        </w:rPr>
        <w:t>，应按每</w:t>
      </w:r>
      <w:r>
        <w:rPr>
          <w:rFonts w:cs="Times New Roman" w:asciiTheme="minorEastAsia" w:hAnsiTheme="minorEastAsia"/>
          <w:kern w:val="0"/>
        </w:rPr>
        <w:t>100m</w:t>
      </w:r>
      <w:r>
        <w:rPr>
          <w:rFonts w:hint="eastAsia" w:cs="Times New Roman" w:asciiTheme="minorEastAsia" w:hAnsiTheme="minorEastAsia"/>
          <w:kern w:val="0"/>
        </w:rPr>
        <w:t>～</w:t>
      </w:r>
      <w:r>
        <w:rPr>
          <w:rFonts w:cs="Times New Roman" w:asciiTheme="minorEastAsia" w:hAnsiTheme="minorEastAsia"/>
          <w:kern w:val="0"/>
        </w:rPr>
        <w:t>200m</w:t>
      </w:r>
      <w:r>
        <w:rPr>
          <w:rFonts w:hint="eastAsia" w:cs="Times New Roman" w:asciiTheme="minorEastAsia" w:hAnsiTheme="minorEastAsia"/>
          <w:kern w:val="0"/>
        </w:rPr>
        <w:t>布置</w:t>
      </w:r>
      <w:r>
        <w:rPr>
          <w:rFonts w:cs="Times New Roman" w:asciiTheme="minorEastAsia" w:hAnsiTheme="minorEastAsia"/>
          <w:kern w:val="0"/>
        </w:rPr>
        <w:t>1</w:t>
      </w:r>
      <w:r>
        <w:rPr>
          <w:rFonts w:hint="eastAsia" w:cs="Times New Roman" w:asciiTheme="minorEastAsia" w:hAnsiTheme="minorEastAsia"/>
          <w:kern w:val="0"/>
        </w:rPr>
        <w:t>个断面，总断面数量不少于</w:t>
      </w:r>
      <w:r>
        <w:rPr>
          <w:rFonts w:cs="Times New Roman" w:asciiTheme="minorEastAsia" w:hAnsiTheme="minorEastAsia"/>
          <w:kern w:val="0"/>
        </w:rPr>
        <w:t>3</w:t>
      </w:r>
      <w:r>
        <w:rPr>
          <w:rFonts w:hint="eastAsia" w:cs="Times New Roman" w:asciiTheme="minorEastAsia" w:hAnsiTheme="minorEastAsia"/>
          <w:kern w:val="0"/>
        </w:rPr>
        <w:t>个；坝长大于</w:t>
      </w:r>
      <w:r>
        <w:rPr>
          <w:rFonts w:cs="Times New Roman" w:asciiTheme="minorEastAsia" w:hAnsiTheme="minorEastAsia"/>
          <w:kern w:val="0"/>
        </w:rPr>
        <w:t>1000m</w:t>
      </w:r>
      <w:r>
        <w:rPr>
          <w:rFonts w:hint="eastAsia" w:cs="Times New Roman" w:asciiTheme="minorEastAsia" w:hAnsiTheme="minorEastAsia"/>
          <w:kern w:val="0"/>
        </w:rPr>
        <w:t>，应按每</w:t>
      </w:r>
      <w:r>
        <w:rPr>
          <w:rFonts w:cs="Times New Roman" w:asciiTheme="minorEastAsia" w:hAnsiTheme="minorEastAsia"/>
          <w:kern w:val="0"/>
        </w:rPr>
        <w:t>200m</w:t>
      </w:r>
      <w:r>
        <w:rPr>
          <w:rFonts w:hint="eastAsia" w:cs="Times New Roman" w:asciiTheme="minorEastAsia" w:hAnsiTheme="minorEastAsia"/>
          <w:kern w:val="0"/>
        </w:rPr>
        <w:t>～</w:t>
      </w:r>
      <w:r>
        <w:rPr>
          <w:rFonts w:cs="Times New Roman" w:asciiTheme="minorEastAsia" w:hAnsiTheme="minorEastAsia"/>
          <w:kern w:val="0"/>
        </w:rPr>
        <w:t>300m</w:t>
      </w:r>
      <w:r>
        <w:rPr>
          <w:rFonts w:hint="eastAsia" w:cs="Times New Roman" w:asciiTheme="minorEastAsia" w:hAnsiTheme="minorEastAsia"/>
          <w:kern w:val="0"/>
        </w:rPr>
        <w:t>布置</w:t>
      </w:r>
      <w:r>
        <w:rPr>
          <w:rFonts w:cs="Times New Roman" w:asciiTheme="minorEastAsia" w:hAnsiTheme="minorEastAsia"/>
          <w:kern w:val="0"/>
        </w:rPr>
        <w:t>1</w:t>
      </w:r>
      <w:r>
        <w:rPr>
          <w:rFonts w:hint="eastAsia" w:cs="Times New Roman" w:asciiTheme="minorEastAsia" w:hAnsiTheme="minorEastAsia"/>
          <w:kern w:val="0"/>
        </w:rPr>
        <w:t>个断面，总断面数量不少于</w:t>
      </w:r>
      <w:r>
        <w:rPr>
          <w:rFonts w:cs="Times New Roman" w:asciiTheme="minorEastAsia" w:hAnsiTheme="minorEastAsia"/>
          <w:kern w:val="0"/>
        </w:rPr>
        <w:t>5</w:t>
      </w:r>
      <w:r>
        <w:rPr>
          <w:rFonts w:hint="eastAsia" w:cs="Times New Roman" w:asciiTheme="minorEastAsia" w:hAnsiTheme="minorEastAsia"/>
          <w:kern w:val="0"/>
        </w:rPr>
        <w:t>个。</w:t>
      </w:r>
    </w:p>
    <w:p>
      <w:pPr>
        <w:spacing w:line="360" w:lineRule="auto"/>
        <w:rPr>
          <w:rFonts w:ascii="Times New Roman" w:hAnsi="Times New Roman" w:cs="Times New Roman"/>
          <w:kern w:val="0"/>
        </w:rPr>
      </w:pPr>
      <w:r>
        <w:rPr>
          <w:rFonts w:hint="eastAsia" w:ascii="黑体" w:hAnsi="黑体" w:eastAsia="黑体" w:cs="黑体"/>
          <w:kern w:val="0"/>
          <w:szCs w:val="21"/>
        </w:rPr>
        <w:t>9.2.3</w:t>
      </w:r>
      <w:r>
        <w:rPr>
          <w:rFonts w:ascii="Times New Roman" w:hAnsi="Times New Roman" w:cs="Times New Roman"/>
          <w:kern w:val="0"/>
        </w:rPr>
        <w:t xml:space="preserve">  </w:t>
      </w:r>
      <w:r>
        <w:rPr>
          <w:rFonts w:cs="Times New Roman" w:asciiTheme="minorEastAsia" w:hAnsiTheme="minorEastAsia"/>
          <w:kern w:val="0"/>
        </w:rPr>
        <w:t>泄洪建筑物的测区布置和数量应符合下列要求：</w:t>
      </w:r>
    </w:p>
    <w:p>
      <w:pPr>
        <w:spacing w:line="360" w:lineRule="auto"/>
        <w:ind w:firstLine="420" w:firstLineChars="200"/>
        <w:rPr>
          <w:rFonts w:hint="eastAsia" w:cs="Times New Roman" w:asciiTheme="minorEastAsia" w:hAnsiTheme="minorEastAsia"/>
          <w:kern w:val="0"/>
        </w:rPr>
      </w:pPr>
      <w:r>
        <w:rPr>
          <w:rFonts w:hint="eastAsia" w:ascii="黑体" w:hAnsi="黑体" w:eastAsia="黑体" w:cs="黑体"/>
          <w:kern w:val="0"/>
          <w:szCs w:val="21"/>
        </w:rPr>
        <w:t>1</w:t>
      </w:r>
      <w:r>
        <w:rPr>
          <w:rFonts w:ascii="Times New Roman" w:hAnsi="Times New Roman" w:eastAsia="黑体" w:cs="Times New Roman"/>
          <w:kern w:val="0"/>
        </w:rPr>
        <w:t xml:space="preserve">  </w:t>
      </w:r>
      <w:r>
        <w:rPr>
          <w:rFonts w:hint="eastAsia" w:cs="Times New Roman" w:asciiTheme="minorEastAsia" w:hAnsiTheme="minorEastAsia"/>
          <w:kern w:val="0"/>
        </w:rPr>
        <w:t>进口段：每孔底板、翼墙（含闸墩）顶高程总测点数量不少于</w:t>
      </w:r>
      <w:r>
        <w:rPr>
          <w:rFonts w:cs="Times New Roman" w:asciiTheme="minorEastAsia" w:hAnsiTheme="minorEastAsia"/>
          <w:kern w:val="0"/>
        </w:rPr>
        <w:t>10</w:t>
      </w:r>
      <w:r>
        <w:rPr>
          <w:rFonts w:hint="eastAsia" w:cs="Times New Roman" w:asciiTheme="minorEastAsia" w:hAnsiTheme="minorEastAsia"/>
          <w:kern w:val="0"/>
        </w:rPr>
        <w:t>个；宽度、墙厚各布置</w:t>
      </w:r>
      <w:r>
        <w:rPr>
          <w:rFonts w:cs="Times New Roman" w:asciiTheme="minorEastAsia" w:hAnsiTheme="minorEastAsia"/>
          <w:kern w:val="0"/>
        </w:rPr>
        <w:t>2</w:t>
      </w:r>
      <w:r>
        <w:rPr>
          <w:rFonts w:hint="eastAsia" w:cs="Times New Roman" w:asciiTheme="minorEastAsia" w:hAnsiTheme="minorEastAsia"/>
          <w:kern w:val="0"/>
        </w:rPr>
        <w:t>～</w:t>
      </w:r>
      <w:r>
        <w:rPr>
          <w:rFonts w:cs="Times New Roman" w:asciiTheme="minorEastAsia" w:hAnsiTheme="minorEastAsia"/>
          <w:kern w:val="0"/>
        </w:rPr>
        <w:t>3</w:t>
      </w:r>
      <w:r>
        <w:rPr>
          <w:rFonts w:hint="eastAsia" w:cs="Times New Roman" w:asciiTheme="minorEastAsia" w:hAnsiTheme="minorEastAsia"/>
          <w:kern w:val="0"/>
        </w:rPr>
        <w:t>个断面，底板、翼墙及闸墩长度各布置测点数量不少于</w:t>
      </w:r>
      <w:r>
        <w:rPr>
          <w:rFonts w:cs="Times New Roman" w:asciiTheme="minorEastAsia" w:hAnsiTheme="minorEastAsia"/>
          <w:kern w:val="0"/>
        </w:rPr>
        <w:t>10</w:t>
      </w:r>
      <w:r>
        <w:rPr>
          <w:rFonts w:hint="eastAsia" w:cs="Times New Roman" w:asciiTheme="minorEastAsia" w:hAnsiTheme="minorEastAsia"/>
          <w:kern w:val="0"/>
        </w:rPr>
        <w:t>个。</w:t>
      </w:r>
    </w:p>
    <w:p>
      <w:pPr>
        <w:spacing w:line="360" w:lineRule="auto"/>
        <w:ind w:firstLine="420" w:firstLineChars="200"/>
        <w:rPr>
          <w:rFonts w:ascii="Times New Roman" w:hAnsi="Times New Roman" w:cs="Times New Roman"/>
          <w:kern w:val="0"/>
        </w:rPr>
      </w:pPr>
      <w:r>
        <w:rPr>
          <w:rFonts w:hint="eastAsia" w:ascii="黑体" w:hAnsi="黑体" w:eastAsia="黑体" w:cs="黑体"/>
          <w:kern w:val="0"/>
          <w:szCs w:val="21"/>
        </w:rPr>
        <w:t xml:space="preserve">2 </w:t>
      </w:r>
      <w:r>
        <w:rPr>
          <w:rFonts w:ascii="Times New Roman" w:hAnsi="Times New Roman" w:eastAsia="黑体" w:cs="Times New Roman"/>
          <w:kern w:val="0"/>
        </w:rPr>
        <w:t xml:space="preserve"> </w:t>
      </w:r>
      <w:r>
        <w:rPr>
          <w:rFonts w:hint="eastAsia" w:cs="Times New Roman" w:asciiTheme="minorEastAsia" w:hAnsiTheme="minorEastAsia"/>
          <w:kern w:val="0"/>
        </w:rPr>
        <w:t>消力池：底板、挡墙顶高程总测点数量不少于</w:t>
      </w:r>
      <w:r>
        <w:rPr>
          <w:rFonts w:cs="Times New Roman" w:asciiTheme="minorEastAsia" w:hAnsiTheme="minorEastAsia"/>
          <w:kern w:val="0"/>
        </w:rPr>
        <w:t>10</w:t>
      </w:r>
      <w:r>
        <w:rPr>
          <w:rFonts w:hint="eastAsia" w:cs="Times New Roman" w:asciiTheme="minorEastAsia" w:hAnsiTheme="minorEastAsia"/>
          <w:kern w:val="0"/>
        </w:rPr>
        <w:t>个；底板的长度及宽度各布置</w:t>
      </w:r>
      <w:r>
        <w:rPr>
          <w:rFonts w:cs="Times New Roman" w:asciiTheme="minorEastAsia" w:hAnsiTheme="minorEastAsia"/>
          <w:kern w:val="0"/>
        </w:rPr>
        <w:t>5</w:t>
      </w:r>
      <w:r>
        <w:rPr>
          <w:rFonts w:hint="eastAsia" w:cs="Times New Roman" w:asciiTheme="minorEastAsia" w:hAnsiTheme="minorEastAsia"/>
          <w:kern w:val="0"/>
        </w:rPr>
        <w:t>～</w:t>
      </w:r>
      <w:r>
        <w:rPr>
          <w:rFonts w:cs="Times New Roman" w:asciiTheme="minorEastAsia" w:hAnsiTheme="minorEastAsia"/>
          <w:kern w:val="0"/>
        </w:rPr>
        <w:t>10</w:t>
      </w:r>
      <w:r>
        <w:rPr>
          <w:rFonts w:hint="eastAsia" w:cs="Times New Roman" w:asciiTheme="minorEastAsia" w:hAnsiTheme="minorEastAsia"/>
          <w:kern w:val="0"/>
        </w:rPr>
        <w:t>个断面，挡墙的长度总测点数量不少于</w:t>
      </w:r>
      <w:r>
        <w:rPr>
          <w:rFonts w:cs="Times New Roman" w:asciiTheme="minorEastAsia" w:hAnsiTheme="minorEastAsia"/>
          <w:kern w:val="0"/>
        </w:rPr>
        <w:t>10</w:t>
      </w:r>
      <w:r>
        <w:rPr>
          <w:rFonts w:hint="eastAsia" w:cs="Times New Roman" w:asciiTheme="minorEastAsia" w:hAnsiTheme="minorEastAsia"/>
          <w:kern w:val="0"/>
        </w:rPr>
        <w:t>个。</w:t>
      </w:r>
    </w:p>
    <w:p>
      <w:pPr>
        <w:spacing w:line="360" w:lineRule="auto"/>
        <w:ind w:firstLine="420" w:firstLineChars="200"/>
        <w:rPr>
          <w:rFonts w:hint="eastAsia" w:cs="Times New Roman" w:asciiTheme="minorEastAsia" w:hAnsiTheme="minorEastAsia"/>
          <w:kern w:val="0"/>
        </w:rPr>
      </w:pPr>
      <w:r>
        <w:rPr>
          <w:rFonts w:hint="eastAsia" w:ascii="黑体" w:hAnsi="黑体" w:eastAsia="黑体" w:cs="黑体"/>
          <w:kern w:val="0"/>
          <w:szCs w:val="21"/>
        </w:rPr>
        <w:t xml:space="preserve">3 </w:t>
      </w:r>
      <w:r>
        <w:rPr>
          <w:rFonts w:cs="Times New Roman" w:asciiTheme="minorEastAsia" w:hAnsiTheme="minorEastAsia"/>
          <w:kern w:val="0"/>
        </w:rPr>
        <w:t xml:space="preserve"> </w:t>
      </w:r>
      <w:r>
        <w:rPr>
          <w:rFonts w:hint="eastAsia" w:cs="Times New Roman" w:asciiTheme="minorEastAsia" w:hAnsiTheme="minorEastAsia"/>
          <w:kern w:val="0"/>
        </w:rPr>
        <w:t>连接段陡坡坡度测点按长度方向布置，每</w:t>
      </w:r>
      <w:r>
        <w:rPr>
          <w:rFonts w:cs="Times New Roman" w:asciiTheme="minorEastAsia" w:hAnsiTheme="minorEastAsia"/>
          <w:kern w:val="0"/>
        </w:rPr>
        <w:t>10m</w:t>
      </w:r>
      <w:r>
        <w:rPr>
          <w:rFonts w:hint="eastAsia" w:cs="Times New Roman" w:asciiTheme="minorEastAsia" w:hAnsiTheme="minorEastAsia"/>
          <w:kern w:val="0"/>
        </w:rPr>
        <w:t>～</w:t>
      </w:r>
      <w:r>
        <w:rPr>
          <w:rFonts w:cs="Times New Roman" w:asciiTheme="minorEastAsia" w:hAnsiTheme="minorEastAsia"/>
          <w:kern w:val="0"/>
        </w:rPr>
        <w:t>50m</w:t>
      </w:r>
      <w:r>
        <w:rPr>
          <w:rFonts w:hint="eastAsia" w:cs="Times New Roman" w:asciiTheme="minorEastAsia" w:hAnsiTheme="minorEastAsia"/>
          <w:kern w:val="0"/>
        </w:rPr>
        <w:t>布置</w:t>
      </w:r>
      <w:r>
        <w:rPr>
          <w:rFonts w:cs="Times New Roman" w:asciiTheme="minorEastAsia" w:hAnsiTheme="minorEastAsia"/>
          <w:kern w:val="0"/>
        </w:rPr>
        <w:t>1</w:t>
      </w:r>
      <w:r>
        <w:rPr>
          <w:rFonts w:hint="eastAsia" w:cs="Times New Roman" w:asciiTheme="minorEastAsia" w:hAnsiTheme="minorEastAsia"/>
          <w:kern w:val="0"/>
        </w:rPr>
        <w:t>～</w:t>
      </w:r>
      <w:r>
        <w:rPr>
          <w:rFonts w:cs="Times New Roman" w:asciiTheme="minorEastAsia" w:hAnsiTheme="minorEastAsia"/>
          <w:kern w:val="0"/>
        </w:rPr>
        <w:t>3</w:t>
      </w:r>
      <w:r>
        <w:rPr>
          <w:rFonts w:hint="eastAsia" w:cs="Times New Roman" w:asciiTheme="minorEastAsia" w:hAnsiTheme="minorEastAsia"/>
          <w:kern w:val="0"/>
        </w:rPr>
        <w:t>个断面，陡坡宽度及墙高各布置</w:t>
      </w:r>
      <w:r>
        <w:rPr>
          <w:rFonts w:cs="Times New Roman" w:asciiTheme="minorEastAsia" w:hAnsiTheme="minorEastAsia"/>
          <w:kern w:val="0"/>
        </w:rPr>
        <w:t>3</w:t>
      </w:r>
      <w:r>
        <w:rPr>
          <w:rFonts w:hint="eastAsia" w:cs="Times New Roman" w:asciiTheme="minorEastAsia" w:hAnsiTheme="minorEastAsia"/>
          <w:kern w:val="0"/>
        </w:rPr>
        <w:t>～</w:t>
      </w:r>
      <w:r>
        <w:rPr>
          <w:rFonts w:cs="Times New Roman" w:asciiTheme="minorEastAsia" w:hAnsiTheme="minorEastAsia"/>
          <w:kern w:val="0"/>
        </w:rPr>
        <w:t>5</w:t>
      </w:r>
      <w:r>
        <w:rPr>
          <w:rFonts w:hint="eastAsia" w:cs="Times New Roman" w:asciiTheme="minorEastAsia" w:hAnsiTheme="minorEastAsia"/>
          <w:kern w:val="0"/>
        </w:rPr>
        <w:t>个断面</w:t>
      </w:r>
      <w:r>
        <w:rPr>
          <w:rFonts w:cs="Times New Roman" w:asciiTheme="minorEastAsia" w:hAnsiTheme="minorEastAsia"/>
          <w:kern w:val="0"/>
        </w:rPr>
        <w:t>。</w:t>
      </w:r>
    </w:p>
    <w:p>
      <w:pPr>
        <w:spacing w:line="360" w:lineRule="auto"/>
        <w:rPr>
          <w:rFonts w:ascii="Times New Roman" w:hAnsi="Times New Roman" w:cs="Times New Roman"/>
          <w:kern w:val="0"/>
        </w:rPr>
      </w:pPr>
      <w:r>
        <w:rPr>
          <w:rFonts w:hint="eastAsia" w:ascii="黑体" w:hAnsi="黑体" w:eastAsia="黑体" w:cs="黑体"/>
          <w:kern w:val="0"/>
          <w:szCs w:val="21"/>
        </w:rPr>
        <w:t>9.2.4</w:t>
      </w:r>
      <w:r>
        <w:rPr>
          <w:rFonts w:ascii="Times New Roman" w:hAnsi="Times New Roman" w:cs="Times New Roman"/>
          <w:kern w:val="0"/>
        </w:rPr>
        <w:t xml:space="preserve">  </w:t>
      </w:r>
      <w:r>
        <w:rPr>
          <w:rFonts w:hint="eastAsia" w:cs="Times New Roman" w:asciiTheme="minorEastAsia" w:hAnsiTheme="minorEastAsia"/>
          <w:kern w:val="0"/>
        </w:rPr>
        <w:t>堤防、渠道、河道疏浚的测区布置和数量应符合下列要求：</w:t>
      </w:r>
    </w:p>
    <w:p>
      <w:pPr>
        <w:spacing w:line="360" w:lineRule="auto"/>
        <w:ind w:firstLine="420" w:firstLineChars="200"/>
        <w:rPr>
          <w:rFonts w:hint="eastAsia" w:cs="Times New Roman" w:asciiTheme="minorEastAsia" w:hAnsiTheme="minorEastAsia"/>
          <w:kern w:val="0"/>
        </w:rPr>
      </w:pPr>
      <w:r>
        <w:rPr>
          <w:rFonts w:hint="eastAsia" w:ascii="黑体" w:hAnsi="黑体" w:eastAsia="黑体" w:cs="黑体"/>
          <w:kern w:val="0"/>
          <w:szCs w:val="21"/>
        </w:rPr>
        <w:t xml:space="preserve">1 </w:t>
      </w:r>
      <w:r>
        <w:rPr>
          <w:rFonts w:ascii="Times New Roman" w:hAnsi="Times New Roman" w:eastAsia="黑体" w:cs="Times New Roman"/>
          <w:kern w:val="0"/>
        </w:rPr>
        <w:t xml:space="preserve"> </w:t>
      </w:r>
      <w:r>
        <w:rPr>
          <w:rFonts w:hint="eastAsia" w:cs="Times New Roman" w:asciiTheme="minorEastAsia" w:hAnsiTheme="minorEastAsia"/>
          <w:kern w:val="0"/>
        </w:rPr>
        <w:t>堤顶、渠顶、渠底及河道河底高程测点按长度布置，小于等于</w:t>
      </w:r>
      <w:r>
        <w:rPr>
          <w:rFonts w:cs="Times New Roman" w:asciiTheme="minorEastAsia" w:hAnsiTheme="minorEastAsia"/>
          <w:kern w:val="0"/>
        </w:rPr>
        <w:t>1000m</w:t>
      </w:r>
      <w:r>
        <w:rPr>
          <w:rFonts w:hint="eastAsia" w:cs="Times New Roman" w:asciiTheme="minorEastAsia" w:hAnsiTheme="minorEastAsia"/>
          <w:kern w:val="0"/>
        </w:rPr>
        <w:t>的，应按每</w:t>
      </w:r>
      <w:r>
        <w:rPr>
          <w:rFonts w:cs="Times New Roman" w:asciiTheme="minorEastAsia" w:hAnsiTheme="minorEastAsia"/>
          <w:kern w:val="0"/>
        </w:rPr>
        <w:t>100m</w:t>
      </w:r>
      <w:r>
        <w:rPr>
          <w:rFonts w:hint="eastAsia" w:cs="Times New Roman" w:asciiTheme="minorEastAsia" w:hAnsiTheme="minorEastAsia"/>
          <w:kern w:val="0"/>
        </w:rPr>
        <w:t>布置</w:t>
      </w:r>
      <w:r>
        <w:rPr>
          <w:rFonts w:cs="Times New Roman" w:asciiTheme="minorEastAsia" w:hAnsiTheme="minorEastAsia"/>
          <w:kern w:val="0"/>
        </w:rPr>
        <w:t>1</w:t>
      </w:r>
      <w:r>
        <w:rPr>
          <w:rFonts w:hint="eastAsia" w:cs="Times New Roman" w:asciiTheme="minorEastAsia" w:hAnsiTheme="minorEastAsia"/>
          <w:kern w:val="0"/>
        </w:rPr>
        <w:t>个测点；大于</w:t>
      </w:r>
      <w:r>
        <w:rPr>
          <w:rFonts w:cs="Times New Roman" w:asciiTheme="minorEastAsia" w:hAnsiTheme="minorEastAsia"/>
          <w:kern w:val="0"/>
        </w:rPr>
        <w:t>1000m</w:t>
      </w:r>
      <w:r>
        <w:rPr>
          <w:rFonts w:hint="eastAsia" w:cs="Times New Roman" w:asciiTheme="minorEastAsia" w:hAnsiTheme="minorEastAsia"/>
          <w:kern w:val="0"/>
        </w:rPr>
        <w:t>的，应按每</w:t>
      </w:r>
      <w:r>
        <w:rPr>
          <w:rFonts w:cs="Times New Roman" w:asciiTheme="minorEastAsia" w:hAnsiTheme="minorEastAsia"/>
          <w:kern w:val="0"/>
        </w:rPr>
        <w:t>100</w:t>
      </w:r>
      <w:r>
        <w:rPr>
          <w:rFonts w:hint="eastAsia" w:cs="Times New Roman" w:asciiTheme="minorEastAsia" w:hAnsiTheme="minorEastAsia"/>
          <w:kern w:val="0"/>
        </w:rPr>
        <w:t>～</w:t>
      </w:r>
      <w:r>
        <w:rPr>
          <w:rFonts w:cs="Times New Roman" w:asciiTheme="minorEastAsia" w:hAnsiTheme="minorEastAsia"/>
          <w:kern w:val="0"/>
        </w:rPr>
        <w:t>300m</w:t>
      </w:r>
      <w:r>
        <w:rPr>
          <w:rFonts w:hint="eastAsia" w:cs="Times New Roman" w:asciiTheme="minorEastAsia" w:hAnsiTheme="minorEastAsia"/>
          <w:kern w:val="0"/>
        </w:rPr>
        <w:t>布置</w:t>
      </w:r>
      <w:r>
        <w:rPr>
          <w:rFonts w:cs="Times New Roman" w:asciiTheme="minorEastAsia" w:hAnsiTheme="minorEastAsia"/>
          <w:kern w:val="0"/>
        </w:rPr>
        <w:t>1</w:t>
      </w:r>
      <w:r>
        <w:rPr>
          <w:rFonts w:hint="eastAsia" w:cs="Times New Roman" w:asciiTheme="minorEastAsia" w:hAnsiTheme="minorEastAsia"/>
          <w:kern w:val="0"/>
        </w:rPr>
        <w:t>个测点。总测点数量不少于</w:t>
      </w:r>
      <w:r>
        <w:rPr>
          <w:rFonts w:cs="Times New Roman" w:asciiTheme="minorEastAsia" w:hAnsiTheme="minorEastAsia"/>
          <w:kern w:val="0"/>
        </w:rPr>
        <w:t>10</w:t>
      </w:r>
      <w:r>
        <w:rPr>
          <w:rFonts w:hint="eastAsia" w:cs="Times New Roman" w:asciiTheme="minorEastAsia" w:hAnsiTheme="minorEastAsia"/>
          <w:kern w:val="0"/>
        </w:rPr>
        <w:t>个。</w:t>
      </w:r>
    </w:p>
    <w:p>
      <w:pPr>
        <w:spacing w:line="360" w:lineRule="auto"/>
        <w:ind w:firstLine="420" w:firstLineChars="200"/>
        <w:rPr>
          <w:rFonts w:hint="eastAsia" w:cs="Times New Roman" w:asciiTheme="minorEastAsia" w:hAnsiTheme="minorEastAsia"/>
          <w:kern w:val="0"/>
        </w:rPr>
      </w:pPr>
      <w:r>
        <w:rPr>
          <w:rFonts w:hint="eastAsia" w:ascii="黑体" w:hAnsi="黑体" w:eastAsia="黑体" w:cs="黑体"/>
          <w:kern w:val="0"/>
          <w:szCs w:val="21"/>
        </w:rPr>
        <w:t xml:space="preserve">2 </w:t>
      </w:r>
      <w:r>
        <w:rPr>
          <w:rFonts w:ascii="Times New Roman" w:hAnsi="Times New Roman" w:eastAsia="黑体" w:cs="Times New Roman"/>
          <w:kern w:val="0"/>
        </w:rPr>
        <w:t xml:space="preserve"> </w:t>
      </w:r>
      <w:r>
        <w:rPr>
          <w:rFonts w:hint="eastAsia" w:cs="Times New Roman" w:asciiTheme="minorEastAsia" w:hAnsiTheme="minorEastAsia"/>
          <w:kern w:val="0"/>
        </w:rPr>
        <w:t>堤防、渠道的长度测点和轴线坐标测点沿轴线布置，包括起始点、转折点和终点。</w:t>
      </w:r>
    </w:p>
    <w:p>
      <w:pPr>
        <w:spacing w:line="360" w:lineRule="auto"/>
        <w:ind w:firstLine="420" w:firstLineChars="200"/>
        <w:rPr>
          <w:rFonts w:hint="eastAsia" w:cs="Times New Roman" w:asciiTheme="minorEastAsia" w:hAnsiTheme="minorEastAsia"/>
          <w:kern w:val="0"/>
        </w:rPr>
      </w:pPr>
      <w:r>
        <w:rPr>
          <w:rFonts w:hint="eastAsia" w:ascii="黑体" w:hAnsi="黑体" w:eastAsia="黑体" w:cs="黑体"/>
          <w:kern w:val="0"/>
          <w:szCs w:val="21"/>
        </w:rPr>
        <w:t xml:space="preserve">3 </w:t>
      </w:r>
      <w:r>
        <w:rPr>
          <w:rFonts w:ascii="Times New Roman" w:hAnsi="Times New Roman" w:eastAsia="黑体" w:cs="Times New Roman"/>
          <w:kern w:val="0"/>
        </w:rPr>
        <w:t xml:space="preserve"> </w:t>
      </w:r>
      <w:r>
        <w:rPr>
          <w:rFonts w:hint="eastAsia" w:cs="Times New Roman" w:asciiTheme="minorEastAsia" w:hAnsiTheme="minorEastAsia"/>
          <w:kern w:val="0"/>
        </w:rPr>
        <w:t>堤顶、渠顶宽度以及边坡坡度测点按断面布置。堤防、渠道的长度不大于</w:t>
      </w:r>
      <w:r>
        <w:rPr>
          <w:rFonts w:cs="Times New Roman" w:asciiTheme="minorEastAsia" w:hAnsiTheme="minorEastAsia"/>
          <w:kern w:val="0"/>
        </w:rPr>
        <w:t>500m</w:t>
      </w:r>
      <w:r>
        <w:rPr>
          <w:rFonts w:hint="eastAsia" w:cs="Times New Roman" w:asciiTheme="minorEastAsia" w:hAnsiTheme="minorEastAsia"/>
          <w:kern w:val="0"/>
        </w:rPr>
        <w:t>，应按每</w:t>
      </w:r>
      <w:r>
        <w:rPr>
          <w:rFonts w:cs="Times New Roman" w:asciiTheme="minorEastAsia" w:hAnsiTheme="minorEastAsia"/>
          <w:kern w:val="0"/>
        </w:rPr>
        <w:t>50m</w:t>
      </w:r>
      <w:r>
        <w:rPr>
          <w:rFonts w:hint="eastAsia" w:cs="Times New Roman" w:asciiTheme="minorEastAsia" w:hAnsiTheme="minorEastAsia"/>
          <w:kern w:val="0"/>
        </w:rPr>
        <w:t>～</w:t>
      </w:r>
      <w:r>
        <w:rPr>
          <w:rFonts w:cs="Times New Roman" w:asciiTheme="minorEastAsia" w:hAnsiTheme="minorEastAsia"/>
          <w:kern w:val="0"/>
        </w:rPr>
        <w:t>100m</w:t>
      </w:r>
      <w:r>
        <w:rPr>
          <w:rFonts w:hint="eastAsia" w:cs="Times New Roman" w:asciiTheme="minorEastAsia" w:hAnsiTheme="minorEastAsia"/>
          <w:kern w:val="0"/>
        </w:rPr>
        <w:t>布置</w:t>
      </w:r>
      <w:r>
        <w:rPr>
          <w:rFonts w:cs="Times New Roman" w:asciiTheme="minorEastAsia" w:hAnsiTheme="minorEastAsia"/>
          <w:kern w:val="0"/>
        </w:rPr>
        <w:t>1</w:t>
      </w:r>
      <w:r>
        <w:rPr>
          <w:rFonts w:hint="eastAsia" w:cs="Times New Roman" w:asciiTheme="minorEastAsia" w:hAnsiTheme="minorEastAsia"/>
          <w:kern w:val="0"/>
        </w:rPr>
        <w:t>个断面；长度</w:t>
      </w:r>
      <w:r>
        <w:rPr>
          <w:rFonts w:cs="Times New Roman" w:asciiTheme="minorEastAsia" w:hAnsiTheme="minorEastAsia"/>
          <w:kern w:val="0"/>
        </w:rPr>
        <w:t>500m</w:t>
      </w:r>
      <w:r>
        <w:rPr>
          <w:rFonts w:hint="eastAsia" w:cs="Times New Roman" w:asciiTheme="minorEastAsia" w:hAnsiTheme="minorEastAsia"/>
          <w:kern w:val="0"/>
        </w:rPr>
        <w:t>～</w:t>
      </w:r>
      <w:r>
        <w:rPr>
          <w:rFonts w:cs="Times New Roman" w:asciiTheme="minorEastAsia" w:hAnsiTheme="minorEastAsia"/>
          <w:kern w:val="0"/>
        </w:rPr>
        <w:t>1000m</w:t>
      </w:r>
      <w:r>
        <w:rPr>
          <w:rFonts w:hint="eastAsia" w:cs="Times New Roman" w:asciiTheme="minorEastAsia" w:hAnsiTheme="minorEastAsia"/>
          <w:kern w:val="0"/>
        </w:rPr>
        <w:t>，应按每</w:t>
      </w:r>
      <w:r>
        <w:rPr>
          <w:rFonts w:cs="Times New Roman" w:asciiTheme="minorEastAsia" w:hAnsiTheme="minorEastAsia"/>
          <w:kern w:val="0"/>
        </w:rPr>
        <w:t>100m</w:t>
      </w:r>
      <w:r>
        <w:rPr>
          <w:rFonts w:hint="eastAsia" w:cs="Times New Roman" w:asciiTheme="minorEastAsia" w:hAnsiTheme="minorEastAsia"/>
          <w:kern w:val="0"/>
        </w:rPr>
        <w:t>～</w:t>
      </w:r>
      <w:r>
        <w:rPr>
          <w:rFonts w:cs="Times New Roman" w:asciiTheme="minorEastAsia" w:hAnsiTheme="minorEastAsia"/>
          <w:kern w:val="0"/>
        </w:rPr>
        <w:t>200m</w:t>
      </w:r>
      <w:r>
        <w:rPr>
          <w:rFonts w:hint="eastAsia" w:cs="Times New Roman" w:asciiTheme="minorEastAsia" w:hAnsiTheme="minorEastAsia"/>
          <w:kern w:val="0"/>
        </w:rPr>
        <w:t>布置</w:t>
      </w:r>
      <w:r>
        <w:rPr>
          <w:rFonts w:cs="Times New Roman" w:asciiTheme="minorEastAsia" w:hAnsiTheme="minorEastAsia"/>
          <w:kern w:val="0"/>
        </w:rPr>
        <w:t>1</w:t>
      </w:r>
      <w:r>
        <w:rPr>
          <w:rFonts w:hint="eastAsia" w:cs="Times New Roman" w:asciiTheme="minorEastAsia" w:hAnsiTheme="minorEastAsia"/>
          <w:kern w:val="0"/>
        </w:rPr>
        <w:t>个断面，长度不小于</w:t>
      </w:r>
      <w:r>
        <w:rPr>
          <w:rFonts w:cs="Times New Roman" w:asciiTheme="minorEastAsia" w:hAnsiTheme="minorEastAsia"/>
          <w:kern w:val="0"/>
        </w:rPr>
        <w:t>1000m</w:t>
      </w:r>
      <w:r>
        <w:rPr>
          <w:rFonts w:hint="eastAsia" w:cs="Times New Roman" w:asciiTheme="minorEastAsia" w:hAnsiTheme="minorEastAsia"/>
          <w:kern w:val="0"/>
        </w:rPr>
        <w:t>，应按每</w:t>
      </w:r>
      <w:r>
        <w:rPr>
          <w:rFonts w:cs="Times New Roman" w:asciiTheme="minorEastAsia" w:hAnsiTheme="minorEastAsia"/>
          <w:kern w:val="0"/>
        </w:rPr>
        <w:t>500m</w:t>
      </w:r>
      <w:r>
        <w:rPr>
          <w:rFonts w:hint="eastAsia" w:cs="Times New Roman" w:asciiTheme="minorEastAsia" w:hAnsiTheme="minorEastAsia"/>
          <w:kern w:val="0"/>
        </w:rPr>
        <w:t>～</w:t>
      </w:r>
      <w:r>
        <w:rPr>
          <w:rFonts w:cs="Times New Roman" w:asciiTheme="minorEastAsia" w:hAnsiTheme="minorEastAsia"/>
          <w:kern w:val="0"/>
        </w:rPr>
        <w:t>800m</w:t>
      </w:r>
      <w:r>
        <w:rPr>
          <w:rFonts w:hint="eastAsia" w:cs="Times New Roman" w:asciiTheme="minorEastAsia" w:hAnsiTheme="minorEastAsia"/>
          <w:kern w:val="0"/>
        </w:rPr>
        <w:t>布置</w:t>
      </w:r>
      <w:r>
        <w:rPr>
          <w:rFonts w:cs="Times New Roman" w:asciiTheme="minorEastAsia" w:hAnsiTheme="minorEastAsia"/>
          <w:kern w:val="0"/>
        </w:rPr>
        <w:t>1</w:t>
      </w:r>
      <w:r>
        <w:rPr>
          <w:rFonts w:hint="eastAsia" w:cs="Times New Roman" w:asciiTheme="minorEastAsia" w:hAnsiTheme="minorEastAsia"/>
          <w:kern w:val="0"/>
        </w:rPr>
        <w:t>个断面。宽度和坡度有变化的，应增加断面布置。</w:t>
      </w:r>
    </w:p>
    <w:p>
      <w:pPr>
        <w:spacing w:line="360" w:lineRule="auto"/>
        <w:ind w:firstLine="420" w:firstLineChars="200"/>
        <w:rPr>
          <w:rFonts w:hint="eastAsia" w:cs="Times New Roman" w:asciiTheme="minorEastAsia" w:hAnsiTheme="minorEastAsia"/>
          <w:kern w:val="0"/>
        </w:rPr>
      </w:pPr>
      <w:r>
        <w:rPr>
          <w:rFonts w:hint="eastAsia" w:ascii="黑体" w:hAnsi="黑体" w:eastAsia="黑体" w:cs="黑体"/>
          <w:kern w:val="0"/>
          <w:szCs w:val="21"/>
        </w:rPr>
        <w:t>4</w:t>
      </w:r>
      <w:r>
        <w:rPr>
          <w:rFonts w:ascii="Times New Roman" w:hAnsi="Times New Roman" w:eastAsia="黑体" w:cs="Times New Roman"/>
          <w:kern w:val="0"/>
        </w:rPr>
        <w:t xml:space="preserve">  </w:t>
      </w:r>
      <w:r>
        <w:rPr>
          <w:rFonts w:hint="eastAsia" w:cs="Times New Roman" w:asciiTheme="minorEastAsia" w:hAnsiTheme="minorEastAsia"/>
          <w:kern w:val="0"/>
        </w:rPr>
        <w:t>渠道及河道河床纵坡测点按长度布置，每</w:t>
      </w:r>
      <w:r>
        <w:rPr>
          <w:rFonts w:cs="Times New Roman" w:asciiTheme="minorEastAsia" w:hAnsiTheme="minorEastAsia"/>
          <w:kern w:val="0"/>
        </w:rPr>
        <w:t>300m</w:t>
      </w:r>
      <w:r>
        <w:rPr>
          <w:rFonts w:hint="eastAsia" w:cs="Times New Roman" w:asciiTheme="minorEastAsia" w:hAnsiTheme="minorEastAsia"/>
          <w:kern w:val="0"/>
        </w:rPr>
        <w:t>～</w:t>
      </w:r>
      <w:r>
        <w:rPr>
          <w:rFonts w:cs="Times New Roman" w:asciiTheme="minorEastAsia" w:hAnsiTheme="minorEastAsia"/>
          <w:kern w:val="0"/>
        </w:rPr>
        <w:t>500m</w:t>
      </w:r>
      <w:r>
        <w:rPr>
          <w:rFonts w:hint="eastAsia" w:cs="Times New Roman" w:asciiTheme="minorEastAsia" w:hAnsiTheme="minorEastAsia"/>
          <w:kern w:val="0"/>
        </w:rPr>
        <w:t>布置</w:t>
      </w:r>
      <w:r>
        <w:rPr>
          <w:rFonts w:cs="Times New Roman" w:asciiTheme="minorEastAsia" w:hAnsiTheme="minorEastAsia"/>
          <w:kern w:val="0"/>
        </w:rPr>
        <w:t>1</w:t>
      </w:r>
      <w:r>
        <w:rPr>
          <w:rFonts w:hint="eastAsia" w:cs="Times New Roman" w:asciiTheme="minorEastAsia" w:hAnsiTheme="minorEastAsia"/>
          <w:kern w:val="0"/>
        </w:rPr>
        <w:t>个测点。</w:t>
      </w:r>
    </w:p>
    <w:p>
      <w:pPr>
        <w:spacing w:line="360" w:lineRule="auto"/>
        <w:ind w:firstLine="420" w:firstLineChars="200"/>
        <w:rPr>
          <w:rFonts w:hint="eastAsia" w:cs="Times New Roman" w:asciiTheme="minorEastAsia" w:hAnsiTheme="minorEastAsia"/>
          <w:kern w:val="0"/>
        </w:rPr>
      </w:pPr>
      <w:r>
        <w:rPr>
          <w:rFonts w:hint="eastAsia" w:ascii="黑体" w:hAnsi="黑体" w:eastAsia="黑体" w:cs="黑体"/>
          <w:kern w:val="0"/>
          <w:szCs w:val="21"/>
        </w:rPr>
        <w:t xml:space="preserve">5  </w:t>
      </w:r>
      <w:r>
        <w:rPr>
          <w:rFonts w:hint="eastAsia" w:cs="Times New Roman" w:asciiTheme="minorEastAsia" w:hAnsiTheme="minorEastAsia"/>
          <w:kern w:val="0"/>
        </w:rPr>
        <w:t>护坡长度测点沿轴线每</w:t>
      </w:r>
      <w:r>
        <w:rPr>
          <w:rFonts w:cs="Times New Roman" w:asciiTheme="minorEastAsia" w:hAnsiTheme="minorEastAsia"/>
          <w:kern w:val="0"/>
        </w:rPr>
        <w:t>20m</w:t>
      </w:r>
      <w:r>
        <w:rPr>
          <w:rFonts w:hint="eastAsia" w:cs="Times New Roman" w:asciiTheme="minorEastAsia" w:hAnsiTheme="minorEastAsia"/>
          <w:kern w:val="0"/>
        </w:rPr>
        <w:t>布置不少于</w:t>
      </w:r>
      <w:r>
        <w:rPr>
          <w:rFonts w:cs="Times New Roman" w:asciiTheme="minorEastAsia" w:hAnsiTheme="minorEastAsia"/>
          <w:kern w:val="0"/>
        </w:rPr>
        <w:t>1</w:t>
      </w:r>
      <w:r>
        <w:rPr>
          <w:rFonts w:hint="eastAsia" w:cs="Times New Roman" w:asciiTheme="minorEastAsia" w:hAnsiTheme="minorEastAsia"/>
          <w:kern w:val="0"/>
        </w:rPr>
        <w:t>个测点、每</w:t>
      </w:r>
      <w:r>
        <w:rPr>
          <w:rFonts w:cs="Times New Roman" w:asciiTheme="minorEastAsia" w:hAnsiTheme="minorEastAsia"/>
          <w:kern w:val="0"/>
        </w:rPr>
        <w:t>2000m</w:t>
      </w:r>
      <w:r>
        <w:rPr>
          <w:rFonts w:hint="eastAsia" w:cs="Times New Roman" w:asciiTheme="minorEastAsia" w:hAnsiTheme="minorEastAsia"/>
          <w:kern w:val="0"/>
        </w:rPr>
        <w:t>布置不少于</w:t>
      </w:r>
      <w:r>
        <w:rPr>
          <w:rFonts w:cs="Times New Roman" w:asciiTheme="minorEastAsia" w:hAnsiTheme="minorEastAsia"/>
          <w:kern w:val="0"/>
        </w:rPr>
        <w:t>3</w:t>
      </w:r>
      <w:r>
        <w:rPr>
          <w:rFonts w:hint="eastAsia" w:cs="Times New Roman" w:asciiTheme="minorEastAsia" w:hAnsiTheme="minorEastAsia"/>
          <w:kern w:val="0"/>
        </w:rPr>
        <w:t>个测点。</w:t>
      </w:r>
    </w:p>
    <w:p>
      <w:pPr>
        <w:spacing w:line="360" w:lineRule="auto"/>
        <w:rPr>
          <w:rFonts w:hint="eastAsia" w:cs="Times New Roman" w:asciiTheme="minorEastAsia" w:hAnsiTheme="minorEastAsia"/>
          <w:kern w:val="0"/>
        </w:rPr>
      </w:pPr>
      <w:r>
        <w:rPr>
          <w:rFonts w:hint="eastAsia" w:ascii="黑体" w:hAnsi="黑体" w:eastAsia="黑体" w:cs="黑体"/>
          <w:kern w:val="0"/>
          <w:szCs w:val="21"/>
        </w:rPr>
        <w:t xml:space="preserve">9.2.5 </w:t>
      </w:r>
      <w:r>
        <w:rPr>
          <w:rFonts w:ascii="Times New Roman" w:hAnsi="Times New Roman" w:cs="Times New Roman"/>
          <w:kern w:val="0"/>
        </w:rPr>
        <w:t xml:space="preserve"> </w:t>
      </w:r>
      <w:r>
        <w:rPr>
          <w:rFonts w:cs="Times New Roman" w:asciiTheme="minorEastAsia" w:hAnsiTheme="minorEastAsia"/>
          <w:kern w:val="0"/>
        </w:rPr>
        <w:t>水闸、渡槽、涵管、倒虹吸的测</w:t>
      </w:r>
      <w:r>
        <w:rPr>
          <w:rFonts w:hint="eastAsia" w:cs="Times New Roman" w:asciiTheme="minorEastAsia" w:hAnsiTheme="minorEastAsia"/>
          <w:kern w:val="0"/>
        </w:rPr>
        <w:t>点</w:t>
      </w:r>
      <w:r>
        <w:rPr>
          <w:rFonts w:cs="Times New Roman" w:asciiTheme="minorEastAsia" w:hAnsiTheme="minorEastAsia"/>
          <w:kern w:val="0"/>
        </w:rPr>
        <w:t>布置和数量应符合下列要求：</w:t>
      </w:r>
    </w:p>
    <w:p>
      <w:pPr>
        <w:spacing w:line="360" w:lineRule="auto"/>
        <w:ind w:firstLine="420" w:firstLineChars="200"/>
        <w:rPr>
          <w:rFonts w:hint="eastAsia" w:cs="Times New Roman" w:asciiTheme="minorEastAsia" w:hAnsiTheme="minorEastAsia"/>
          <w:kern w:val="0"/>
        </w:rPr>
      </w:pPr>
      <w:r>
        <w:rPr>
          <w:rFonts w:hint="eastAsia" w:ascii="黑体" w:hAnsi="黑体" w:eastAsia="黑体" w:cs="黑体"/>
          <w:kern w:val="0"/>
          <w:szCs w:val="21"/>
        </w:rPr>
        <w:t xml:space="preserve">1 </w:t>
      </w:r>
      <w:r>
        <w:rPr>
          <w:rFonts w:ascii="Times New Roman" w:hAnsi="Times New Roman" w:eastAsia="黑体" w:cs="Times New Roman"/>
          <w:kern w:val="0"/>
        </w:rPr>
        <w:t xml:space="preserve"> </w:t>
      </w:r>
      <w:r>
        <w:rPr>
          <w:rFonts w:hint="eastAsia" w:cs="Times New Roman" w:asciiTheme="minorEastAsia" w:hAnsiTheme="minorEastAsia"/>
          <w:kern w:val="0"/>
        </w:rPr>
        <w:t>闸底板、闸顶、渡槽、涵管高程测点按长度布置，每</w:t>
      </w:r>
      <w:r>
        <w:rPr>
          <w:rFonts w:cs="Times New Roman" w:asciiTheme="minorEastAsia" w:hAnsiTheme="minorEastAsia"/>
          <w:kern w:val="0"/>
        </w:rPr>
        <w:t>100m</w:t>
      </w:r>
      <w:r>
        <w:rPr>
          <w:rFonts w:hint="eastAsia" w:cs="Times New Roman" w:asciiTheme="minorEastAsia" w:hAnsiTheme="minorEastAsia"/>
          <w:kern w:val="0"/>
        </w:rPr>
        <w:t>～</w:t>
      </w:r>
      <w:r>
        <w:rPr>
          <w:rFonts w:cs="Times New Roman" w:asciiTheme="minorEastAsia" w:hAnsiTheme="minorEastAsia"/>
          <w:kern w:val="0"/>
        </w:rPr>
        <w:t>300m</w:t>
      </w:r>
      <w:r>
        <w:rPr>
          <w:rFonts w:hint="eastAsia" w:cs="Times New Roman" w:asciiTheme="minorEastAsia" w:hAnsiTheme="minorEastAsia"/>
          <w:kern w:val="0"/>
        </w:rPr>
        <w:t>布置</w:t>
      </w:r>
      <w:r>
        <w:rPr>
          <w:rFonts w:cs="Times New Roman" w:asciiTheme="minorEastAsia" w:hAnsiTheme="minorEastAsia"/>
          <w:kern w:val="0"/>
        </w:rPr>
        <w:t>1</w:t>
      </w:r>
      <w:r>
        <w:rPr>
          <w:rFonts w:hint="eastAsia" w:cs="Times New Roman" w:asciiTheme="minorEastAsia" w:hAnsiTheme="minorEastAsia"/>
          <w:kern w:val="0"/>
        </w:rPr>
        <w:t>个测点；倒虹吸底部高程测量在进出口分别布置</w:t>
      </w:r>
      <w:r>
        <w:rPr>
          <w:rFonts w:cs="Times New Roman" w:asciiTheme="minorEastAsia" w:hAnsiTheme="minorEastAsia"/>
          <w:kern w:val="0"/>
        </w:rPr>
        <w:t>3</w:t>
      </w:r>
      <w:r>
        <w:rPr>
          <w:rFonts w:hint="eastAsia" w:cs="Times New Roman" w:asciiTheme="minorEastAsia" w:hAnsiTheme="minorEastAsia"/>
          <w:kern w:val="0"/>
        </w:rPr>
        <w:t>～</w:t>
      </w:r>
      <w:r>
        <w:rPr>
          <w:rFonts w:cs="Times New Roman" w:asciiTheme="minorEastAsia" w:hAnsiTheme="minorEastAsia"/>
          <w:kern w:val="0"/>
        </w:rPr>
        <w:t>5</w:t>
      </w:r>
      <w:r>
        <w:rPr>
          <w:rFonts w:hint="eastAsia" w:cs="Times New Roman" w:asciiTheme="minorEastAsia" w:hAnsiTheme="minorEastAsia"/>
          <w:kern w:val="0"/>
        </w:rPr>
        <w:t>个测点。</w:t>
      </w:r>
    </w:p>
    <w:p>
      <w:pPr>
        <w:spacing w:line="360" w:lineRule="auto"/>
        <w:ind w:firstLine="420" w:firstLineChars="200"/>
        <w:rPr>
          <w:rFonts w:ascii="Times New Roman" w:hAnsi="Times New Roman" w:cs="Times New Roman"/>
          <w:kern w:val="0"/>
        </w:rPr>
      </w:pPr>
      <w:r>
        <w:rPr>
          <w:rFonts w:hint="eastAsia" w:ascii="黑体" w:hAnsi="黑体" w:eastAsia="黑体" w:cs="黑体"/>
          <w:kern w:val="0"/>
          <w:szCs w:val="21"/>
        </w:rPr>
        <w:t xml:space="preserve">2 </w:t>
      </w:r>
      <w:r>
        <w:rPr>
          <w:rFonts w:ascii="Times New Roman" w:hAnsi="Times New Roman" w:eastAsia="黑体" w:cs="Times New Roman"/>
          <w:kern w:val="0"/>
        </w:rPr>
        <w:t xml:space="preserve"> </w:t>
      </w:r>
      <w:r>
        <w:rPr>
          <w:rFonts w:hint="eastAsia" w:cs="Times New Roman" w:asciiTheme="minorEastAsia" w:hAnsiTheme="minorEastAsia"/>
          <w:kern w:val="0"/>
        </w:rPr>
        <w:t>水闸长度测点布置在两端点，渡槽、涵管、倒虹吸长度测点和纵坡测点布置在进出口处。</w:t>
      </w:r>
    </w:p>
    <w:p>
      <w:pPr>
        <w:spacing w:line="360" w:lineRule="auto"/>
        <w:ind w:firstLine="420" w:firstLineChars="200"/>
        <w:rPr>
          <w:rFonts w:ascii="Times New Roman" w:hAnsi="Times New Roman" w:cs="Times New Roman"/>
          <w:kern w:val="0"/>
        </w:rPr>
      </w:pPr>
      <w:r>
        <w:rPr>
          <w:rFonts w:hint="eastAsia" w:ascii="黑体" w:hAnsi="黑体" w:eastAsia="黑体" w:cs="黑体"/>
          <w:kern w:val="0"/>
          <w:szCs w:val="21"/>
        </w:rPr>
        <w:t xml:space="preserve">3 </w:t>
      </w:r>
      <w:r>
        <w:rPr>
          <w:rFonts w:ascii="Times New Roman" w:hAnsi="Times New Roman" w:eastAsia="黑体" w:cs="Times New Roman"/>
          <w:kern w:val="0"/>
        </w:rPr>
        <w:t xml:space="preserve"> </w:t>
      </w:r>
      <w:r>
        <w:rPr>
          <w:rFonts w:hint="eastAsia" w:cs="Times New Roman" w:asciiTheme="minorEastAsia" w:hAnsiTheme="minorEastAsia"/>
          <w:kern w:val="0"/>
        </w:rPr>
        <w:t>渡槽、涵管、倒虹吸高度、宽度测点按断面布置，长度小于等于</w:t>
      </w:r>
      <w:r>
        <w:rPr>
          <w:rFonts w:cs="Times New Roman" w:asciiTheme="minorEastAsia" w:hAnsiTheme="minorEastAsia"/>
          <w:kern w:val="0"/>
        </w:rPr>
        <w:t>500m</w:t>
      </w:r>
      <w:r>
        <w:rPr>
          <w:rFonts w:hint="eastAsia" w:cs="Times New Roman" w:asciiTheme="minorEastAsia" w:hAnsiTheme="minorEastAsia"/>
          <w:kern w:val="0"/>
        </w:rPr>
        <w:t>，应布置</w:t>
      </w:r>
      <w:r>
        <w:rPr>
          <w:rFonts w:cs="Times New Roman" w:asciiTheme="minorEastAsia" w:hAnsiTheme="minorEastAsia"/>
          <w:kern w:val="0"/>
        </w:rPr>
        <w:t>1</w:t>
      </w:r>
      <w:r>
        <w:rPr>
          <w:rFonts w:hint="eastAsia" w:cs="Times New Roman" w:asciiTheme="minorEastAsia" w:hAnsiTheme="minorEastAsia"/>
          <w:kern w:val="0"/>
        </w:rPr>
        <w:t>个断面；长度大于</w:t>
      </w:r>
      <w:r>
        <w:rPr>
          <w:rFonts w:cs="Times New Roman" w:asciiTheme="minorEastAsia" w:hAnsiTheme="minorEastAsia"/>
          <w:kern w:val="0"/>
        </w:rPr>
        <w:t>500m</w:t>
      </w:r>
      <w:r>
        <w:rPr>
          <w:rFonts w:hint="eastAsia" w:cs="Times New Roman" w:asciiTheme="minorEastAsia" w:hAnsiTheme="minorEastAsia"/>
          <w:kern w:val="0"/>
        </w:rPr>
        <w:t>，应按每</w:t>
      </w:r>
      <w:r>
        <w:rPr>
          <w:rFonts w:cs="Times New Roman" w:asciiTheme="minorEastAsia" w:hAnsiTheme="minorEastAsia"/>
          <w:kern w:val="0"/>
        </w:rPr>
        <w:t>200m</w:t>
      </w:r>
      <w:r>
        <w:rPr>
          <w:rFonts w:hint="eastAsia" w:cs="Times New Roman" w:asciiTheme="minorEastAsia" w:hAnsiTheme="minorEastAsia"/>
          <w:kern w:val="0"/>
        </w:rPr>
        <w:t>～</w:t>
      </w:r>
      <w:r>
        <w:rPr>
          <w:rFonts w:cs="Times New Roman" w:asciiTheme="minorEastAsia" w:hAnsiTheme="minorEastAsia"/>
          <w:kern w:val="0"/>
        </w:rPr>
        <w:t>300m</w:t>
      </w:r>
      <w:r>
        <w:rPr>
          <w:rFonts w:hint="eastAsia" w:cs="Times New Roman" w:asciiTheme="minorEastAsia" w:hAnsiTheme="minorEastAsia"/>
          <w:kern w:val="0"/>
        </w:rPr>
        <w:t>布置</w:t>
      </w:r>
      <w:r>
        <w:rPr>
          <w:rFonts w:cs="Times New Roman" w:asciiTheme="minorEastAsia" w:hAnsiTheme="minorEastAsia"/>
          <w:kern w:val="0"/>
        </w:rPr>
        <w:t>1</w:t>
      </w:r>
      <w:r>
        <w:rPr>
          <w:rFonts w:hint="eastAsia" w:cs="Times New Roman" w:asciiTheme="minorEastAsia" w:hAnsiTheme="minorEastAsia"/>
          <w:kern w:val="0"/>
        </w:rPr>
        <w:t>个断面，进出口应分别布置</w:t>
      </w:r>
      <w:r>
        <w:rPr>
          <w:rFonts w:cs="Times New Roman" w:asciiTheme="minorEastAsia" w:hAnsiTheme="minorEastAsia"/>
          <w:kern w:val="0"/>
        </w:rPr>
        <w:t>1</w:t>
      </w:r>
      <w:r>
        <w:rPr>
          <w:rFonts w:hint="eastAsia" w:cs="Times New Roman" w:asciiTheme="minorEastAsia" w:hAnsiTheme="minorEastAsia"/>
          <w:kern w:val="0"/>
        </w:rPr>
        <w:t>个断面，总断面不少于</w:t>
      </w:r>
      <w:r>
        <w:rPr>
          <w:rFonts w:cs="Times New Roman" w:asciiTheme="minorEastAsia" w:hAnsiTheme="minorEastAsia"/>
          <w:kern w:val="0"/>
        </w:rPr>
        <w:t>5</w:t>
      </w:r>
      <w:r>
        <w:rPr>
          <w:rFonts w:hint="eastAsia" w:cs="Times New Roman" w:asciiTheme="minorEastAsia" w:hAnsiTheme="minorEastAsia"/>
          <w:kern w:val="0"/>
        </w:rPr>
        <w:t>个；单孔水闸宽度布置</w:t>
      </w:r>
      <w:r>
        <w:rPr>
          <w:rFonts w:cs="Times New Roman" w:asciiTheme="minorEastAsia" w:hAnsiTheme="minorEastAsia"/>
          <w:kern w:val="0"/>
        </w:rPr>
        <w:t>2</w:t>
      </w:r>
      <w:r>
        <w:rPr>
          <w:rFonts w:hint="eastAsia" w:cs="Times New Roman" w:asciiTheme="minorEastAsia" w:hAnsiTheme="minorEastAsia"/>
          <w:kern w:val="0"/>
        </w:rPr>
        <w:t>～</w:t>
      </w:r>
      <w:r>
        <w:rPr>
          <w:rFonts w:cs="Times New Roman" w:asciiTheme="minorEastAsia" w:hAnsiTheme="minorEastAsia"/>
          <w:kern w:val="0"/>
        </w:rPr>
        <w:t>3</w:t>
      </w:r>
      <w:r>
        <w:rPr>
          <w:rFonts w:hint="eastAsia" w:cs="Times New Roman" w:asciiTheme="minorEastAsia" w:hAnsiTheme="minorEastAsia"/>
          <w:kern w:val="0"/>
        </w:rPr>
        <w:t>个断面。</w:t>
      </w:r>
    </w:p>
    <w:p>
      <w:pPr>
        <w:spacing w:line="360" w:lineRule="auto"/>
        <w:ind w:firstLine="420" w:firstLineChars="200"/>
        <w:rPr>
          <w:rFonts w:ascii="Times New Roman" w:hAnsi="Times New Roman" w:cs="Times New Roman"/>
          <w:kern w:val="0"/>
        </w:rPr>
      </w:pPr>
      <w:r>
        <w:rPr>
          <w:rFonts w:hint="eastAsia" w:ascii="黑体" w:hAnsi="黑体" w:eastAsia="黑体" w:cs="黑体"/>
          <w:kern w:val="0"/>
          <w:szCs w:val="21"/>
        </w:rPr>
        <w:t xml:space="preserve">4 </w:t>
      </w:r>
      <w:r>
        <w:rPr>
          <w:rFonts w:ascii="Times New Roman" w:hAnsi="Times New Roman" w:eastAsia="黑体" w:cs="Times New Roman"/>
          <w:kern w:val="0"/>
        </w:rPr>
        <w:t xml:space="preserve"> </w:t>
      </w:r>
      <w:r>
        <w:rPr>
          <w:rFonts w:hint="eastAsia" w:cs="Times New Roman" w:asciiTheme="minorEastAsia" w:hAnsiTheme="minorEastAsia"/>
          <w:kern w:val="0"/>
        </w:rPr>
        <w:t>水闸、渡槽、涵管、倒虹吸轴线坐标测点布置在两端点和转折点</w:t>
      </w:r>
      <w:r>
        <w:rPr>
          <w:rFonts w:cs="Times New Roman" w:asciiTheme="minorEastAsia" w:hAnsiTheme="minorEastAsia"/>
          <w:kern w:val="0"/>
        </w:rPr>
        <w:t>。</w:t>
      </w:r>
    </w:p>
    <w:p>
      <w:pPr>
        <w:spacing w:line="360" w:lineRule="auto"/>
        <w:rPr>
          <w:rFonts w:hint="eastAsia" w:cs="Times New Roman" w:asciiTheme="minorEastAsia" w:hAnsiTheme="minorEastAsia"/>
          <w:kern w:val="0"/>
        </w:rPr>
      </w:pPr>
      <w:r>
        <w:rPr>
          <w:rFonts w:hint="eastAsia" w:ascii="黑体" w:hAnsi="黑体" w:eastAsia="黑体" w:cs="黑体"/>
          <w:kern w:val="0"/>
          <w:szCs w:val="21"/>
        </w:rPr>
        <w:t xml:space="preserve">9.2.6 </w:t>
      </w:r>
      <w:r>
        <w:rPr>
          <w:rFonts w:ascii="Times New Roman" w:hAnsi="Times New Roman" w:cs="Times New Roman"/>
          <w:kern w:val="0"/>
        </w:rPr>
        <w:t xml:space="preserve"> </w:t>
      </w:r>
      <w:r>
        <w:rPr>
          <w:rFonts w:cs="Times New Roman" w:asciiTheme="minorEastAsia" w:hAnsiTheme="minorEastAsia"/>
          <w:kern w:val="0"/>
        </w:rPr>
        <w:t>隧洞的测区布置和数量应符合下列要求：</w:t>
      </w:r>
    </w:p>
    <w:p>
      <w:pPr>
        <w:spacing w:line="360" w:lineRule="auto"/>
        <w:ind w:firstLine="420" w:firstLineChars="200"/>
        <w:rPr>
          <w:rFonts w:hint="eastAsia" w:cs="Times New Roman" w:asciiTheme="minorEastAsia" w:hAnsiTheme="minorEastAsia"/>
          <w:kern w:val="0"/>
        </w:rPr>
      </w:pPr>
      <w:r>
        <w:rPr>
          <w:rFonts w:hint="eastAsia" w:ascii="黑体" w:hAnsi="黑体" w:eastAsia="黑体" w:cs="黑体"/>
          <w:kern w:val="0"/>
          <w:szCs w:val="21"/>
        </w:rPr>
        <w:t>1</w:t>
      </w:r>
      <w:r>
        <w:rPr>
          <w:rFonts w:ascii="Times New Roman" w:hAnsi="Times New Roman" w:eastAsia="黑体" w:cs="Times New Roman"/>
          <w:kern w:val="0"/>
        </w:rPr>
        <w:t xml:space="preserve">  </w:t>
      </w:r>
      <w:r>
        <w:rPr>
          <w:rFonts w:hint="eastAsia" w:cs="Times New Roman" w:asciiTheme="minorEastAsia" w:hAnsiTheme="minorEastAsia"/>
          <w:kern w:val="0"/>
        </w:rPr>
        <w:t>高程和纵坡测点按长度布置，每</w:t>
      </w:r>
      <w:r>
        <w:rPr>
          <w:rFonts w:cs="Times New Roman" w:asciiTheme="minorEastAsia" w:hAnsiTheme="minorEastAsia"/>
          <w:kern w:val="0"/>
        </w:rPr>
        <w:t>300m</w:t>
      </w:r>
      <w:r>
        <w:rPr>
          <w:rFonts w:hint="eastAsia" w:cs="Times New Roman" w:asciiTheme="minorEastAsia" w:hAnsiTheme="minorEastAsia"/>
          <w:kern w:val="0"/>
        </w:rPr>
        <w:t>～</w:t>
      </w:r>
      <w:r>
        <w:rPr>
          <w:rFonts w:cs="Times New Roman" w:asciiTheme="minorEastAsia" w:hAnsiTheme="minorEastAsia"/>
          <w:kern w:val="0"/>
        </w:rPr>
        <w:t>500m</w:t>
      </w:r>
      <w:r>
        <w:rPr>
          <w:rFonts w:hint="eastAsia" w:cs="Times New Roman" w:asciiTheme="minorEastAsia" w:hAnsiTheme="minorEastAsia"/>
          <w:kern w:val="0"/>
        </w:rPr>
        <w:t>布置</w:t>
      </w:r>
      <w:r>
        <w:rPr>
          <w:rFonts w:cs="Times New Roman" w:asciiTheme="minorEastAsia" w:hAnsiTheme="minorEastAsia"/>
          <w:kern w:val="0"/>
        </w:rPr>
        <w:t>1</w:t>
      </w:r>
      <w:r>
        <w:rPr>
          <w:rFonts w:hint="eastAsia" w:cs="Times New Roman" w:asciiTheme="minorEastAsia" w:hAnsiTheme="minorEastAsia"/>
          <w:kern w:val="0"/>
        </w:rPr>
        <w:t>个测点。</w:t>
      </w:r>
    </w:p>
    <w:p>
      <w:pPr>
        <w:spacing w:line="360" w:lineRule="auto"/>
        <w:ind w:firstLine="420" w:firstLineChars="200"/>
        <w:rPr>
          <w:rFonts w:hint="eastAsia" w:cs="Times New Roman" w:asciiTheme="minorEastAsia" w:hAnsiTheme="minorEastAsia"/>
          <w:kern w:val="0"/>
        </w:rPr>
      </w:pPr>
      <w:r>
        <w:rPr>
          <w:rFonts w:hint="eastAsia" w:ascii="黑体" w:hAnsi="黑体" w:eastAsia="黑体" w:cs="黑体"/>
          <w:kern w:val="0"/>
          <w:szCs w:val="21"/>
        </w:rPr>
        <w:t xml:space="preserve">2 </w:t>
      </w:r>
      <w:r>
        <w:rPr>
          <w:rFonts w:ascii="Times New Roman" w:hAnsi="Times New Roman" w:eastAsia="黑体" w:cs="Times New Roman"/>
          <w:kern w:val="0"/>
        </w:rPr>
        <w:t xml:space="preserve"> </w:t>
      </w:r>
      <w:r>
        <w:rPr>
          <w:rFonts w:hint="eastAsia" w:cs="Times New Roman" w:asciiTheme="minorEastAsia" w:hAnsiTheme="minorEastAsia"/>
          <w:kern w:val="0"/>
        </w:rPr>
        <w:t>断面几何尺寸测点按长度布置，长度小于等于</w:t>
      </w:r>
      <w:r>
        <w:rPr>
          <w:rFonts w:cs="Times New Roman" w:asciiTheme="minorEastAsia" w:hAnsiTheme="minorEastAsia"/>
          <w:kern w:val="0"/>
        </w:rPr>
        <w:t>500m</w:t>
      </w:r>
      <w:r>
        <w:rPr>
          <w:rFonts w:hint="eastAsia" w:cs="Times New Roman" w:asciiTheme="minorEastAsia" w:hAnsiTheme="minorEastAsia"/>
          <w:kern w:val="0"/>
        </w:rPr>
        <w:t>，应布置</w:t>
      </w:r>
      <w:r>
        <w:rPr>
          <w:rFonts w:cs="Times New Roman" w:asciiTheme="minorEastAsia" w:hAnsiTheme="minorEastAsia"/>
          <w:kern w:val="0"/>
        </w:rPr>
        <w:t>1</w:t>
      </w:r>
      <w:r>
        <w:rPr>
          <w:rFonts w:hint="eastAsia" w:cs="Times New Roman" w:asciiTheme="minorEastAsia" w:hAnsiTheme="minorEastAsia"/>
          <w:kern w:val="0"/>
        </w:rPr>
        <w:t>个断面，长度大于</w:t>
      </w:r>
      <w:r>
        <w:rPr>
          <w:rFonts w:cs="Times New Roman" w:asciiTheme="minorEastAsia" w:hAnsiTheme="minorEastAsia"/>
          <w:kern w:val="0"/>
        </w:rPr>
        <w:t>500m</w:t>
      </w:r>
      <w:r>
        <w:rPr>
          <w:rFonts w:hint="eastAsia" w:cs="Times New Roman" w:asciiTheme="minorEastAsia" w:hAnsiTheme="minorEastAsia"/>
          <w:kern w:val="0"/>
        </w:rPr>
        <w:t>，每</w:t>
      </w:r>
      <w:r>
        <w:rPr>
          <w:rFonts w:cs="Times New Roman" w:asciiTheme="minorEastAsia" w:hAnsiTheme="minorEastAsia"/>
          <w:kern w:val="0"/>
        </w:rPr>
        <w:t>500m</w:t>
      </w:r>
      <w:r>
        <w:rPr>
          <w:rFonts w:hint="eastAsia" w:cs="Times New Roman" w:asciiTheme="minorEastAsia" w:hAnsiTheme="minorEastAsia"/>
          <w:kern w:val="0"/>
        </w:rPr>
        <w:t>～</w:t>
      </w:r>
      <w:r>
        <w:rPr>
          <w:rFonts w:cs="Times New Roman" w:asciiTheme="minorEastAsia" w:hAnsiTheme="minorEastAsia"/>
          <w:kern w:val="0"/>
        </w:rPr>
        <w:t>800m</w:t>
      </w:r>
      <w:r>
        <w:rPr>
          <w:rFonts w:hint="eastAsia" w:cs="Times New Roman" w:asciiTheme="minorEastAsia" w:hAnsiTheme="minorEastAsia"/>
          <w:kern w:val="0"/>
        </w:rPr>
        <w:t>布置</w:t>
      </w:r>
      <w:r>
        <w:rPr>
          <w:rFonts w:cs="Times New Roman" w:asciiTheme="minorEastAsia" w:hAnsiTheme="minorEastAsia"/>
          <w:kern w:val="0"/>
        </w:rPr>
        <w:t>1</w:t>
      </w:r>
      <w:r>
        <w:rPr>
          <w:rFonts w:hint="eastAsia" w:cs="Times New Roman" w:asciiTheme="minorEastAsia" w:hAnsiTheme="minorEastAsia"/>
          <w:kern w:val="0"/>
        </w:rPr>
        <w:t>个断面，进出口应分别布置</w:t>
      </w:r>
      <w:r>
        <w:rPr>
          <w:rFonts w:cs="Times New Roman" w:asciiTheme="minorEastAsia" w:hAnsiTheme="minorEastAsia"/>
          <w:kern w:val="0"/>
        </w:rPr>
        <w:t>1</w:t>
      </w:r>
      <w:r>
        <w:rPr>
          <w:rFonts w:hint="eastAsia" w:cs="Times New Roman" w:asciiTheme="minorEastAsia" w:hAnsiTheme="minorEastAsia"/>
          <w:kern w:val="0"/>
        </w:rPr>
        <w:t>个断面</w:t>
      </w:r>
      <w:r>
        <w:rPr>
          <w:rFonts w:cs="Times New Roman" w:asciiTheme="minorEastAsia" w:hAnsiTheme="minorEastAsia"/>
          <w:kern w:val="0"/>
        </w:rPr>
        <w:t>。</w:t>
      </w:r>
    </w:p>
    <w:p>
      <w:pPr>
        <w:spacing w:line="360" w:lineRule="auto"/>
        <w:ind w:firstLine="420" w:firstLineChars="200"/>
        <w:rPr>
          <w:rFonts w:ascii="Times New Roman" w:hAnsi="Times New Roman" w:cs="Times New Roman"/>
          <w:kern w:val="0"/>
        </w:rPr>
      </w:pPr>
      <w:r>
        <w:rPr>
          <w:rFonts w:hint="eastAsia" w:ascii="黑体" w:hAnsi="黑体" w:eastAsia="黑体" w:cs="黑体"/>
          <w:kern w:val="0"/>
          <w:szCs w:val="21"/>
        </w:rPr>
        <w:t xml:space="preserve">3 </w:t>
      </w:r>
      <w:r>
        <w:rPr>
          <w:rFonts w:ascii="Times New Roman" w:hAnsi="Times New Roman" w:eastAsia="黑体" w:cs="Times New Roman"/>
          <w:kern w:val="0"/>
        </w:rPr>
        <w:t xml:space="preserve"> </w:t>
      </w:r>
      <w:r>
        <w:rPr>
          <w:rFonts w:ascii="Times New Roman" w:hAnsi="Times New Roman" w:cs="Times New Roman"/>
          <w:kern w:val="0"/>
        </w:rPr>
        <w:t>轴线坐标测点布置在进出口和转折点</w:t>
      </w:r>
      <w:r>
        <w:rPr>
          <w:rFonts w:cs="Times New Roman" w:asciiTheme="minorEastAsia" w:hAnsiTheme="minorEastAsia"/>
          <w:kern w:val="0"/>
        </w:rPr>
        <w:t>。</w:t>
      </w:r>
    </w:p>
    <w:p>
      <w:pPr>
        <w:spacing w:line="360" w:lineRule="auto"/>
        <w:rPr>
          <w:rFonts w:hint="eastAsia" w:cs="Times New Roman" w:asciiTheme="minorEastAsia" w:hAnsiTheme="minorEastAsia"/>
          <w:kern w:val="0"/>
        </w:rPr>
      </w:pPr>
      <w:r>
        <w:rPr>
          <w:rFonts w:hint="eastAsia" w:ascii="黑体" w:hAnsi="黑体" w:eastAsia="黑体" w:cs="黑体"/>
          <w:kern w:val="0"/>
          <w:szCs w:val="21"/>
        </w:rPr>
        <w:t xml:space="preserve">9.2.7 </w:t>
      </w:r>
      <w:r>
        <w:rPr>
          <w:rFonts w:ascii="Times New Roman" w:hAnsi="Times New Roman" w:cs="Times New Roman"/>
          <w:kern w:val="0"/>
        </w:rPr>
        <w:t xml:space="preserve"> </w:t>
      </w:r>
      <w:r>
        <w:rPr>
          <w:rFonts w:hint="eastAsia" w:cs="Times New Roman" w:asciiTheme="minorEastAsia" w:hAnsiTheme="minorEastAsia"/>
          <w:kern w:val="0"/>
        </w:rPr>
        <w:t>电站、泵站厂房测点布置和数量应符合下列要求</w:t>
      </w:r>
      <w:r>
        <w:rPr>
          <w:rFonts w:cs="Times New Roman" w:asciiTheme="minorEastAsia" w:hAnsiTheme="minorEastAsia"/>
          <w:kern w:val="0"/>
        </w:rPr>
        <w:t>：</w:t>
      </w:r>
    </w:p>
    <w:p>
      <w:pPr>
        <w:spacing w:line="360" w:lineRule="auto"/>
        <w:ind w:firstLine="420" w:firstLineChars="200"/>
        <w:rPr>
          <w:rFonts w:hint="eastAsia" w:cs="Times New Roman" w:asciiTheme="minorEastAsia" w:hAnsiTheme="minorEastAsia"/>
          <w:kern w:val="0"/>
        </w:rPr>
      </w:pPr>
      <w:r>
        <w:rPr>
          <w:rFonts w:hint="eastAsia" w:ascii="黑体" w:hAnsi="黑体" w:eastAsia="黑体" w:cs="黑体"/>
          <w:kern w:val="0"/>
          <w:szCs w:val="21"/>
        </w:rPr>
        <w:t xml:space="preserve">1 </w:t>
      </w:r>
      <w:r>
        <w:rPr>
          <w:rFonts w:ascii="Times New Roman" w:hAnsi="Times New Roman" w:eastAsia="黑体" w:cs="Times New Roman"/>
          <w:kern w:val="0"/>
        </w:rPr>
        <w:t xml:space="preserve"> </w:t>
      </w:r>
      <w:r>
        <w:rPr>
          <w:rFonts w:hint="eastAsia" w:cs="Times New Roman" w:asciiTheme="minorEastAsia" w:hAnsiTheme="minorEastAsia"/>
          <w:kern w:val="0"/>
        </w:rPr>
        <w:t>地面高程测量按每</w:t>
      </w:r>
      <w:r>
        <w:rPr>
          <w:rFonts w:cs="Times New Roman" w:asciiTheme="minorEastAsia" w:hAnsiTheme="minorEastAsia"/>
          <w:kern w:val="0"/>
        </w:rPr>
        <w:t>10m</w:t>
      </w:r>
      <w:r>
        <w:rPr>
          <w:rFonts w:cs="Times New Roman" w:asciiTheme="minorEastAsia" w:hAnsiTheme="minorEastAsia"/>
          <w:kern w:val="0"/>
          <w:vertAlign w:val="superscript"/>
        </w:rPr>
        <w:t>2</w:t>
      </w:r>
      <w:r>
        <w:rPr>
          <w:rFonts w:hint="eastAsia" w:cs="Times New Roman" w:asciiTheme="minorEastAsia" w:hAnsiTheme="minorEastAsia"/>
          <w:kern w:val="0"/>
        </w:rPr>
        <w:t>布置</w:t>
      </w:r>
      <w:r>
        <w:rPr>
          <w:rFonts w:cs="Times New Roman" w:asciiTheme="minorEastAsia" w:hAnsiTheme="minorEastAsia"/>
          <w:kern w:val="0"/>
        </w:rPr>
        <w:t>1</w:t>
      </w:r>
      <w:r>
        <w:rPr>
          <w:rFonts w:hint="eastAsia" w:cs="Times New Roman" w:asciiTheme="minorEastAsia" w:hAnsiTheme="minorEastAsia"/>
          <w:kern w:val="0"/>
        </w:rPr>
        <w:t>个测点，总测点数量不少于</w:t>
      </w:r>
      <w:r>
        <w:rPr>
          <w:rFonts w:cs="Times New Roman" w:asciiTheme="minorEastAsia" w:hAnsiTheme="minorEastAsia"/>
          <w:kern w:val="0"/>
        </w:rPr>
        <w:t>10</w:t>
      </w:r>
      <w:r>
        <w:rPr>
          <w:rFonts w:hint="eastAsia" w:cs="Times New Roman" w:asciiTheme="minorEastAsia" w:hAnsiTheme="minorEastAsia"/>
          <w:kern w:val="0"/>
        </w:rPr>
        <w:t>个；机组安装高程每台机组布置</w:t>
      </w:r>
      <w:r>
        <w:rPr>
          <w:rFonts w:cs="Times New Roman" w:asciiTheme="minorEastAsia" w:hAnsiTheme="minorEastAsia"/>
          <w:kern w:val="0"/>
        </w:rPr>
        <w:t>1</w:t>
      </w:r>
      <w:r>
        <w:rPr>
          <w:rFonts w:hint="eastAsia" w:cs="Times New Roman" w:asciiTheme="minorEastAsia" w:hAnsiTheme="minorEastAsia"/>
          <w:kern w:val="0"/>
        </w:rPr>
        <w:t>～</w:t>
      </w:r>
      <w:r>
        <w:rPr>
          <w:rFonts w:cs="Times New Roman" w:asciiTheme="minorEastAsia" w:hAnsiTheme="minorEastAsia"/>
          <w:kern w:val="0"/>
        </w:rPr>
        <w:t>3</w:t>
      </w:r>
      <w:r>
        <w:rPr>
          <w:rFonts w:hint="eastAsia" w:cs="Times New Roman" w:asciiTheme="minorEastAsia" w:hAnsiTheme="minorEastAsia"/>
          <w:kern w:val="0"/>
        </w:rPr>
        <w:t>个测点。</w:t>
      </w:r>
    </w:p>
    <w:p>
      <w:pPr>
        <w:spacing w:line="360" w:lineRule="auto"/>
        <w:ind w:firstLine="420" w:firstLineChars="200"/>
        <w:rPr>
          <w:rFonts w:ascii="Times New Roman" w:hAnsi="Times New Roman" w:cs="Times New Roman"/>
          <w:kern w:val="0"/>
        </w:rPr>
      </w:pPr>
      <w:r>
        <w:rPr>
          <w:rFonts w:hint="eastAsia" w:ascii="黑体" w:hAnsi="黑体" w:eastAsia="黑体" w:cs="黑体"/>
          <w:kern w:val="0"/>
          <w:szCs w:val="21"/>
        </w:rPr>
        <w:t>2</w:t>
      </w:r>
      <w:r>
        <w:rPr>
          <w:rFonts w:ascii="Times New Roman" w:hAnsi="Times New Roman" w:eastAsia="黑体" w:cs="Times New Roman"/>
          <w:kern w:val="0"/>
        </w:rPr>
        <w:t xml:space="preserve">  </w:t>
      </w:r>
      <w:r>
        <w:rPr>
          <w:rFonts w:hint="eastAsia" w:cs="Times New Roman" w:asciiTheme="minorEastAsia" w:hAnsiTheme="minorEastAsia"/>
          <w:kern w:val="0"/>
        </w:rPr>
        <w:t>长度、宽度和高度测量分别按断面布置，总断面数量不少于</w:t>
      </w:r>
      <w:r>
        <w:rPr>
          <w:rFonts w:cs="Times New Roman" w:asciiTheme="minorEastAsia" w:hAnsiTheme="minorEastAsia"/>
          <w:kern w:val="0"/>
        </w:rPr>
        <w:t>3</w:t>
      </w:r>
      <w:r>
        <w:rPr>
          <w:rFonts w:hint="eastAsia" w:cs="Times New Roman" w:asciiTheme="minorEastAsia" w:hAnsiTheme="minorEastAsia"/>
          <w:kern w:val="0"/>
        </w:rPr>
        <w:t>个。</w:t>
      </w:r>
    </w:p>
    <w:p>
      <w:pPr>
        <w:spacing w:line="360" w:lineRule="auto"/>
        <w:rPr>
          <w:rFonts w:hint="eastAsia" w:cs="Times New Roman" w:asciiTheme="minorEastAsia" w:hAnsiTheme="minorEastAsia"/>
          <w:kern w:val="0"/>
        </w:rPr>
      </w:pPr>
      <w:r>
        <w:rPr>
          <w:rFonts w:hint="eastAsia" w:ascii="黑体" w:hAnsi="黑体" w:eastAsia="黑体" w:cs="黑体"/>
          <w:kern w:val="0"/>
          <w:szCs w:val="21"/>
        </w:rPr>
        <w:t xml:space="preserve">9.2.8 </w:t>
      </w:r>
      <w:r>
        <w:rPr>
          <w:rFonts w:ascii="Times New Roman" w:hAnsi="Times New Roman" w:cs="Times New Roman"/>
          <w:kern w:val="0"/>
        </w:rPr>
        <w:t xml:space="preserve"> 一般建（构）筑物的测区布置和数量应符合下列要求</w:t>
      </w:r>
      <w:r>
        <w:rPr>
          <w:rFonts w:cs="Times New Roman" w:asciiTheme="minorEastAsia" w:hAnsiTheme="minorEastAsia"/>
          <w:kern w:val="0"/>
        </w:rPr>
        <w:t>：</w:t>
      </w:r>
    </w:p>
    <w:p>
      <w:pPr>
        <w:spacing w:line="360" w:lineRule="auto"/>
        <w:ind w:firstLine="420" w:firstLineChars="200"/>
        <w:rPr>
          <w:rFonts w:hint="eastAsia" w:cs="Times New Roman" w:asciiTheme="minorEastAsia" w:hAnsiTheme="minorEastAsia"/>
          <w:kern w:val="0"/>
        </w:rPr>
      </w:pPr>
      <w:r>
        <w:rPr>
          <w:rFonts w:hint="eastAsia" w:ascii="黑体" w:hAnsi="黑体" w:eastAsia="黑体" w:cs="黑体"/>
          <w:kern w:val="0"/>
          <w:szCs w:val="21"/>
        </w:rPr>
        <w:t xml:space="preserve">1 </w:t>
      </w:r>
      <w:r>
        <w:rPr>
          <w:rFonts w:ascii="Times New Roman" w:hAnsi="Times New Roman" w:eastAsia="黑体" w:cs="Times New Roman"/>
          <w:kern w:val="0"/>
        </w:rPr>
        <w:t xml:space="preserve"> </w:t>
      </w:r>
      <w:r>
        <w:rPr>
          <w:rFonts w:hint="eastAsia" w:cs="Times New Roman" w:asciiTheme="minorEastAsia" w:hAnsiTheme="minorEastAsia"/>
          <w:kern w:val="0"/>
        </w:rPr>
        <w:t>高程测点布置数量不少于</w:t>
      </w:r>
      <w:r>
        <w:rPr>
          <w:rFonts w:cs="Times New Roman" w:asciiTheme="minorEastAsia" w:hAnsiTheme="minorEastAsia"/>
          <w:kern w:val="0"/>
        </w:rPr>
        <w:t>2</w:t>
      </w:r>
      <w:r>
        <w:rPr>
          <w:rFonts w:hint="eastAsia" w:cs="Times New Roman" w:asciiTheme="minorEastAsia" w:hAnsiTheme="minorEastAsia"/>
          <w:kern w:val="0"/>
        </w:rPr>
        <w:t>个。</w:t>
      </w:r>
    </w:p>
    <w:p>
      <w:pPr>
        <w:spacing w:line="360" w:lineRule="auto"/>
        <w:ind w:firstLine="420" w:firstLineChars="200"/>
        <w:rPr>
          <w:rFonts w:hint="eastAsia" w:cs="Times New Roman" w:asciiTheme="minorEastAsia" w:hAnsiTheme="minorEastAsia"/>
          <w:kern w:val="0"/>
        </w:rPr>
      </w:pPr>
      <w:r>
        <w:rPr>
          <w:rFonts w:hint="eastAsia" w:ascii="黑体" w:hAnsi="黑体" w:eastAsia="黑体" w:cs="黑体"/>
          <w:kern w:val="0"/>
          <w:szCs w:val="21"/>
        </w:rPr>
        <w:t xml:space="preserve">2 </w:t>
      </w:r>
      <w:r>
        <w:rPr>
          <w:rFonts w:ascii="Times New Roman" w:hAnsi="Times New Roman" w:eastAsia="黑体" w:cs="Times New Roman"/>
          <w:kern w:val="0"/>
        </w:rPr>
        <w:t xml:space="preserve"> </w:t>
      </w:r>
      <w:r>
        <w:rPr>
          <w:rFonts w:hint="eastAsia" w:cs="Times New Roman" w:asciiTheme="minorEastAsia" w:hAnsiTheme="minorEastAsia"/>
          <w:kern w:val="0"/>
        </w:rPr>
        <w:t>长度、宽度、高度测量分别按断面布置，总断面数量不少于</w:t>
      </w:r>
      <w:r>
        <w:rPr>
          <w:rFonts w:cs="Times New Roman" w:asciiTheme="minorEastAsia" w:hAnsiTheme="minorEastAsia"/>
          <w:kern w:val="0"/>
        </w:rPr>
        <w:t>3</w:t>
      </w:r>
      <w:r>
        <w:rPr>
          <w:rFonts w:hint="eastAsia" w:cs="Times New Roman" w:asciiTheme="minorEastAsia" w:hAnsiTheme="minorEastAsia"/>
          <w:kern w:val="0"/>
        </w:rPr>
        <w:t>个</w:t>
      </w:r>
      <w:r>
        <w:rPr>
          <w:rFonts w:cs="Times New Roman" w:asciiTheme="minorEastAsia" w:hAnsiTheme="minorEastAsia"/>
          <w:kern w:val="0"/>
        </w:rPr>
        <w:t>。</w:t>
      </w:r>
    </w:p>
    <w:p>
      <w:pPr>
        <w:pStyle w:val="3"/>
        <w:snapToGrid w:val="0"/>
        <w:spacing w:beforeLines="50" w:afterLines="50" w:line="360" w:lineRule="auto"/>
        <w:jc w:val="center"/>
        <w:rPr>
          <w:rFonts w:ascii="黑体" w:hAnsi="黑体" w:cs="黑体"/>
          <w:sz w:val="24"/>
          <w:szCs w:val="24"/>
        </w:rPr>
      </w:pPr>
      <w:bookmarkStart w:id="154" w:name="_Toc19796"/>
      <w:r>
        <w:rPr>
          <w:rFonts w:ascii="黑体" w:hAnsi="黑体" w:cs="黑体"/>
          <w:sz w:val="24"/>
          <w:szCs w:val="24"/>
        </w:rPr>
        <w:t>9.3  检测方法</w:t>
      </w:r>
      <w:bookmarkEnd w:id="154"/>
    </w:p>
    <w:p>
      <w:pPr>
        <w:pStyle w:val="6"/>
        <w:spacing w:line="360" w:lineRule="auto"/>
        <w:rPr>
          <w:rFonts w:ascii="Times New Roman" w:hAnsi="Times New Roman" w:cs="Times New Roman" w:eastAsiaTheme="minorEastAsia"/>
          <w:sz w:val="21"/>
          <w:szCs w:val="22"/>
        </w:rPr>
      </w:pPr>
      <w:r>
        <w:rPr>
          <w:rFonts w:hint="eastAsia" w:ascii="黑体" w:hAnsi="黑体" w:eastAsia="黑体" w:cs="黑体"/>
          <w:sz w:val="21"/>
          <w:szCs w:val="21"/>
        </w:rPr>
        <w:t>9.3.1</w:t>
      </w:r>
      <w:r>
        <w:rPr>
          <w:rFonts w:ascii="Times New Roman" w:hAnsi="Times New Roman" w:cs="Times New Roman"/>
        </w:rPr>
        <w:t xml:space="preserve">  </w:t>
      </w:r>
      <w:r>
        <w:rPr>
          <w:rFonts w:ascii="Times New Roman" w:hAnsi="Times New Roman" w:cs="Times New Roman" w:eastAsiaTheme="minorEastAsia"/>
          <w:sz w:val="21"/>
          <w:szCs w:val="22"/>
        </w:rPr>
        <w:t>高程</w:t>
      </w:r>
      <w:r>
        <w:rPr>
          <w:rFonts w:hint="eastAsia" w:ascii="Times New Roman" w:hAnsi="Times New Roman" w:cs="Times New Roman" w:eastAsiaTheme="minorEastAsia"/>
          <w:sz w:val="21"/>
          <w:szCs w:val="22"/>
        </w:rPr>
        <w:t>控制测量</w:t>
      </w:r>
      <w:r>
        <w:rPr>
          <w:rFonts w:ascii="Times New Roman" w:hAnsi="Times New Roman" w:cs="Times New Roman" w:eastAsiaTheme="minorEastAsia"/>
          <w:sz w:val="21"/>
          <w:szCs w:val="22"/>
        </w:rPr>
        <w:t>应采用水准仪或全站仪。</w:t>
      </w:r>
    </w:p>
    <w:p>
      <w:pPr>
        <w:spacing w:line="360" w:lineRule="auto"/>
        <w:rPr>
          <w:rFonts w:ascii="Times New Roman" w:hAnsi="Times New Roman" w:cs="Times New Roman"/>
        </w:rPr>
      </w:pPr>
      <w:r>
        <w:rPr>
          <w:rFonts w:hint="eastAsia" w:ascii="黑体" w:hAnsi="黑体" w:eastAsia="黑体" w:cs="黑体"/>
          <w:szCs w:val="21"/>
        </w:rPr>
        <w:t xml:space="preserve">9.3.2 </w:t>
      </w:r>
      <w:r>
        <w:rPr>
          <w:rFonts w:ascii="Times New Roman" w:hAnsi="Times New Roman" w:cs="Times New Roman"/>
        </w:rPr>
        <w:t xml:space="preserve"> 几何尺寸</w:t>
      </w:r>
      <w:r>
        <w:rPr>
          <w:rFonts w:hint="eastAsia" w:ascii="Times New Roman" w:hAnsi="Times New Roman" w:cs="Times New Roman"/>
        </w:rPr>
        <w:t>测量</w:t>
      </w:r>
      <w:r>
        <w:rPr>
          <w:rFonts w:ascii="Times New Roman" w:hAnsi="Times New Roman" w:cs="Times New Roman"/>
        </w:rPr>
        <w:t>应采用全站仪、经纬仪、钢卷尺、钢直尺、测距仪等。</w:t>
      </w:r>
    </w:p>
    <w:p>
      <w:pPr>
        <w:spacing w:line="360" w:lineRule="auto"/>
        <w:rPr>
          <w:rFonts w:ascii="Times New Roman" w:hAnsi="Times New Roman" w:cs="Times New Roman"/>
        </w:rPr>
      </w:pPr>
      <w:r>
        <w:rPr>
          <w:rFonts w:hint="eastAsia" w:ascii="黑体" w:hAnsi="黑体" w:eastAsia="黑体" w:cs="黑体"/>
          <w:szCs w:val="21"/>
        </w:rPr>
        <w:t>9.3.3</w:t>
      </w:r>
      <w:r>
        <w:rPr>
          <w:rFonts w:ascii="Times New Roman" w:hAnsi="Times New Roman" w:cs="Times New Roman"/>
        </w:rPr>
        <w:t xml:space="preserve"> </w:t>
      </w:r>
      <w:r>
        <w:rPr>
          <w:rFonts w:hint="eastAsia" w:ascii="Times New Roman" w:hAnsi="Times New Roman" w:cs="Times New Roman"/>
        </w:rPr>
        <w:t xml:space="preserve"> </w:t>
      </w:r>
      <w:r>
        <w:rPr>
          <w:rFonts w:ascii="Times New Roman" w:hAnsi="Times New Roman" w:cs="Times New Roman"/>
        </w:rPr>
        <w:t>轴线坐标应采用全站仪或</w:t>
      </w:r>
      <w:r>
        <w:rPr>
          <w:rFonts w:cs="Times New Roman" w:asciiTheme="minorEastAsia" w:hAnsiTheme="minorEastAsia"/>
        </w:rPr>
        <w:t>GNSS</w:t>
      </w:r>
      <w:r>
        <w:rPr>
          <w:rFonts w:ascii="Times New Roman" w:hAnsi="Times New Roman" w:cs="Times New Roman"/>
        </w:rPr>
        <w:t>设备，按照设计已明确其坐标位置的特征点进行</w:t>
      </w:r>
      <w:r>
        <w:rPr>
          <w:rFonts w:hint="eastAsia" w:ascii="Times New Roman" w:hAnsi="Times New Roman" w:cs="Times New Roman"/>
        </w:rPr>
        <w:t>测量</w:t>
      </w:r>
      <w:r>
        <w:rPr>
          <w:rFonts w:ascii="Times New Roman" w:hAnsi="Times New Roman" w:cs="Times New Roman"/>
        </w:rPr>
        <w:t>。</w:t>
      </w:r>
    </w:p>
    <w:p>
      <w:pPr>
        <w:spacing w:line="360" w:lineRule="auto"/>
        <w:rPr>
          <w:rFonts w:ascii="Times New Roman" w:hAnsi="Times New Roman" w:cs="Times New Roman"/>
        </w:rPr>
      </w:pPr>
      <w:r>
        <w:rPr>
          <w:rFonts w:hint="eastAsia" w:ascii="黑体" w:hAnsi="黑体" w:eastAsia="黑体" w:cs="黑体"/>
          <w:szCs w:val="21"/>
        </w:rPr>
        <w:t>9.3.4</w:t>
      </w:r>
      <w:r>
        <w:rPr>
          <w:rFonts w:ascii="Times New Roman" w:hAnsi="Times New Roman" w:cs="Times New Roman"/>
        </w:rPr>
        <w:t xml:space="preserve">  坡度应采用坡度仪进行测量，或采用全站仪测量顶部和底部的高程、坐标，通过计算得出。</w:t>
      </w:r>
    </w:p>
    <w:p>
      <w:pPr>
        <w:pStyle w:val="6"/>
        <w:spacing w:line="360" w:lineRule="auto"/>
        <w:rPr>
          <w:rFonts w:ascii="Times New Roman" w:hAnsi="Times New Roman" w:cs="Times New Roman" w:eastAsiaTheme="minorEastAsia"/>
          <w:sz w:val="21"/>
          <w:szCs w:val="22"/>
        </w:rPr>
      </w:pPr>
      <w:r>
        <w:rPr>
          <w:rFonts w:hint="eastAsia" w:ascii="黑体" w:hAnsi="黑体" w:eastAsia="黑体" w:cs="黑体"/>
          <w:sz w:val="21"/>
          <w:szCs w:val="21"/>
        </w:rPr>
        <w:t xml:space="preserve">9.3.5 </w:t>
      </w:r>
      <w:r>
        <w:rPr>
          <w:rFonts w:ascii="Times New Roman" w:hAnsi="Times New Roman" w:cs="Times New Roman"/>
          <w:sz w:val="24"/>
          <w:szCs w:val="24"/>
        </w:rPr>
        <w:t xml:space="preserve"> </w:t>
      </w:r>
      <w:r>
        <w:rPr>
          <w:rFonts w:ascii="Times New Roman" w:hAnsi="Times New Roman" w:cs="Times New Roman" w:eastAsiaTheme="minorEastAsia"/>
          <w:sz w:val="21"/>
          <w:szCs w:val="22"/>
        </w:rPr>
        <w:t>角度应采用经纬仪、全站仪测量相交的两条直线在同一水平面上的投影所夹的角度，或同一竖直面内仪器中心至目标的倾斜视线与水平视线所夹的锐角。</w:t>
      </w:r>
    </w:p>
    <w:p>
      <w:pPr>
        <w:spacing w:line="360" w:lineRule="auto"/>
        <w:rPr>
          <w:rFonts w:hint="eastAsia" w:asciiTheme="minorEastAsia" w:hAnsiTheme="minorEastAsia" w:cstheme="minorEastAsia"/>
        </w:rPr>
      </w:pPr>
      <w:r>
        <w:rPr>
          <w:rFonts w:hint="eastAsia" w:ascii="黑体" w:hAnsi="黑体" w:eastAsia="黑体" w:cs="黑体"/>
          <w:szCs w:val="21"/>
        </w:rPr>
        <w:t xml:space="preserve">9.3.6 </w:t>
      </w:r>
      <w:r>
        <w:rPr>
          <w:rFonts w:ascii="Times New Roman" w:hAnsi="Times New Roman" w:cs="Times New Roman"/>
        </w:rPr>
        <w:t xml:space="preserve"> 检测使用的仪器设备见表</w:t>
      </w:r>
      <w:r>
        <w:rPr>
          <w:rFonts w:hint="eastAsia" w:asciiTheme="minorEastAsia" w:hAnsiTheme="minorEastAsia" w:cstheme="minorEastAsia"/>
        </w:rPr>
        <w:t xml:space="preserve"> 9.3.6。</w:t>
      </w:r>
    </w:p>
    <w:p>
      <w:pPr>
        <w:spacing w:line="360" w:lineRule="auto"/>
        <w:jc w:val="center"/>
        <w:rPr>
          <w:rFonts w:hint="eastAsia" w:ascii="黑体" w:hAnsi="黑体" w:eastAsia="黑体" w:cs="黑体"/>
          <w:i/>
          <w:iCs/>
          <w:color w:val="0000FF"/>
          <w:sz w:val="18"/>
          <w:szCs w:val="18"/>
        </w:rPr>
      </w:pPr>
      <w:r>
        <w:rPr>
          <w:rFonts w:hint="eastAsia" w:ascii="黑体" w:hAnsi="黑体" w:eastAsia="黑体" w:cs="黑体"/>
          <w:sz w:val="18"/>
          <w:szCs w:val="18"/>
        </w:rPr>
        <w:t>表9.3.6  检测使用的仪器设备表</w:t>
      </w:r>
    </w:p>
    <w:tbl>
      <w:tblPr>
        <w:tblStyle w:val="20"/>
        <w:tblW w:w="5007" w:type="pct"/>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704"/>
        <w:gridCol w:w="1151"/>
        <w:gridCol w:w="691"/>
        <w:gridCol w:w="3889"/>
        <w:gridCol w:w="2093"/>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340" w:hRule="atLeast"/>
        </w:trPr>
        <w:tc>
          <w:tcPr>
            <w:tcW w:w="413"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序号</w:t>
            </w:r>
          </w:p>
        </w:tc>
        <w:tc>
          <w:tcPr>
            <w:tcW w:w="675"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设备名称</w:t>
            </w:r>
          </w:p>
        </w:tc>
        <w:tc>
          <w:tcPr>
            <w:tcW w:w="405"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单位</w:t>
            </w:r>
          </w:p>
        </w:tc>
        <w:tc>
          <w:tcPr>
            <w:tcW w:w="2280" w:type="pct"/>
            <w:vAlign w:val="center"/>
          </w:tcPr>
          <w:p>
            <w:pPr>
              <w:ind w:firstLine="300" w:firstLineChars="200"/>
              <w:rPr>
                <w:rFonts w:hint="eastAsia" w:asciiTheme="minorEastAsia" w:hAnsiTheme="minorEastAsia" w:cstheme="minorEastAsia"/>
                <w:sz w:val="15"/>
                <w:szCs w:val="15"/>
              </w:rPr>
            </w:pPr>
            <w:r>
              <w:rPr>
                <w:rFonts w:hint="eastAsia" w:asciiTheme="minorEastAsia" w:hAnsiTheme="minorEastAsia" w:cstheme="minorEastAsia"/>
                <w:sz w:val="15"/>
                <w:szCs w:val="15"/>
              </w:rPr>
              <w:t>用        途</w:t>
            </w:r>
          </w:p>
        </w:tc>
        <w:tc>
          <w:tcPr>
            <w:tcW w:w="1227" w:type="pct"/>
            <w:vAlign w:val="center"/>
          </w:tcPr>
          <w:p>
            <w:pPr>
              <w:ind w:firstLine="300" w:firstLineChars="200"/>
              <w:rPr>
                <w:rFonts w:hint="eastAsia" w:asciiTheme="minorEastAsia" w:hAnsiTheme="minorEastAsia" w:cstheme="minorEastAsia"/>
                <w:sz w:val="15"/>
                <w:szCs w:val="15"/>
              </w:rPr>
            </w:pPr>
            <w:r>
              <w:rPr>
                <w:rFonts w:hint="eastAsia" w:asciiTheme="minorEastAsia" w:hAnsiTheme="minorEastAsia" w:cstheme="minorEastAsia"/>
                <w:sz w:val="15"/>
                <w:szCs w:val="15"/>
              </w:rPr>
              <w:t>备注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13"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w:t>
            </w:r>
          </w:p>
        </w:tc>
        <w:tc>
          <w:tcPr>
            <w:tcW w:w="675"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全站仪</w:t>
            </w:r>
          </w:p>
        </w:tc>
        <w:tc>
          <w:tcPr>
            <w:tcW w:w="405"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台</w:t>
            </w:r>
          </w:p>
        </w:tc>
        <w:tc>
          <w:tcPr>
            <w:tcW w:w="2280" w:type="pct"/>
            <w:vMerge w:val="restart"/>
            <w:vAlign w:val="center"/>
          </w:tcPr>
          <w:p>
            <w:pPr>
              <w:rPr>
                <w:rFonts w:hint="eastAsia" w:asciiTheme="minorEastAsia" w:hAnsiTheme="minorEastAsia" w:cstheme="minorEastAsia"/>
                <w:sz w:val="15"/>
                <w:szCs w:val="15"/>
              </w:rPr>
            </w:pPr>
            <w:r>
              <w:rPr>
                <w:rFonts w:hint="eastAsia" w:asciiTheme="minorEastAsia" w:hAnsiTheme="minorEastAsia" w:cstheme="minorEastAsia"/>
                <w:sz w:val="15"/>
                <w:szCs w:val="15"/>
              </w:rPr>
              <w:t>平面位置、建筑物纵横轴线、建筑物几何尺寸、高程、坡度、角度测量</w:t>
            </w:r>
          </w:p>
        </w:tc>
        <w:tc>
          <w:tcPr>
            <w:tcW w:w="1227" w:type="pct"/>
            <w:vAlign w:val="center"/>
          </w:tcPr>
          <w:p>
            <w:pPr>
              <w:rPr>
                <w:rFonts w:hint="eastAsia" w:asciiTheme="minorEastAsia" w:hAnsiTheme="minorEastAsia" w:cstheme="minorEastAsia"/>
                <w:sz w:val="15"/>
                <w:szCs w:val="15"/>
              </w:rPr>
            </w:pPr>
            <w:r>
              <w:rPr>
                <w:rFonts w:hint="eastAsia" w:asciiTheme="minorEastAsia" w:hAnsiTheme="minorEastAsia" w:cstheme="minorEastAsia"/>
                <w:sz w:val="15"/>
                <w:szCs w:val="15"/>
              </w:rPr>
              <w:t>含三脚架 、梭镜 、觇牌</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13"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2</w:t>
            </w:r>
          </w:p>
        </w:tc>
        <w:tc>
          <w:tcPr>
            <w:tcW w:w="675"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GNSS</w:t>
            </w:r>
          </w:p>
        </w:tc>
        <w:tc>
          <w:tcPr>
            <w:tcW w:w="405"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台</w:t>
            </w:r>
          </w:p>
        </w:tc>
        <w:tc>
          <w:tcPr>
            <w:tcW w:w="2280" w:type="pct"/>
            <w:vMerge w:val="continue"/>
            <w:vAlign w:val="center"/>
          </w:tcPr>
          <w:p>
            <w:pPr>
              <w:rPr>
                <w:rFonts w:hint="eastAsia" w:asciiTheme="minorEastAsia" w:hAnsiTheme="minorEastAsia" w:cstheme="minorEastAsia"/>
                <w:sz w:val="15"/>
                <w:szCs w:val="15"/>
              </w:rPr>
            </w:pPr>
          </w:p>
        </w:tc>
        <w:tc>
          <w:tcPr>
            <w:tcW w:w="1227" w:type="pct"/>
            <w:vAlign w:val="center"/>
          </w:tcPr>
          <w:p>
            <w:pPr>
              <w:rPr>
                <w:rFonts w:hint="eastAsia" w:asciiTheme="minorEastAsia" w:hAnsiTheme="minorEastAsia" w:cstheme="minorEastAsia"/>
                <w:sz w:val="15"/>
                <w:szCs w:val="15"/>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13"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3</w:t>
            </w:r>
          </w:p>
        </w:tc>
        <w:tc>
          <w:tcPr>
            <w:tcW w:w="675"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经纬仪</w:t>
            </w:r>
          </w:p>
        </w:tc>
        <w:tc>
          <w:tcPr>
            <w:tcW w:w="405"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台</w:t>
            </w:r>
          </w:p>
        </w:tc>
        <w:tc>
          <w:tcPr>
            <w:tcW w:w="2280" w:type="pct"/>
            <w:vAlign w:val="center"/>
          </w:tcPr>
          <w:p>
            <w:pPr>
              <w:rPr>
                <w:rFonts w:hint="eastAsia" w:asciiTheme="minorEastAsia" w:hAnsiTheme="minorEastAsia" w:cstheme="minorEastAsia"/>
                <w:sz w:val="15"/>
                <w:szCs w:val="15"/>
              </w:rPr>
            </w:pPr>
            <w:r>
              <w:rPr>
                <w:rFonts w:hint="eastAsia" w:asciiTheme="minorEastAsia" w:hAnsiTheme="minorEastAsia" w:cstheme="minorEastAsia"/>
                <w:sz w:val="15"/>
                <w:szCs w:val="15"/>
              </w:rPr>
              <w:t>平面位置、建筑物纵横轴线、角度测量</w:t>
            </w:r>
          </w:p>
        </w:tc>
        <w:tc>
          <w:tcPr>
            <w:tcW w:w="1227" w:type="pct"/>
            <w:vAlign w:val="center"/>
          </w:tcPr>
          <w:p>
            <w:pPr>
              <w:rPr>
                <w:rFonts w:hint="eastAsia" w:asciiTheme="minorEastAsia" w:hAnsiTheme="minorEastAsia" w:cstheme="minorEastAsia"/>
                <w:sz w:val="15"/>
                <w:szCs w:val="15"/>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340" w:hRule="atLeast"/>
        </w:trPr>
        <w:tc>
          <w:tcPr>
            <w:tcW w:w="413"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4</w:t>
            </w:r>
          </w:p>
        </w:tc>
        <w:tc>
          <w:tcPr>
            <w:tcW w:w="675"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水准仪</w:t>
            </w:r>
          </w:p>
        </w:tc>
        <w:tc>
          <w:tcPr>
            <w:tcW w:w="405"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台</w:t>
            </w:r>
          </w:p>
        </w:tc>
        <w:tc>
          <w:tcPr>
            <w:tcW w:w="2280" w:type="pct"/>
            <w:vAlign w:val="center"/>
          </w:tcPr>
          <w:p>
            <w:pPr>
              <w:rPr>
                <w:rFonts w:hint="eastAsia" w:asciiTheme="minorEastAsia" w:hAnsiTheme="minorEastAsia" w:cstheme="minorEastAsia"/>
                <w:sz w:val="15"/>
                <w:szCs w:val="15"/>
              </w:rPr>
            </w:pPr>
            <w:r>
              <w:rPr>
                <w:rFonts w:hint="eastAsia" w:asciiTheme="minorEastAsia" w:hAnsiTheme="minorEastAsia" w:cstheme="minorEastAsia"/>
                <w:sz w:val="15"/>
                <w:szCs w:val="15"/>
              </w:rPr>
              <w:t>高程测量</w:t>
            </w:r>
          </w:p>
        </w:tc>
        <w:tc>
          <w:tcPr>
            <w:tcW w:w="1227" w:type="pct"/>
            <w:vAlign w:val="center"/>
          </w:tcPr>
          <w:p>
            <w:pPr>
              <w:rPr>
                <w:rFonts w:hint="eastAsia" w:asciiTheme="minorEastAsia" w:hAnsiTheme="minorEastAsia" w:cstheme="minorEastAsia"/>
                <w:sz w:val="15"/>
                <w:szCs w:val="15"/>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13"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5</w:t>
            </w:r>
          </w:p>
        </w:tc>
        <w:tc>
          <w:tcPr>
            <w:tcW w:w="675"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钢卷尺</w:t>
            </w:r>
          </w:p>
        </w:tc>
        <w:tc>
          <w:tcPr>
            <w:tcW w:w="405"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个</w:t>
            </w:r>
          </w:p>
        </w:tc>
        <w:tc>
          <w:tcPr>
            <w:tcW w:w="2280" w:type="pct"/>
            <w:vAlign w:val="center"/>
          </w:tcPr>
          <w:p>
            <w:pPr>
              <w:rPr>
                <w:rFonts w:hint="eastAsia" w:asciiTheme="minorEastAsia" w:hAnsiTheme="minorEastAsia" w:cstheme="minorEastAsia"/>
                <w:sz w:val="15"/>
                <w:szCs w:val="15"/>
              </w:rPr>
            </w:pPr>
            <w:r>
              <w:rPr>
                <w:rFonts w:hint="eastAsia" w:asciiTheme="minorEastAsia" w:hAnsiTheme="minorEastAsia" w:cstheme="minorEastAsia"/>
                <w:sz w:val="15"/>
                <w:szCs w:val="15"/>
              </w:rPr>
              <w:t>建筑物几何尺寸、结构构件几何尺寸测量</w:t>
            </w:r>
          </w:p>
        </w:tc>
        <w:tc>
          <w:tcPr>
            <w:tcW w:w="1227" w:type="pct"/>
            <w:vAlign w:val="center"/>
          </w:tcPr>
          <w:p>
            <w:pPr>
              <w:rPr>
                <w:rFonts w:hint="eastAsia" w:asciiTheme="minorEastAsia" w:hAnsiTheme="minorEastAsia" w:cstheme="minorEastAsia"/>
                <w:sz w:val="15"/>
                <w:szCs w:val="15"/>
              </w:rPr>
            </w:pPr>
            <w:r>
              <w:rPr>
                <w:rFonts w:hint="eastAsia" w:asciiTheme="minorEastAsia" w:hAnsiTheme="minorEastAsia" w:cstheme="minorEastAsia"/>
                <w:sz w:val="15"/>
                <w:szCs w:val="15"/>
              </w:rPr>
              <w:t>2m、5m、20m、50m</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13"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6</w:t>
            </w:r>
          </w:p>
        </w:tc>
        <w:tc>
          <w:tcPr>
            <w:tcW w:w="675"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直尺</w:t>
            </w:r>
          </w:p>
        </w:tc>
        <w:tc>
          <w:tcPr>
            <w:tcW w:w="405"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个</w:t>
            </w:r>
          </w:p>
        </w:tc>
        <w:tc>
          <w:tcPr>
            <w:tcW w:w="2280" w:type="pct"/>
            <w:vAlign w:val="center"/>
          </w:tcPr>
          <w:p>
            <w:pPr>
              <w:rPr>
                <w:rFonts w:hint="eastAsia" w:asciiTheme="minorEastAsia" w:hAnsiTheme="minorEastAsia" w:cstheme="minorEastAsia"/>
                <w:sz w:val="15"/>
                <w:szCs w:val="15"/>
              </w:rPr>
            </w:pPr>
            <w:r>
              <w:rPr>
                <w:rFonts w:hint="eastAsia" w:asciiTheme="minorEastAsia" w:hAnsiTheme="minorEastAsia" w:cstheme="minorEastAsia"/>
                <w:sz w:val="15"/>
                <w:szCs w:val="15"/>
              </w:rPr>
              <w:t>建筑物几何尺寸、结构构件几何尺寸测量</w:t>
            </w:r>
          </w:p>
        </w:tc>
        <w:tc>
          <w:tcPr>
            <w:tcW w:w="1227" w:type="pct"/>
            <w:vAlign w:val="center"/>
          </w:tcPr>
          <w:p>
            <w:pPr>
              <w:rPr>
                <w:rFonts w:hint="eastAsia" w:asciiTheme="minorEastAsia" w:hAnsiTheme="minorEastAsia" w:cstheme="minorEastAsia"/>
                <w:sz w:val="15"/>
                <w:szCs w:val="15"/>
              </w:rPr>
            </w:pPr>
            <w:r>
              <w:rPr>
                <w:rFonts w:hint="eastAsia" w:asciiTheme="minorEastAsia" w:hAnsiTheme="minorEastAsia" w:cstheme="minorEastAsia"/>
                <w:sz w:val="15"/>
                <w:szCs w:val="15"/>
              </w:rPr>
              <w:t>30cm、50cm</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13"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7</w:t>
            </w:r>
          </w:p>
        </w:tc>
        <w:tc>
          <w:tcPr>
            <w:tcW w:w="675"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坡度仪</w:t>
            </w:r>
          </w:p>
        </w:tc>
        <w:tc>
          <w:tcPr>
            <w:tcW w:w="405"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个</w:t>
            </w:r>
          </w:p>
        </w:tc>
        <w:tc>
          <w:tcPr>
            <w:tcW w:w="2280" w:type="pct"/>
            <w:vAlign w:val="center"/>
          </w:tcPr>
          <w:p>
            <w:pPr>
              <w:rPr>
                <w:rFonts w:hint="eastAsia" w:asciiTheme="minorEastAsia" w:hAnsiTheme="minorEastAsia" w:cstheme="minorEastAsia"/>
                <w:sz w:val="15"/>
                <w:szCs w:val="15"/>
              </w:rPr>
            </w:pPr>
            <w:r>
              <w:rPr>
                <w:rFonts w:hint="eastAsia" w:asciiTheme="minorEastAsia" w:hAnsiTheme="minorEastAsia" w:cstheme="minorEastAsia"/>
                <w:sz w:val="15"/>
                <w:szCs w:val="15"/>
              </w:rPr>
              <w:t>坡度、平整度测量</w:t>
            </w:r>
          </w:p>
        </w:tc>
        <w:tc>
          <w:tcPr>
            <w:tcW w:w="1227" w:type="pct"/>
            <w:vAlign w:val="center"/>
          </w:tcPr>
          <w:p>
            <w:pPr>
              <w:rPr>
                <w:rFonts w:hint="eastAsia" w:asciiTheme="minorEastAsia" w:hAnsiTheme="minorEastAsia" w:cstheme="minorEastAsia"/>
                <w:sz w:val="15"/>
                <w:szCs w:val="15"/>
              </w:rPr>
            </w:pPr>
            <w:r>
              <w:rPr>
                <w:rFonts w:hint="eastAsia" w:asciiTheme="minorEastAsia" w:hAnsiTheme="minorEastAsia" w:cstheme="minorEastAsia"/>
                <w:sz w:val="15"/>
                <w:szCs w:val="15"/>
              </w:rPr>
              <w:t>配 2m靠尺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13" w:type="pct"/>
            <w:vAlign w:val="center"/>
          </w:tcPr>
          <w:p>
            <w:pPr>
              <w:jc w:val="center"/>
              <w:rPr>
                <w:rFonts w:hint="eastAsia" w:asciiTheme="minorEastAsia" w:hAnsiTheme="minorEastAsia" w:cstheme="minorEastAsia"/>
                <w:strike/>
                <w:sz w:val="15"/>
                <w:szCs w:val="15"/>
              </w:rPr>
            </w:pPr>
            <w:r>
              <w:rPr>
                <w:rFonts w:hint="eastAsia" w:asciiTheme="minorEastAsia" w:hAnsiTheme="minorEastAsia" w:cstheme="minorEastAsia"/>
                <w:strike/>
                <w:sz w:val="15"/>
                <w:szCs w:val="15"/>
              </w:rPr>
              <w:t>8</w:t>
            </w:r>
          </w:p>
        </w:tc>
        <w:tc>
          <w:tcPr>
            <w:tcW w:w="675"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测距仪</w:t>
            </w:r>
          </w:p>
        </w:tc>
        <w:tc>
          <w:tcPr>
            <w:tcW w:w="405" w:type="pc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台</w:t>
            </w:r>
          </w:p>
        </w:tc>
        <w:tc>
          <w:tcPr>
            <w:tcW w:w="2280" w:type="pct"/>
            <w:vAlign w:val="center"/>
          </w:tcPr>
          <w:p>
            <w:pPr>
              <w:rPr>
                <w:rFonts w:hint="eastAsia" w:asciiTheme="minorEastAsia" w:hAnsiTheme="minorEastAsia" w:cstheme="minorEastAsia"/>
                <w:sz w:val="15"/>
                <w:szCs w:val="15"/>
              </w:rPr>
            </w:pPr>
            <w:r>
              <w:rPr>
                <w:rFonts w:hint="eastAsia" w:asciiTheme="minorEastAsia" w:hAnsiTheme="minorEastAsia" w:cstheme="minorEastAsia"/>
                <w:sz w:val="15"/>
                <w:szCs w:val="15"/>
              </w:rPr>
              <w:t>建筑物几何尺寸测量、结构构件几何尺寸测量</w:t>
            </w:r>
          </w:p>
        </w:tc>
        <w:tc>
          <w:tcPr>
            <w:tcW w:w="1227" w:type="pct"/>
            <w:vAlign w:val="center"/>
          </w:tcPr>
          <w:p>
            <w:pPr>
              <w:rPr>
                <w:rFonts w:hint="eastAsia" w:asciiTheme="minorEastAsia" w:hAnsiTheme="minorEastAsia" w:cstheme="minorEastAsia"/>
                <w:sz w:val="15"/>
                <w:szCs w:val="15"/>
              </w:rPr>
            </w:pPr>
          </w:p>
        </w:tc>
      </w:tr>
    </w:tbl>
    <w:p>
      <w:pPr>
        <w:spacing w:line="360" w:lineRule="auto"/>
        <w:rPr>
          <w:rFonts w:ascii="Times New Roman" w:hAnsi="Times New Roman" w:cs="Times New Roman"/>
        </w:rPr>
      </w:pPr>
    </w:p>
    <w:p>
      <w:pPr>
        <w:pStyle w:val="3"/>
        <w:snapToGrid w:val="0"/>
        <w:spacing w:beforeLines="50" w:afterLines="50" w:line="360" w:lineRule="auto"/>
        <w:jc w:val="center"/>
        <w:rPr>
          <w:rFonts w:ascii="黑体" w:hAnsi="黑体" w:cs="黑体"/>
          <w:sz w:val="24"/>
          <w:szCs w:val="24"/>
        </w:rPr>
      </w:pPr>
      <w:bookmarkStart w:id="155" w:name="_Toc21502"/>
      <w:r>
        <w:rPr>
          <w:rFonts w:ascii="黑体" w:hAnsi="黑体" w:cs="黑体"/>
          <w:sz w:val="24"/>
          <w:szCs w:val="24"/>
        </w:rPr>
        <w:t>9.4  结果评价</w:t>
      </w:r>
      <w:bookmarkEnd w:id="155"/>
    </w:p>
    <w:p>
      <w:pPr>
        <w:spacing w:line="360" w:lineRule="auto"/>
        <w:rPr>
          <w:rFonts w:ascii="Times New Roman" w:hAnsi="Times New Roman" w:cs="Times New Roman"/>
        </w:rPr>
      </w:pPr>
      <w:r>
        <w:rPr>
          <w:rFonts w:hint="eastAsia" w:ascii="黑体" w:hAnsi="黑体" w:eastAsia="黑体" w:cs="黑体"/>
          <w:szCs w:val="21"/>
        </w:rPr>
        <w:t xml:space="preserve">9.4.1 </w:t>
      </w:r>
      <w:r>
        <w:rPr>
          <w:rFonts w:ascii="Times New Roman" w:hAnsi="Times New Roman" w:cs="Times New Roman"/>
        </w:rPr>
        <w:t xml:space="preserve"> 高程允许偏差见表 9.4.1。</w:t>
      </w:r>
    </w:p>
    <w:p>
      <w:pPr>
        <w:spacing w:line="360" w:lineRule="auto"/>
        <w:jc w:val="center"/>
        <w:rPr>
          <w:rFonts w:ascii="Times New Roman" w:hAnsi="Times New Roman" w:eastAsia="黑体" w:cs="Times New Roman"/>
        </w:rPr>
      </w:pPr>
      <w:r>
        <w:rPr>
          <w:rFonts w:hint="eastAsia" w:ascii="黑体" w:hAnsi="黑体" w:eastAsia="黑体" w:cs="黑体"/>
          <w:sz w:val="18"/>
          <w:szCs w:val="18"/>
        </w:rPr>
        <w:t>表9.4.1  高程允许偏差表</w:t>
      </w:r>
    </w:p>
    <w:tbl>
      <w:tblPr>
        <w:tblStyle w:val="19"/>
        <w:tblW w:w="8243" w:type="dxa"/>
        <w:tblInd w:w="6"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801"/>
        <w:gridCol w:w="635"/>
        <w:gridCol w:w="635"/>
        <w:gridCol w:w="1447"/>
        <w:gridCol w:w="2010"/>
        <w:gridCol w:w="271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10" w:hRule="atLeast"/>
          <w:tblHeader/>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序号</w:t>
            </w:r>
          </w:p>
        </w:tc>
        <w:tc>
          <w:tcPr>
            <w:tcW w:w="4727" w:type="dxa"/>
            <w:gridSpan w:val="4"/>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检测项目</w:t>
            </w:r>
          </w:p>
        </w:tc>
        <w:tc>
          <w:tcPr>
            <w:tcW w:w="271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允许偏差/cm</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24" w:hRule="atLeast"/>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w:t>
            </w:r>
          </w:p>
        </w:tc>
        <w:tc>
          <w:tcPr>
            <w:tcW w:w="1270" w:type="dxa"/>
            <w:gridSpan w:val="2"/>
            <w:vMerge w:val="restar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挡水建筑物</w:t>
            </w:r>
          </w:p>
        </w:tc>
        <w:tc>
          <w:tcPr>
            <w:tcW w:w="144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混凝土坝</w:t>
            </w:r>
          </w:p>
        </w:tc>
        <w:tc>
          <w:tcPr>
            <w:tcW w:w="201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坝顶</w:t>
            </w:r>
          </w:p>
        </w:tc>
        <w:tc>
          <w:tcPr>
            <w:tcW w:w="271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0～+3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2</w:t>
            </w:r>
          </w:p>
        </w:tc>
        <w:tc>
          <w:tcPr>
            <w:tcW w:w="1270" w:type="dxa"/>
            <w:gridSpan w:val="2"/>
            <w:vMerge w:val="continue"/>
            <w:vAlign w:val="center"/>
          </w:tcPr>
          <w:p>
            <w:pPr>
              <w:jc w:val="center"/>
              <w:rPr>
                <w:rFonts w:hint="eastAsia" w:asciiTheme="minorEastAsia" w:hAnsiTheme="minorEastAsia" w:cstheme="minorEastAsia"/>
                <w:sz w:val="15"/>
                <w:szCs w:val="15"/>
              </w:rPr>
            </w:pPr>
          </w:p>
        </w:tc>
        <w:tc>
          <w:tcPr>
            <w:tcW w:w="144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土石坝</w:t>
            </w:r>
          </w:p>
        </w:tc>
        <w:tc>
          <w:tcPr>
            <w:tcW w:w="201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坝顶</w:t>
            </w:r>
          </w:p>
        </w:tc>
        <w:tc>
          <w:tcPr>
            <w:tcW w:w="271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0～+10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3</w:t>
            </w:r>
          </w:p>
        </w:tc>
        <w:tc>
          <w:tcPr>
            <w:tcW w:w="1270" w:type="dxa"/>
            <w:gridSpan w:val="2"/>
            <w:vMerge w:val="continue"/>
            <w:vAlign w:val="center"/>
          </w:tcPr>
          <w:p>
            <w:pPr>
              <w:jc w:val="center"/>
              <w:rPr>
                <w:rFonts w:hint="eastAsia" w:asciiTheme="minorEastAsia" w:hAnsiTheme="minorEastAsia" w:cstheme="minorEastAsia"/>
                <w:sz w:val="15"/>
                <w:szCs w:val="15"/>
              </w:rPr>
            </w:pPr>
          </w:p>
        </w:tc>
        <w:tc>
          <w:tcPr>
            <w:tcW w:w="144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马道</w:t>
            </w:r>
          </w:p>
        </w:tc>
        <w:tc>
          <w:tcPr>
            <w:tcW w:w="201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顶部</w:t>
            </w:r>
          </w:p>
        </w:tc>
        <w:tc>
          <w:tcPr>
            <w:tcW w:w="271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4</w:t>
            </w:r>
          </w:p>
        </w:tc>
        <w:tc>
          <w:tcPr>
            <w:tcW w:w="1270" w:type="dxa"/>
            <w:gridSpan w:val="2"/>
            <w:vMerge w:val="restar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泄洪建筑物</w:t>
            </w:r>
          </w:p>
        </w:tc>
        <w:tc>
          <w:tcPr>
            <w:tcW w:w="1447" w:type="dxa"/>
            <w:vMerge w:val="restar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进口</w:t>
            </w:r>
          </w:p>
        </w:tc>
        <w:tc>
          <w:tcPr>
            <w:tcW w:w="201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墙顶</w:t>
            </w:r>
          </w:p>
        </w:tc>
        <w:tc>
          <w:tcPr>
            <w:tcW w:w="271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0～+3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5</w:t>
            </w:r>
          </w:p>
        </w:tc>
        <w:tc>
          <w:tcPr>
            <w:tcW w:w="1270" w:type="dxa"/>
            <w:gridSpan w:val="2"/>
            <w:vMerge w:val="continue"/>
            <w:vAlign w:val="center"/>
          </w:tcPr>
          <w:p>
            <w:pPr>
              <w:jc w:val="center"/>
              <w:rPr>
                <w:rFonts w:hint="eastAsia" w:asciiTheme="minorEastAsia" w:hAnsiTheme="minorEastAsia" w:cstheme="minorEastAsia"/>
                <w:sz w:val="15"/>
                <w:szCs w:val="15"/>
              </w:rPr>
            </w:pPr>
          </w:p>
        </w:tc>
        <w:tc>
          <w:tcPr>
            <w:tcW w:w="1447" w:type="dxa"/>
            <w:vMerge w:val="continue"/>
            <w:vAlign w:val="center"/>
          </w:tcPr>
          <w:p>
            <w:pPr>
              <w:jc w:val="center"/>
              <w:rPr>
                <w:rFonts w:hint="eastAsia" w:asciiTheme="minorEastAsia" w:hAnsiTheme="minorEastAsia" w:cstheme="minorEastAsia"/>
                <w:sz w:val="15"/>
                <w:szCs w:val="15"/>
              </w:rPr>
            </w:pPr>
          </w:p>
        </w:tc>
        <w:tc>
          <w:tcPr>
            <w:tcW w:w="201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底板(溢流堰顶部)</w:t>
            </w:r>
          </w:p>
        </w:tc>
        <w:tc>
          <w:tcPr>
            <w:tcW w:w="271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0～+2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6</w:t>
            </w:r>
          </w:p>
        </w:tc>
        <w:tc>
          <w:tcPr>
            <w:tcW w:w="1270" w:type="dxa"/>
            <w:gridSpan w:val="2"/>
            <w:vMerge w:val="continue"/>
            <w:vAlign w:val="center"/>
          </w:tcPr>
          <w:p>
            <w:pPr>
              <w:jc w:val="center"/>
              <w:rPr>
                <w:rFonts w:hint="eastAsia" w:asciiTheme="minorEastAsia" w:hAnsiTheme="minorEastAsia" w:cstheme="minorEastAsia"/>
                <w:sz w:val="15"/>
                <w:szCs w:val="15"/>
              </w:rPr>
            </w:pPr>
          </w:p>
        </w:tc>
        <w:tc>
          <w:tcPr>
            <w:tcW w:w="1447" w:type="dxa"/>
            <w:vMerge w:val="restar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消力池</w:t>
            </w:r>
          </w:p>
        </w:tc>
        <w:tc>
          <w:tcPr>
            <w:tcW w:w="201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墙顶</w:t>
            </w:r>
          </w:p>
        </w:tc>
        <w:tc>
          <w:tcPr>
            <w:tcW w:w="271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0～+20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7</w:t>
            </w:r>
          </w:p>
        </w:tc>
        <w:tc>
          <w:tcPr>
            <w:tcW w:w="1270" w:type="dxa"/>
            <w:gridSpan w:val="2"/>
            <w:vMerge w:val="continue"/>
            <w:vAlign w:val="center"/>
          </w:tcPr>
          <w:p>
            <w:pPr>
              <w:jc w:val="center"/>
              <w:rPr>
                <w:rFonts w:hint="eastAsia" w:asciiTheme="minorEastAsia" w:hAnsiTheme="minorEastAsia" w:cstheme="minorEastAsia"/>
                <w:sz w:val="15"/>
                <w:szCs w:val="15"/>
              </w:rPr>
            </w:pPr>
          </w:p>
        </w:tc>
        <w:tc>
          <w:tcPr>
            <w:tcW w:w="1447" w:type="dxa"/>
            <w:vMerge w:val="continue"/>
            <w:vAlign w:val="center"/>
          </w:tcPr>
          <w:p>
            <w:pPr>
              <w:jc w:val="center"/>
              <w:rPr>
                <w:rFonts w:hint="eastAsia" w:asciiTheme="minorEastAsia" w:hAnsiTheme="minorEastAsia" w:cstheme="minorEastAsia"/>
                <w:sz w:val="15"/>
                <w:szCs w:val="15"/>
              </w:rPr>
            </w:pPr>
          </w:p>
        </w:tc>
        <w:tc>
          <w:tcPr>
            <w:tcW w:w="201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底板</w:t>
            </w:r>
          </w:p>
        </w:tc>
        <w:tc>
          <w:tcPr>
            <w:tcW w:w="271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- 5～+3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8</w:t>
            </w:r>
          </w:p>
        </w:tc>
        <w:tc>
          <w:tcPr>
            <w:tcW w:w="1270" w:type="dxa"/>
            <w:gridSpan w:val="2"/>
            <w:vMerge w:val="restar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引水建筑物</w:t>
            </w:r>
          </w:p>
        </w:tc>
        <w:tc>
          <w:tcPr>
            <w:tcW w:w="1447" w:type="dxa"/>
            <w:vMerge w:val="restar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进口</w:t>
            </w:r>
          </w:p>
        </w:tc>
        <w:tc>
          <w:tcPr>
            <w:tcW w:w="201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墙顶</w:t>
            </w:r>
          </w:p>
        </w:tc>
        <w:tc>
          <w:tcPr>
            <w:tcW w:w="271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0～+10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9</w:t>
            </w:r>
          </w:p>
        </w:tc>
        <w:tc>
          <w:tcPr>
            <w:tcW w:w="1270" w:type="dxa"/>
            <w:gridSpan w:val="2"/>
            <w:vMerge w:val="continue"/>
            <w:vAlign w:val="center"/>
          </w:tcPr>
          <w:p>
            <w:pPr>
              <w:jc w:val="center"/>
              <w:rPr>
                <w:rFonts w:hint="eastAsia" w:asciiTheme="minorEastAsia" w:hAnsiTheme="minorEastAsia" w:cstheme="minorEastAsia"/>
                <w:sz w:val="15"/>
                <w:szCs w:val="15"/>
              </w:rPr>
            </w:pPr>
          </w:p>
        </w:tc>
        <w:tc>
          <w:tcPr>
            <w:tcW w:w="1447" w:type="dxa"/>
            <w:vMerge w:val="continue"/>
            <w:vAlign w:val="center"/>
          </w:tcPr>
          <w:p>
            <w:pPr>
              <w:jc w:val="center"/>
              <w:rPr>
                <w:rFonts w:hint="eastAsia" w:asciiTheme="minorEastAsia" w:hAnsiTheme="minorEastAsia" w:cstheme="minorEastAsia"/>
                <w:sz w:val="15"/>
                <w:szCs w:val="15"/>
              </w:rPr>
            </w:pPr>
          </w:p>
        </w:tc>
        <w:tc>
          <w:tcPr>
            <w:tcW w:w="201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底板</w:t>
            </w:r>
          </w:p>
        </w:tc>
        <w:tc>
          <w:tcPr>
            <w:tcW w:w="271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±0.5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10</w:t>
            </w:r>
          </w:p>
        </w:tc>
        <w:tc>
          <w:tcPr>
            <w:tcW w:w="1270" w:type="dxa"/>
            <w:gridSpan w:val="2"/>
            <w:vMerge w:val="restar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过水建筑物</w:t>
            </w:r>
          </w:p>
        </w:tc>
        <w:tc>
          <w:tcPr>
            <w:tcW w:w="1447" w:type="dxa"/>
            <w:vMerge w:val="restar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渠道</w:t>
            </w:r>
          </w:p>
        </w:tc>
        <w:tc>
          <w:tcPr>
            <w:tcW w:w="201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渠顶</w:t>
            </w:r>
          </w:p>
        </w:tc>
        <w:tc>
          <w:tcPr>
            <w:tcW w:w="271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0～+10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11</w:t>
            </w:r>
          </w:p>
        </w:tc>
        <w:tc>
          <w:tcPr>
            <w:tcW w:w="1270" w:type="dxa"/>
            <w:gridSpan w:val="2"/>
            <w:vMerge w:val="continue"/>
            <w:vAlign w:val="center"/>
          </w:tcPr>
          <w:p>
            <w:pPr>
              <w:jc w:val="center"/>
              <w:rPr>
                <w:rFonts w:hint="eastAsia" w:asciiTheme="minorEastAsia" w:hAnsiTheme="minorEastAsia" w:cstheme="minorEastAsia"/>
                <w:sz w:val="15"/>
                <w:szCs w:val="15"/>
              </w:rPr>
            </w:pPr>
          </w:p>
        </w:tc>
        <w:tc>
          <w:tcPr>
            <w:tcW w:w="1447" w:type="dxa"/>
            <w:vMerge w:val="continue"/>
            <w:vAlign w:val="center"/>
          </w:tcPr>
          <w:p>
            <w:pPr>
              <w:jc w:val="center"/>
              <w:rPr>
                <w:rFonts w:hint="eastAsia" w:asciiTheme="minorEastAsia" w:hAnsiTheme="minorEastAsia" w:cstheme="minorEastAsia"/>
                <w:sz w:val="15"/>
                <w:szCs w:val="15"/>
              </w:rPr>
            </w:pPr>
          </w:p>
        </w:tc>
        <w:tc>
          <w:tcPr>
            <w:tcW w:w="201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底板</w:t>
            </w:r>
          </w:p>
        </w:tc>
        <w:tc>
          <w:tcPr>
            <w:tcW w:w="271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7" w:hRule="atLeast"/>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12</w:t>
            </w:r>
          </w:p>
        </w:tc>
        <w:tc>
          <w:tcPr>
            <w:tcW w:w="1270" w:type="dxa"/>
            <w:gridSpan w:val="2"/>
            <w:vMerge w:val="continue"/>
            <w:vAlign w:val="center"/>
          </w:tcPr>
          <w:p>
            <w:pPr>
              <w:jc w:val="center"/>
              <w:rPr>
                <w:rFonts w:hint="eastAsia" w:asciiTheme="minorEastAsia" w:hAnsiTheme="minorEastAsia" w:cstheme="minorEastAsia"/>
                <w:sz w:val="15"/>
                <w:szCs w:val="15"/>
              </w:rPr>
            </w:pPr>
          </w:p>
        </w:tc>
        <w:tc>
          <w:tcPr>
            <w:tcW w:w="144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渡槽、涵管、</w:t>
            </w:r>
          </w:p>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倒虹吸、</w:t>
            </w:r>
          </w:p>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隧洞</w:t>
            </w:r>
          </w:p>
        </w:tc>
        <w:tc>
          <w:tcPr>
            <w:tcW w:w="201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进、 出口底板</w:t>
            </w:r>
          </w:p>
        </w:tc>
        <w:tc>
          <w:tcPr>
            <w:tcW w:w="2715" w:type="dxa"/>
            <w:vAlign w:val="center"/>
          </w:tcPr>
          <w:p>
            <w:pPr>
              <w:jc w:val="center"/>
              <w:rPr>
                <w:rFonts w:hint="eastAsia" w:asciiTheme="minorEastAsia" w:hAnsiTheme="minorEastAsia" w:cstheme="minorEastAsia"/>
                <w:sz w:val="15"/>
                <w:szCs w:val="15"/>
              </w:rPr>
            </w:pPr>
          </w:p>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- 2～+1</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13</w:t>
            </w:r>
          </w:p>
        </w:tc>
        <w:tc>
          <w:tcPr>
            <w:tcW w:w="2717" w:type="dxa"/>
            <w:gridSpan w:val="3"/>
            <w:vMerge w:val="restar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电站、泵站</w:t>
            </w:r>
          </w:p>
        </w:tc>
        <w:tc>
          <w:tcPr>
            <w:tcW w:w="201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前池底板</w:t>
            </w:r>
          </w:p>
        </w:tc>
        <w:tc>
          <w:tcPr>
            <w:tcW w:w="271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0～+2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14</w:t>
            </w:r>
          </w:p>
        </w:tc>
        <w:tc>
          <w:tcPr>
            <w:tcW w:w="2717" w:type="dxa"/>
            <w:gridSpan w:val="3"/>
            <w:vMerge w:val="continue"/>
            <w:vAlign w:val="center"/>
          </w:tcPr>
          <w:p>
            <w:pPr>
              <w:jc w:val="center"/>
              <w:rPr>
                <w:rFonts w:hint="eastAsia" w:asciiTheme="minorEastAsia" w:hAnsiTheme="minorEastAsia" w:cstheme="minorEastAsia"/>
                <w:sz w:val="15"/>
                <w:szCs w:val="15"/>
              </w:rPr>
            </w:pPr>
          </w:p>
        </w:tc>
        <w:tc>
          <w:tcPr>
            <w:tcW w:w="201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厂(站)房地面</w:t>
            </w:r>
          </w:p>
        </w:tc>
        <w:tc>
          <w:tcPr>
            <w:tcW w:w="271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15</w:t>
            </w:r>
          </w:p>
        </w:tc>
        <w:tc>
          <w:tcPr>
            <w:tcW w:w="635" w:type="dxa"/>
            <w:vMerge w:val="restar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堤防</w:t>
            </w:r>
          </w:p>
        </w:tc>
        <w:tc>
          <w:tcPr>
            <w:tcW w:w="635" w:type="dxa"/>
            <w:vMerge w:val="restar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河堤</w:t>
            </w:r>
          </w:p>
        </w:tc>
        <w:tc>
          <w:tcPr>
            <w:tcW w:w="1447" w:type="dxa"/>
            <w:vMerge w:val="restar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堤身</w:t>
            </w:r>
          </w:p>
        </w:tc>
        <w:tc>
          <w:tcPr>
            <w:tcW w:w="201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堤顶</w:t>
            </w:r>
          </w:p>
        </w:tc>
        <w:tc>
          <w:tcPr>
            <w:tcW w:w="271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0～+10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16</w:t>
            </w:r>
          </w:p>
        </w:tc>
        <w:tc>
          <w:tcPr>
            <w:tcW w:w="635" w:type="dxa"/>
            <w:vMerge w:val="continue"/>
            <w:vAlign w:val="center"/>
          </w:tcPr>
          <w:p>
            <w:pPr>
              <w:jc w:val="center"/>
              <w:rPr>
                <w:rFonts w:hint="eastAsia" w:asciiTheme="minorEastAsia" w:hAnsiTheme="minorEastAsia" w:cstheme="minorEastAsia"/>
                <w:sz w:val="15"/>
                <w:szCs w:val="15"/>
              </w:rPr>
            </w:pPr>
          </w:p>
        </w:tc>
        <w:tc>
          <w:tcPr>
            <w:tcW w:w="635" w:type="dxa"/>
            <w:vMerge w:val="continue"/>
            <w:vAlign w:val="center"/>
          </w:tcPr>
          <w:p>
            <w:pPr>
              <w:jc w:val="center"/>
              <w:rPr>
                <w:rFonts w:hint="eastAsia" w:asciiTheme="minorEastAsia" w:hAnsiTheme="minorEastAsia" w:cstheme="minorEastAsia"/>
                <w:sz w:val="15"/>
                <w:szCs w:val="15"/>
              </w:rPr>
            </w:pPr>
          </w:p>
        </w:tc>
        <w:tc>
          <w:tcPr>
            <w:tcW w:w="1447" w:type="dxa"/>
            <w:vMerge w:val="continue"/>
            <w:vAlign w:val="center"/>
          </w:tcPr>
          <w:p>
            <w:pPr>
              <w:jc w:val="center"/>
              <w:rPr>
                <w:rFonts w:hint="eastAsia" w:asciiTheme="minorEastAsia" w:hAnsiTheme="minorEastAsia" w:cstheme="minorEastAsia"/>
                <w:sz w:val="15"/>
                <w:szCs w:val="15"/>
              </w:rPr>
            </w:pPr>
          </w:p>
        </w:tc>
        <w:tc>
          <w:tcPr>
            <w:tcW w:w="201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平(戗)台顶</w:t>
            </w:r>
          </w:p>
        </w:tc>
        <w:tc>
          <w:tcPr>
            <w:tcW w:w="271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- 10～+10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17</w:t>
            </w:r>
          </w:p>
        </w:tc>
        <w:tc>
          <w:tcPr>
            <w:tcW w:w="635" w:type="dxa"/>
            <w:vMerge w:val="continue"/>
            <w:vAlign w:val="center"/>
          </w:tcPr>
          <w:p>
            <w:pPr>
              <w:jc w:val="center"/>
              <w:rPr>
                <w:rFonts w:hint="eastAsia" w:asciiTheme="minorEastAsia" w:hAnsiTheme="minorEastAsia" w:cstheme="minorEastAsia"/>
                <w:sz w:val="15"/>
                <w:szCs w:val="15"/>
              </w:rPr>
            </w:pPr>
          </w:p>
        </w:tc>
        <w:tc>
          <w:tcPr>
            <w:tcW w:w="635" w:type="dxa"/>
            <w:vMerge w:val="continue"/>
            <w:vAlign w:val="center"/>
          </w:tcPr>
          <w:p>
            <w:pPr>
              <w:jc w:val="center"/>
              <w:rPr>
                <w:rFonts w:hint="eastAsia" w:asciiTheme="minorEastAsia" w:hAnsiTheme="minorEastAsia" w:cstheme="minorEastAsia"/>
                <w:sz w:val="15"/>
                <w:szCs w:val="15"/>
              </w:rPr>
            </w:pPr>
          </w:p>
        </w:tc>
        <w:tc>
          <w:tcPr>
            <w:tcW w:w="1447" w:type="dxa"/>
            <w:vMerge w:val="restar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防浪墙</w:t>
            </w:r>
          </w:p>
        </w:tc>
        <w:tc>
          <w:tcPr>
            <w:tcW w:w="201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干砌石墙顶</w:t>
            </w:r>
          </w:p>
        </w:tc>
        <w:tc>
          <w:tcPr>
            <w:tcW w:w="271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0～+5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18</w:t>
            </w:r>
          </w:p>
        </w:tc>
        <w:tc>
          <w:tcPr>
            <w:tcW w:w="635" w:type="dxa"/>
            <w:vMerge w:val="continue"/>
            <w:vAlign w:val="center"/>
          </w:tcPr>
          <w:p>
            <w:pPr>
              <w:jc w:val="center"/>
              <w:rPr>
                <w:rFonts w:hint="eastAsia" w:asciiTheme="minorEastAsia" w:hAnsiTheme="minorEastAsia" w:cstheme="minorEastAsia"/>
                <w:sz w:val="15"/>
                <w:szCs w:val="15"/>
              </w:rPr>
            </w:pPr>
          </w:p>
        </w:tc>
        <w:tc>
          <w:tcPr>
            <w:tcW w:w="635" w:type="dxa"/>
            <w:vMerge w:val="continue"/>
            <w:vAlign w:val="center"/>
          </w:tcPr>
          <w:p>
            <w:pPr>
              <w:jc w:val="center"/>
              <w:rPr>
                <w:rFonts w:hint="eastAsia" w:asciiTheme="minorEastAsia" w:hAnsiTheme="minorEastAsia" w:cstheme="minorEastAsia"/>
                <w:sz w:val="15"/>
                <w:szCs w:val="15"/>
              </w:rPr>
            </w:pPr>
          </w:p>
        </w:tc>
        <w:tc>
          <w:tcPr>
            <w:tcW w:w="1447" w:type="dxa"/>
            <w:vMerge w:val="continue"/>
            <w:vAlign w:val="center"/>
          </w:tcPr>
          <w:p>
            <w:pPr>
              <w:jc w:val="center"/>
              <w:rPr>
                <w:rFonts w:hint="eastAsia" w:asciiTheme="minorEastAsia" w:hAnsiTheme="minorEastAsia" w:cstheme="minorEastAsia"/>
                <w:sz w:val="15"/>
                <w:szCs w:val="15"/>
              </w:rPr>
            </w:pPr>
          </w:p>
        </w:tc>
        <w:tc>
          <w:tcPr>
            <w:tcW w:w="201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浆砌石墙顶</w:t>
            </w:r>
          </w:p>
        </w:tc>
        <w:tc>
          <w:tcPr>
            <w:tcW w:w="271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0～+4</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19</w:t>
            </w:r>
          </w:p>
        </w:tc>
        <w:tc>
          <w:tcPr>
            <w:tcW w:w="635" w:type="dxa"/>
            <w:vMerge w:val="continue"/>
            <w:vAlign w:val="center"/>
          </w:tcPr>
          <w:p>
            <w:pPr>
              <w:jc w:val="center"/>
              <w:rPr>
                <w:rFonts w:hint="eastAsia" w:asciiTheme="minorEastAsia" w:hAnsiTheme="minorEastAsia" w:cstheme="minorEastAsia"/>
                <w:sz w:val="15"/>
                <w:szCs w:val="15"/>
              </w:rPr>
            </w:pPr>
          </w:p>
        </w:tc>
        <w:tc>
          <w:tcPr>
            <w:tcW w:w="635" w:type="dxa"/>
            <w:vMerge w:val="continue"/>
            <w:vAlign w:val="center"/>
          </w:tcPr>
          <w:p>
            <w:pPr>
              <w:jc w:val="center"/>
              <w:rPr>
                <w:rFonts w:hint="eastAsia" w:asciiTheme="minorEastAsia" w:hAnsiTheme="minorEastAsia" w:cstheme="minorEastAsia"/>
                <w:sz w:val="15"/>
                <w:szCs w:val="15"/>
              </w:rPr>
            </w:pPr>
          </w:p>
        </w:tc>
        <w:tc>
          <w:tcPr>
            <w:tcW w:w="1447" w:type="dxa"/>
            <w:vMerge w:val="continue"/>
            <w:vAlign w:val="center"/>
          </w:tcPr>
          <w:p>
            <w:pPr>
              <w:jc w:val="center"/>
              <w:rPr>
                <w:rFonts w:hint="eastAsia" w:asciiTheme="minorEastAsia" w:hAnsiTheme="minorEastAsia" w:cstheme="minorEastAsia"/>
                <w:sz w:val="15"/>
                <w:szCs w:val="15"/>
              </w:rPr>
            </w:pPr>
          </w:p>
        </w:tc>
        <w:tc>
          <w:tcPr>
            <w:tcW w:w="201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混凝土墙顶</w:t>
            </w:r>
          </w:p>
        </w:tc>
        <w:tc>
          <w:tcPr>
            <w:tcW w:w="271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0～+3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20</w:t>
            </w:r>
          </w:p>
        </w:tc>
        <w:tc>
          <w:tcPr>
            <w:tcW w:w="635" w:type="dxa"/>
            <w:vMerge w:val="continue"/>
            <w:vAlign w:val="center"/>
          </w:tcPr>
          <w:p>
            <w:pPr>
              <w:jc w:val="center"/>
              <w:rPr>
                <w:rFonts w:hint="eastAsia" w:asciiTheme="minorEastAsia" w:hAnsiTheme="minorEastAsia" w:cstheme="minorEastAsia"/>
                <w:sz w:val="15"/>
                <w:szCs w:val="15"/>
              </w:rPr>
            </w:pPr>
          </w:p>
        </w:tc>
        <w:tc>
          <w:tcPr>
            <w:tcW w:w="635" w:type="dxa"/>
            <w:vMerge w:val="restart"/>
            <w:vAlign w:val="center"/>
          </w:tcPr>
          <w:p>
            <w:pPr>
              <w:jc w:val="center"/>
              <w:rPr>
                <w:rFonts w:hint="eastAsia" w:asciiTheme="minorEastAsia" w:hAnsiTheme="minorEastAsia" w:cstheme="minorEastAsia"/>
                <w:sz w:val="15"/>
                <w:szCs w:val="15"/>
              </w:rPr>
            </w:pPr>
          </w:p>
          <w:p>
            <w:pPr>
              <w:jc w:val="center"/>
              <w:rPr>
                <w:rFonts w:hint="eastAsia" w:asciiTheme="minorEastAsia" w:hAnsiTheme="minorEastAsia" w:cstheme="minorEastAsia"/>
                <w:sz w:val="15"/>
                <w:szCs w:val="15"/>
              </w:rPr>
            </w:pPr>
          </w:p>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海堤</w:t>
            </w:r>
          </w:p>
        </w:tc>
        <w:tc>
          <w:tcPr>
            <w:tcW w:w="1447" w:type="dxa"/>
            <w:vMerge w:val="restar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堤身</w:t>
            </w:r>
          </w:p>
        </w:tc>
        <w:tc>
          <w:tcPr>
            <w:tcW w:w="201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堤顶</w:t>
            </w:r>
          </w:p>
        </w:tc>
        <w:tc>
          <w:tcPr>
            <w:tcW w:w="271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0～+20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21</w:t>
            </w:r>
          </w:p>
        </w:tc>
        <w:tc>
          <w:tcPr>
            <w:tcW w:w="635" w:type="dxa"/>
            <w:vMerge w:val="continue"/>
            <w:vAlign w:val="center"/>
          </w:tcPr>
          <w:p>
            <w:pPr>
              <w:jc w:val="center"/>
              <w:rPr>
                <w:rFonts w:hint="eastAsia" w:asciiTheme="minorEastAsia" w:hAnsiTheme="minorEastAsia" w:cstheme="minorEastAsia"/>
                <w:sz w:val="15"/>
                <w:szCs w:val="15"/>
              </w:rPr>
            </w:pPr>
          </w:p>
        </w:tc>
        <w:tc>
          <w:tcPr>
            <w:tcW w:w="635" w:type="dxa"/>
            <w:vMerge w:val="continue"/>
            <w:vAlign w:val="center"/>
          </w:tcPr>
          <w:p>
            <w:pPr>
              <w:jc w:val="center"/>
              <w:rPr>
                <w:rFonts w:hint="eastAsia" w:asciiTheme="minorEastAsia" w:hAnsiTheme="minorEastAsia" w:cstheme="minorEastAsia"/>
                <w:sz w:val="15"/>
                <w:szCs w:val="15"/>
              </w:rPr>
            </w:pPr>
          </w:p>
        </w:tc>
        <w:tc>
          <w:tcPr>
            <w:tcW w:w="1447" w:type="dxa"/>
            <w:vMerge w:val="continue"/>
            <w:vAlign w:val="center"/>
          </w:tcPr>
          <w:p>
            <w:pPr>
              <w:jc w:val="center"/>
              <w:rPr>
                <w:rFonts w:hint="eastAsia" w:asciiTheme="minorEastAsia" w:hAnsiTheme="minorEastAsia" w:cstheme="minorEastAsia"/>
                <w:sz w:val="15"/>
                <w:szCs w:val="15"/>
              </w:rPr>
            </w:pPr>
          </w:p>
        </w:tc>
        <w:tc>
          <w:tcPr>
            <w:tcW w:w="201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平(戗)台顶</w:t>
            </w:r>
          </w:p>
        </w:tc>
        <w:tc>
          <w:tcPr>
            <w:tcW w:w="271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- 15～+15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22</w:t>
            </w:r>
          </w:p>
        </w:tc>
        <w:tc>
          <w:tcPr>
            <w:tcW w:w="635" w:type="dxa"/>
            <w:vMerge w:val="continue"/>
            <w:vAlign w:val="center"/>
          </w:tcPr>
          <w:p>
            <w:pPr>
              <w:jc w:val="center"/>
              <w:rPr>
                <w:rFonts w:hint="eastAsia" w:asciiTheme="minorEastAsia" w:hAnsiTheme="minorEastAsia" w:cstheme="minorEastAsia"/>
                <w:sz w:val="15"/>
                <w:szCs w:val="15"/>
              </w:rPr>
            </w:pPr>
          </w:p>
        </w:tc>
        <w:tc>
          <w:tcPr>
            <w:tcW w:w="635" w:type="dxa"/>
            <w:vMerge w:val="continue"/>
            <w:vAlign w:val="center"/>
          </w:tcPr>
          <w:p>
            <w:pPr>
              <w:jc w:val="center"/>
              <w:rPr>
                <w:rFonts w:hint="eastAsia" w:asciiTheme="minorEastAsia" w:hAnsiTheme="minorEastAsia" w:cstheme="minorEastAsia"/>
                <w:sz w:val="15"/>
                <w:szCs w:val="15"/>
              </w:rPr>
            </w:pPr>
          </w:p>
        </w:tc>
        <w:tc>
          <w:tcPr>
            <w:tcW w:w="1447" w:type="dxa"/>
            <w:vMerge w:val="restart"/>
            <w:vAlign w:val="center"/>
          </w:tcPr>
          <w:p>
            <w:pPr>
              <w:jc w:val="center"/>
              <w:rPr>
                <w:rFonts w:hint="eastAsia" w:asciiTheme="minorEastAsia" w:hAnsiTheme="minorEastAsia" w:cstheme="minorEastAsia"/>
                <w:sz w:val="15"/>
                <w:szCs w:val="15"/>
              </w:rPr>
            </w:pPr>
          </w:p>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防浪墙</w:t>
            </w:r>
          </w:p>
        </w:tc>
        <w:tc>
          <w:tcPr>
            <w:tcW w:w="201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干砌石墙顶</w:t>
            </w:r>
          </w:p>
        </w:tc>
        <w:tc>
          <w:tcPr>
            <w:tcW w:w="271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- 3～+10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23</w:t>
            </w:r>
          </w:p>
        </w:tc>
        <w:tc>
          <w:tcPr>
            <w:tcW w:w="635" w:type="dxa"/>
            <w:vMerge w:val="continue"/>
            <w:vAlign w:val="center"/>
          </w:tcPr>
          <w:p>
            <w:pPr>
              <w:jc w:val="center"/>
              <w:rPr>
                <w:rFonts w:hint="eastAsia" w:asciiTheme="minorEastAsia" w:hAnsiTheme="minorEastAsia" w:cstheme="minorEastAsia"/>
                <w:sz w:val="15"/>
                <w:szCs w:val="15"/>
              </w:rPr>
            </w:pPr>
          </w:p>
        </w:tc>
        <w:tc>
          <w:tcPr>
            <w:tcW w:w="635" w:type="dxa"/>
            <w:vMerge w:val="continue"/>
            <w:vAlign w:val="center"/>
          </w:tcPr>
          <w:p>
            <w:pPr>
              <w:jc w:val="center"/>
              <w:rPr>
                <w:rFonts w:hint="eastAsia" w:asciiTheme="minorEastAsia" w:hAnsiTheme="minorEastAsia" w:cstheme="minorEastAsia"/>
                <w:sz w:val="15"/>
                <w:szCs w:val="15"/>
              </w:rPr>
            </w:pPr>
          </w:p>
        </w:tc>
        <w:tc>
          <w:tcPr>
            <w:tcW w:w="1447" w:type="dxa"/>
            <w:vMerge w:val="continue"/>
            <w:vAlign w:val="center"/>
          </w:tcPr>
          <w:p>
            <w:pPr>
              <w:jc w:val="center"/>
              <w:rPr>
                <w:rFonts w:hint="eastAsia" w:asciiTheme="minorEastAsia" w:hAnsiTheme="minorEastAsia" w:cstheme="minorEastAsia"/>
                <w:sz w:val="15"/>
                <w:szCs w:val="15"/>
              </w:rPr>
            </w:pPr>
          </w:p>
        </w:tc>
        <w:tc>
          <w:tcPr>
            <w:tcW w:w="201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浆砌石墙顶</w:t>
            </w:r>
          </w:p>
        </w:tc>
        <w:tc>
          <w:tcPr>
            <w:tcW w:w="271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- 3～+8</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24</w:t>
            </w:r>
          </w:p>
        </w:tc>
        <w:tc>
          <w:tcPr>
            <w:tcW w:w="635" w:type="dxa"/>
            <w:vMerge w:val="continue"/>
            <w:vAlign w:val="center"/>
          </w:tcPr>
          <w:p>
            <w:pPr>
              <w:jc w:val="center"/>
              <w:rPr>
                <w:rFonts w:hint="eastAsia" w:asciiTheme="minorEastAsia" w:hAnsiTheme="minorEastAsia" w:cstheme="minorEastAsia"/>
                <w:sz w:val="15"/>
                <w:szCs w:val="15"/>
              </w:rPr>
            </w:pPr>
          </w:p>
        </w:tc>
        <w:tc>
          <w:tcPr>
            <w:tcW w:w="635" w:type="dxa"/>
            <w:vMerge w:val="continue"/>
            <w:vAlign w:val="center"/>
          </w:tcPr>
          <w:p>
            <w:pPr>
              <w:jc w:val="center"/>
              <w:rPr>
                <w:rFonts w:hint="eastAsia" w:asciiTheme="minorEastAsia" w:hAnsiTheme="minorEastAsia" w:cstheme="minorEastAsia"/>
                <w:sz w:val="15"/>
                <w:szCs w:val="15"/>
              </w:rPr>
            </w:pPr>
          </w:p>
        </w:tc>
        <w:tc>
          <w:tcPr>
            <w:tcW w:w="1447" w:type="dxa"/>
            <w:vMerge w:val="continue"/>
            <w:vAlign w:val="center"/>
          </w:tcPr>
          <w:p>
            <w:pPr>
              <w:jc w:val="center"/>
              <w:rPr>
                <w:rFonts w:hint="eastAsia" w:asciiTheme="minorEastAsia" w:hAnsiTheme="minorEastAsia" w:cstheme="minorEastAsia"/>
                <w:sz w:val="15"/>
                <w:szCs w:val="15"/>
              </w:rPr>
            </w:pPr>
          </w:p>
        </w:tc>
        <w:tc>
          <w:tcPr>
            <w:tcW w:w="201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混凝土墙顶</w:t>
            </w:r>
          </w:p>
        </w:tc>
        <w:tc>
          <w:tcPr>
            <w:tcW w:w="271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- 3～+5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20" w:hRule="atLeast"/>
        </w:trPr>
        <w:tc>
          <w:tcPr>
            <w:tcW w:w="80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25</w:t>
            </w:r>
          </w:p>
        </w:tc>
        <w:tc>
          <w:tcPr>
            <w:tcW w:w="2717" w:type="dxa"/>
            <w:gridSpan w:val="3"/>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河道疏浚</w:t>
            </w:r>
          </w:p>
        </w:tc>
        <w:tc>
          <w:tcPr>
            <w:tcW w:w="201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平均底高程</w:t>
            </w:r>
          </w:p>
        </w:tc>
        <w:tc>
          <w:tcPr>
            <w:tcW w:w="271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设计高程 ±5</w:t>
            </w:r>
          </w:p>
        </w:tc>
      </w:tr>
    </w:tbl>
    <w:p>
      <w:pPr>
        <w:spacing w:line="360" w:lineRule="auto"/>
        <w:rPr>
          <w:rFonts w:ascii="Times New Roman" w:hAnsi="Times New Roman" w:cs="Times New Roman"/>
        </w:rPr>
      </w:pPr>
    </w:p>
    <w:p>
      <w:pPr>
        <w:spacing w:line="360" w:lineRule="auto"/>
        <w:rPr>
          <w:rFonts w:hint="eastAsia" w:cs="Times New Roman" w:asciiTheme="minorEastAsia" w:hAnsiTheme="minorEastAsia"/>
        </w:rPr>
      </w:pPr>
      <w:r>
        <w:rPr>
          <w:rFonts w:hint="eastAsia" w:ascii="黑体" w:hAnsi="黑体" w:eastAsia="黑体" w:cs="黑体"/>
          <w:szCs w:val="21"/>
        </w:rPr>
        <w:t xml:space="preserve">9.4.2 </w:t>
      </w:r>
      <w:r>
        <w:rPr>
          <w:rFonts w:ascii="Times New Roman" w:hAnsi="Times New Roman" w:cs="Times New Roman"/>
        </w:rPr>
        <w:t xml:space="preserve"> 几何尺寸允许偏差见</w:t>
      </w:r>
      <w:r>
        <w:rPr>
          <w:rFonts w:hint="eastAsia" w:cs="Times New Roman" w:asciiTheme="minorEastAsia" w:hAnsiTheme="minorEastAsia"/>
        </w:rPr>
        <w:t>表</w:t>
      </w:r>
      <w:r>
        <w:rPr>
          <w:rFonts w:cs="Times New Roman" w:asciiTheme="minorEastAsia" w:hAnsiTheme="minorEastAsia"/>
        </w:rPr>
        <w:t>9.4.2</w:t>
      </w:r>
      <w:r>
        <w:rPr>
          <w:rFonts w:hint="eastAsia" w:cs="Times New Roman" w:asciiTheme="minorEastAsia" w:hAnsiTheme="minorEastAsia"/>
        </w:rPr>
        <w:t>。</w:t>
      </w:r>
    </w:p>
    <w:p>
      <w:pPr>
        <w:spacing w:line="360" w:lineRule="auto"/>
        <w:rPr>
          <w:rFonts w:hint="eastAsia" w:cs="Times New Roman" w:asciiTheme="minorEastAsia" w:hAnsiTheme="minorEastAsia"/>
        </w:rPr>
      </w:pPr>
    </w:p>
    <w:p>
      <w:pPr>
        <w:spacing w:line="360" w:lineRule="auto"/>
        <w:rPr>
          <w:rFonts w:hint="eastAsia" w:cs="Times New Roman" w:asciiTheme="minorEastAsia" w:hAnsiTheme="minorEastAsia"/>
        </w:rPr>
      </w:pPr>
    </w:p>
    <w:p>
      <w:pPr>
        <w:spacing w:line="360" w:lineRule="auto"/>
        <w:jc w:val="center"/>
        <w:rPr>
          <w:rFonts w:hint="eastAsia" w:ascii="黑体" w:hAnsi="黑体" w:eastAsia="黑体" w:cs="黑体"/>
          <w:sz w:val="18"/>
          <w:szCs w:val="18"/>
        </w:rPr>
      </w:pPr>
      <w:r>
        <w:rPr>
          <w:rFonts w:hint="eastAsia" w:ascii="黑体" w:hAnsi="黑体" w:eastAsia="黑体" w:cs="黑体"/>
          <w:sz w:val="18"/>
          <w:szCs w:val="18"/>
        </w:rPr>
        <w:t>表9.4.2  几何尺寸允许偏差表</w:t>
      </w:r>
    </w:p>
    <w:tbl>
      <w:tblPr>
        <w:tblStyle w:val="19"/>
        <w:tblW w:w="8258" w:type="dxa"/>
        <w:tblInd w:w="6"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577"/>
        <w:gridCol w:w="1321"/>
        <w:gridCol w:w="1545"/>
        <w:gridCol w:w="1950"/>
        <w:gridCol w:w="286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tblHeader/>
        </w:trPr>
        <w:tc>
          <w:tcPr>
            <w:tcW w:w="57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序号</w:t>
            </w:r>
          </w:p>
        </w:tc>
        <w:tc>
          <w:tcPr>
            <w:tcW w:w="4816" w:type="dxa"/>
            <w:gridSpan w:val="3"/>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检测项目</w:t>
            </w:r>
          </w:p>
        </w:tc>
        <w:tc>
          <w:tcPr>
            <w:tcW w:w="286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允许偏差/cm</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57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w:t>
            </w:r>
          </w:p>
        </w:tc>
        <w:tc>
          <w:tcPr>
            <w:tcW w:w="1321" w:type="dxa"/>
            <w:vMerge w:val="restart"/>
            <w:vAlign w:val="center"/>
          </w:tcPr>
          <w:p>
            <w:pPr>
              <w:jc w:val="center"/>
              <w:rPr>
                <w:rFonts w:hint="eastAsia" w:asciiTheme="minorEastAsia" w:hAnsiTheme="minorEastAsia" w:cstheme="minorEastAsia"/>
                <w:sz w:val="15"/>
                <w:szCs w:val="15"/>
              </w:rPr>
            </w:pPr>
          </w:p>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挡水建筑物</w:t>
            </w:r>
          </w:p>
        </w:tc>
        <w:tc>
          <w:tcPr>
            <w:tcW w:w="154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混凝土坝</w:t>
            </w:r>
          </w:p>
        </w:tc>
        <w:tc>
          <w:tcPr>
            <w:tcW w:w="195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坝顶宽度</w:t>
            </w:r>
          </w:p>
        </w:tc>
        <w:tc>
          <w:tcPr>
            <w:tcW w:w="286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57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2</w:t>
            </w:r>
          </w:p>
        </w:tc>
        <w:tc>
          <w:tcPr>
            <w:tcW w:w="1321" w:type="dxa"/>
            <w:vMerge w:val="continue"/>
            <w:vAlign w:val="center"/>
          </w:tcPr>
          <w:p>
            <w:pPr>
              <w:jc w:val="center"/>
              <w:rPr>
                <w:rFonts w:hint="eastAsia" w:asciiTheme="minorEastAsia" w:hAnsiTheme="minorEastAsia" w:cstheme="minorEastAsia"/>
                <w:sz w:val="15"/>
                <w:szCs w:val="15"/>
              </w:rPr>
            </w:pPr>
          </w:p>
        </w:tc>
        <w:tc>
          <w:tcPr>
            <w:tcW w:w="154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土石坝</w:t>
            </w:r>
          </w:p>
        </w:tc>
        <w:tc>
          <w:tcPr>
            <w:tcW w:w="195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坝顶宽度</w:t>
            </w:r>
          </w:p>
        </w:tc>
        <w:tc>
          <w:tcPr>
            <w:tcW w:w="286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- 5～+15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57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3</w:t>
            </w:r>
          </w:p>
        </w:tc>
        <w:tc>
          <w:tcPr>
            <w:tcW w:w="1321" w:type="dxa"/>
            <w:vMerge w:val="continue"/>
            <w:vAlign w:val="center"/>
          </w:tcPr>
          <w:p>
            <w:pPr>
              <w:jc w:val="center"/>
              <w:rPr>
                <w:rFonts w:hint="eastAsia" w:asciiTheme="minorEastAsia" w:hAnsiTheme="minorEastAsia" w:cstheme="minorEastAsia"/>
                <w:sz w:val="15"/>
                <w:szCs w:val="15"/>
              </w:rPr>
            </w:pPr>
          </w:p>
        </w:tc>
        <w:tc>
          <w:tcPr>
            <w:tcW w:w="154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马道</w:t>
            </w:r>
          </w:p>
        </w:tc>
        <w:tc>
          <w:tcPr>
            <w:tcW w:w="195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宽度</w:t>
            </w:r>
          </w:p>
        </w:tc>
        <w:tc>
          <w:tcPr>
            <w:tcW w:w="286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57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4</w:t>
            </w:r>
          </w:p>
        </w:tc>
        <w:tc>
          <w:tcPr>
            <w:tcW w:w="1321" w:type="dxa"/>
            <w:vMerge w:val="restar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泄洪建筑物</w:t>
            </w:r>
          </w:p>
        </w:tc>
        <w:tc>
          <w:tcPr>
            <w:tcW w:w="1545" w:type="dxa"/>
            <w:vMerge w:val="restar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进口</w:t>
            </w:r>
          </w:p>
        </w:tc>
        <w:tc>
          <w:tcPr>
            <w:tcW w:w="195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宽度</w:t>
            </w:r>
          </w:p>
        </w:tc>
        <w:tc>
          <w:tcPr>
            <w:tcW w:w="286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±1/200设计值</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57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5</w:t>
            </w:r>
          </w:p>
        </w:tc>
        <w:tc>
          <w:tcPr>
            <w:tcW w:w="1321" w:type="dxa"/>
            <w:vMerge w:val="continue"/>
            <w:vAlign w:val="center"/>
          </w:tcPr>
          <w:p>
            <w:pPr>
              <w:jc w:val="center"/>
              <w:rPr>
                <w:rFonts w:hint="eastAsia" w:asciiTheme="minorEastAsia" w:hAnsiTheme="minorEastAsia" w:cstheme="minorEastAsia"/>
                <w:sz w:val="15"/>
                <w:szCs w:val="15"/>
              </w:rPr>
            </w:pPr>
          </w:p>
        </w:tc>
        <w:tc>
          <w:tcPr>
            <w:tcW w:w="1545" w:type="dxa"/>
            <w:vMerge w:val="continue"/>
            <w:vAlign w:val="center"/>
          </w:tcPr>
          <w:p>
            <w:pPr>
              <w:jc w:val="center"/>
              <w:rPr>
                <w:rFonts w:hint="eastAsia" w:asciiTheme="minorEastAsia" w:hAnsiTheme="minorEastAsia" w:cstheme="minorEastAsia"/>
                <w:sz w:val="15"/>
                <w:szCs w:val="15"/>
              </w:rPr>
            </w:pPr>
          </w:p>
        </w:tc>
        <w:tc>
          <w:tcPr>
            <w:tcW w:w="195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长度</w:t>
            </w:r>
          </w:p>
        </w:tc>
        <w:tc>
          <w:tcPr>
            <w:tcW w:w="286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0～+20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57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6</w:t>
            </w:r>
          </w:p>
        </w:tc>
        <w:tc>
          <w:tcPr>
            <w:tcW w:w="1321" w:type="dxa"/>
            <w:vMerge w:val="continue"/>
            <w:vAlign w:val="center"/>
          </w:tcPr>
          <w:p>
            <w:pPr>
              <w:jc w:val="center"/>
              <w:rPr>
                <w:rFonts w:hint="eastAsia" w:asciiTheme="minorEastAsia" w:hAnsiTheme="minorEastAsia" w:cstheme="minorEastAsia"/>
                <w:sz w:val="15"/>
                <w:szCs w:val="15"/>
              </w:rPr>
            </w:pPr>
          </w:p>
        </w:tc>
        <w:tc>
          <w:tcPr>
            <w:tcW w:w="1545" w:type="dxa"/>
            <w:vMerge w:val="restar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消力池</w:t>
            </w:r>
          </w:p>
        </w:tc>
        <w:tc>
          <w:tcPr>
            <w:tcW w:w="195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宽度</w:t>
            </w:r>
          </w:p>
        </w:tc>
        <w:tc>
          <w:tcPr>
            <w:tcW w:w="286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0～+10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57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7</w:t>
            </w:r>
          </w:p>
        </w:tc>
        <w:tc>
          <w:tcPr>
            <w:tcW w:w="1321" w:type="dxa"/>
            <w:vMerge w:val="continue"/>
            <w:vAlign w:val="center"/>
          </w:tcPr>
          <w:p>
            <w:pPr>
              <w:jc w:val="center"/>
              <w:rPr>
                <w:rFonts w:hint="eastAsia" w:asciiTheme="minorEastAsia" w:hAnsiTheme="minorEastAsia" w:cstheme="minorEastAsia"/>
                <w:sz w:val="15"/>
                <w:szCs w:val="15"/>
              </w:rPr>
            </w:pPr>
          </w:p>
        </w:tc>
        <w:tc>
          <w:tcPr>
            <w:tcW w:w="1545" w:type="dxa"/>
            <w:vMerge w:val="continue"/>
            <w:vAlign w:val="center"/>
          </w:tcPr>
          <w:p>
            <w:pPr>
              <w:jc w:val="center"/>
              <w:rPr>
                <w:rFonts w:hint="eastAsia" w:asciiTheme="minorEastAsia" w:hAnsiTheme="minorEastAsia" w:cstheme="minorEastAsia"/>
                <w:sz w:val="15"/>
                <w:szCs w:val="15"/>
              </w:rPr>
            </w:pPr>
          </w:p>
        </w:tc>
        <w:tc>
          <w:tcPr>
            <w:tcW w:w="195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长度</w:t>
            </w:r>
          </w:p>
        </w:tc>
        <w:tc>
          <w:tcPr>
            <w:tcW w:w="286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0～+20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57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8</w:t>
            </w:r>
          </w:p>
        </w:tc>
        <w:tc>
          <w:tcPr>
            <w:tcW w:w="1321" w:type="dxa"/>
            <w:vMerge w:val="restar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引水建筑物</w:t>
            </w:r>
          </w:p>
        </w:tc>
        <w:tc>
          <w:tcPr>
            <w:tcW w:w="1545" w:type="dxa"/>
            <w:vMerge w:val="restar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进口</w:t>
            </w:r>
          </w:p>
        </w:tc>
        <w:tc>
          <w:tcPr>
            <w:tcW w:w="195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宽度</w:t>
            </w:r>
          </w:p>
        </w:tc>
        <w:tc>
          <w:tcPr>
            <w:tcW w:w="286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0～+10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57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9</w:t>
            </w:r>
          </w:p>
        </w:tc>
        <w:tc>
          <w:tcPr>
            <w:tcW w:w="1321" w:type="dxa"/>
            <w:vMerge w:val="continue"/>
            <w:vAlign w:val="center"/>
          </w:tcPr>
          <w:p>
            <w:pPr>
              <w:jc w:val="center"/>
              <w:rPr>
                <w:rFonts w:hint="eastAsia" w:asciiTheme="minorEastAsia" w:hAnsiTheme="minorEastAsia" w:cstheme="minorEastAsia"/>
                <w:sz w:val="15"/>
                <w:szCs w:val="15"/>
              </w:rPr>
            </w:pPr>
          </w:p>
        </w:tc>
        <w:tc>
          <w:tcPr>
            <w:tcW w:w="1545" w:type="dxa"/>
            <w:vMerge w:val="continue"/>
            <w:vAlign w:val="center"/>
          </w:tcPr>
          <w:p>
            <w:pPr>
              <w:jc w:val="center"/>
              <w:rPr>
                <w:rFonts w:hint="eastAsia" w:asciiTheme="minorEastAsia" w:hAnsiTheme="minorEastAsia" w:cstheme="minorEastAsia"/>
                <w:sz w:val="15"/>
                <w:szCs w:val="15"/>
              </w:rPr>
            </w:pPr>
          </w:p>
        </w:tc>
        <w:tc>
          <w:tcPr>
            <w:tcW w:w="195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长度</w:t>
            </w:r>
          </w:p>
        </w:tc>
        <w:tc>
          <w:tcPr>
            <w:tcW w:w="286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57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10</w:t>
            </w:r>
          </w:p>
        </w:tc>
        <w:tc>
          <w:tcPr>
            <w:tcW w:w="1321" w:type="dxa"/>
            <w:vMerge w:val="restar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过水建筑物</w:t>
            </w:r>
          </w:p>
        </w:tc>
        <w:tc>
          <w:tcPr>
            <w:tcW w:w="1545" w:type="dxa"/>
            <w:vMerge w:val="restar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渡槽、涵管、 倒虹吸、隧洞</w:t>
            </w:r>
          </w:p>
        </w:tc>
        <w:tc>
          <w:tcPr>
            <w:tcW w:w="195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过流断面尺寸</w:t>
            </w:r>
          </w:p>
        </w:tc>
        <w:tc>
          <w:tcPr>
            <w:tcW w:w="286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±1/200设计值</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57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11</w:t>
            </w:r>
          </w:p>
        </w:tc>
        <w:tc>
          <w:tcPr>
            <w:tcW w:w="1321" w:type="dxa"/>
            <w:vMerge w:val="continue"/>
            <w:vAlign w:val="center"/>
          </w:tcPr>
          <w:p>
            <w:pPr>
              <w:jc w:val="center"/>
              <w:rPr>
                <w:rFonts w:hint="eastAsia" w:asciiTheme="minorEastAsia" w:hAnsiTheme="minorEastAsia" w:cstheme="minorEastAsia"/>
                <w:sz w:val="15"/>
                <w:szCs w:val="15"/>
              </w:rPr>
            </w:pPr>
          </w:p>
        </w:tc>
        <w:tc>
          <w:tcPr>
            <w:tcW w:w="1545" w:type="dxa"/>
            <w:vMerge w:val="continue"/>
            <w:vAlign w:val="center"/>
          </w:tcPr>
          <w:p>
            <w:pPr>
              <w:jc w:val="center"/>
              <w:rPr>
                <w:rFonts w:hint="eastAsia" w:asciiTheme="minorEastAsia" w:hAnsiTheme="minorEastAsia" w:cstheme="minorEastAsia"/>
                <w:sz w:val="15"/>
                <w:szCs w:val="15"/>
              </w:rPr>
            </w:pPr>
          </w:p>
        </w:tc>
        <w:tc>
          <w:tcPr>
            <w:tcW w:w="195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宽度</w:t>
            </w:r>
          </w:p>
        </w:tc>
        <w:tc>
          <w:tcPr>
            <w:tcW w:w="286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±4</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57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12</w:t>
            </w:r>
          </w:p>
        </w:tc>
        <w:tc>
          <w:tcPr>
            <w:tcW w:w="1321" w:type="dxa"/>
            <w:vMerge w:val="continue"/>
            <w:vAlign w:val="center"/>
          </w:tcPr>
          <w:p>
            <w:pPr>
              <w:jc w:val="center"/>
              <w:rPr>
                <w:rFonts w:hint="eastAsia" w:asciiTheme="minorEastAsia" w:hAnsiTheme="minorEastAsia" w:cstheme="minorEastAsia"/>
                <w:sz w:val="15"/>
                <w:szCs w:val="15"/>
              </w:rPr>
            </w:pPr>
          </w:p>
        </w:tc>
        <w:tc>
          <w:tcPr>
            <w:tcW w:w="154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渠道</w:t>
            </w:r>
          </w:p>
        </w:tc>
        <w:tc>
          <w:tcPr>
            <w:tcW w:w="1950"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渠顶(底)宽</w:t>
            </w:r>
          </w:p>
        </w:tc>
        <w:tc>
          <w:tcPr>
            <w:tcW w:w="286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±1/200设计值</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57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13</w:t>
            </w:r>
          </w:p>
        </w:tc>
        <w:tc>
          <w:tcPr>
            <w:tcW w:w="1321" w:type="dxa"/>
            <w:vMerge w:val="restar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堤防</w:t>
            </w:r>
          </w:p>
        </w:tc>
        <w:tc>
          <w:tcPr>
            <w:tcW w:w="3495" w:type="dxa"/>
            <w:gridSpan w:val="2"/>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堤顶宽度</w:t>
            </w:r>
          </w:p>
        </w:tc>
        <w:tc>
          <w:tcPr>
            <w:tcW w:w="286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- 5～+15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57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14</w:t>
            </w:r>
          </w:p>
        </w:tc>
        <w:tc>
          <w:tcPr>
            <w:tcW w:w="1321" w:type="dxa"/>
            <w:vMerge w:val="continue"/>
            <w:vAlign w:val="center"/>
          </w:tcPr>
          <w:p>
            <w:pPr>
              <w:jc w:val="center"/>
              <w:rPr>
                <w:rFonts w:hint="eastAsia" w:asciiTheme="minorEastAsia" w:hAnsiTheme="minorEastAsia" w:cstheme="minorEastAsia"/>
                <w:sz w:val="15"/>
                <w:szCs w:val="15"/>
              </w:rPr>
            </w:pPr>
          </w:p>
        </w:tc>
        <w:tc>
          <w:tcPr>
            <w:tcW w:w="3495" w:type="dxa"/>
            <w:gridSpan w:val="2"/>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平(戗)台顶</w:t>
            </w:r>
          </w:p>
        </w:tc>
        <w:tc>
          <w:tcPr>
            <w:tcW w:w="286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- 10～+15</w:t>
            </w:r>
          </w:p>
        </w:tc>
      </w:tr>
    </w:tbl>
    <w:p>
      <w:pPr>
        <w:spacing w:line="360" w:lineRule="auto"/>
        <w:jc w:val="center"/>
        <w:rPr>
          <w:rFonts w:ascii="Times New Roman" w:hAnsi="Times New Roman" w:eastAsia="黑体" w:cs="Times New Roman"/>
        </w:rPr>
      </w:pPr>
      <w:r>
        <w:rPr>
          <w:rFonts w:hint="eastAsia" w:ascii="黑体" w:hAnsi="黑体" w:eastAsia="黑体" w:cs="黑体"/>
          <w:sz w:val="18"/>
          <w:szCs w:val="18"/>
        </w:rPr>
        <w:t>表9.4.2  几何尺寸允许偏差表（续）</w:t>
      </w:r>
    </w:p>
    <w:tbl>
      <w:tblPr>
        <w:tblStyle w:val="19"/>
        <w:tblW w:w="8258" w:type="dxa"/>
        <w:tblInd w:w="6"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577"/>
        <w:gridCol w:w="1321"/>
        <w:gridCol w:w="3495"/>
        <w:gridCol w:w="286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57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序号</w:t>
            </w:r>
          </w:p>
        </w:tc>
        <w:tc>
          <w:tcPr>
            <w:tcW w:w="4816" w:type="dxa"/>
            <w:gridSpan w:val="2"/>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检测项目</w:t>
            </w:r>
          </w:p>
        </w:tc>
        <w:tc>
          <w:tcPr>
            <w:tcW w:w="286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允许偏差/cm</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313" w:hRule="atLeast"/>
        </w:trPr>
        <w:tc>
          <w:tcPr>
            <w:tcW w:w="57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15</w:t>
            </w:r>
          </w:p>
        </w:tc>
        <w:tc>
          <w:tcPr>
            <w:tcW w:w="1321" w:type="dxa"/>
            <w:vMerge w:val="restart"/>
            <w:vAlign w:val="center"/>
          </w:tcPr>
          <w:p>
            <w:pPr>
              <w:jc w:val="center"/>
              <w:rPr>
                <w:rFonts w:hint="eastAsia" w:asciiTheme="minorEastAsia" w:hAnsiTheme="minorEastAsia" w:cstheme="minorEastAsia"/>
                <w:sz w:val="15"/>
                <w:szCs w:val="15"/>
              </w:rPr>
            </w:pPr>
          </w:p>
        </w:tc>
        <w:tc>
          <w:tcPr>
            <w:tcW w:w="349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马道</w:t>
            </w:r>
          </w:p>
        </w:tc>
        <w:tc>
          <w:tcPr>
            <w:tcW w:w="286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57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16</w:t>
            </w:r>
          </w:p>
        </w:tc>
        <w:tc>
          <w:tcPr>
            <w:tcW w:w="1321" w:type="dxa"/>
            <w:vMerge w:val="continue"/>
            <w:vAlign w:val="center"/>
          </w:tcPr>
          <w:p>
            <w:pPr>
              <w:jc w:val="center"/>
              <w:rPr>
                <w:rFonts w:hint="eastAsia" w:asciiTheme="minorEastAsia" w:hAnsiTheme="minorEastAsia" w:cstheme="minorEastAsia"/>
                <w:sz w:val="15"/>
                <w:szCs w:val="15"/>
              </w:rPr>
            </w:pPr>
          </w:p>
        </w:tc>
        <w:tc>
          <w:tcPr>
            <w:tcW w:w="349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平整度</w:t>
            </w:r>
          </w:p>
        </w:tc>
        <w:tc>
          <w:tcPr>
            <w:tcW w:w="286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毛石护坡，不大于10cm</w:t>
            </w:r>
          </w:p>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干砌石护坡，不大于5cm</w:t>
            </w:r>
          </w:p>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浆砌石护坡，不大于1cm</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57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17</w:t>
            </w:r>
          </w:p>
        </w:tc>
        <w:tc>
          <w:tcPr>
            <w:tcW w:w="1321" w:type="dxa"/>
            <w:vMerge w:val="restart"/>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河道疏浚</w:t>
            </w:r>
          </w:p>
        </w:tc>
        <w:tc>
          <w:tcPr>
            <w:tcW w:w="349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河道过水断面面积</w:t>
            </w:r>
          </w:p>
        </w:tc>
        <w:tc>
          <w:tcPr>
            <w:tcW w:w="286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不小于设计断面面积</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51" w:hRule="atLeast"/>
        </w:trPr>
        <w:tc>
          <w:tcPr>
            <w:tcW w:w="57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18</w:t>
            </w:r>
          </w:p>
        </w:tc>
        <w:tc>
          <w:tcPr>
            <w:tcW w:w="1321" w:type="dxa"/>
            <w:vMerge w:val="continue"/>
            <w:vAlign w:val="center"/>
          </w:tcPr>
          <w:p>
            <w:pPr>
              <w:jc w:val="center"/>
              <w:rPr>
                <w:rFonts w:hint="eastAsia" w:asciiTheme="minorEastAsia" w:hAnsiTheme="minorEastAsia" w:cstheme="minorEastAsia"/>
                <w:sz w:val="15"/>
                <w:szCs w:val="15"/>
              </w:rPr>
            </w:pPr>
          </w:p>
        </w:tc>
        <w:tc>
          <w:tcPr>
            <w:tcW w:w="349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局部欠挖</w:t>
            </w:r>
          </w:p>
        </w:tc>
        <w:tc>
          <w:tcPr>
            <w:tcW w:w="286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深度小于 0.3m,面积小于5.0m2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68" w:hRule="atLeast"/>
        </w:trPr>
        <w:tc>
          <w:tcPr>
            <w:tcW w:w="57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19</w:t>
            </w:r>
          </w:p>
        </w:tc>
        <w:tc>
          <w:tcPr>
            <w:tcW w:w="1321" w:type="dxa"/>
            <w:vMerge w:val="continue"/>
            <w:vAlign w:val="center"/>
          </w:tcPr>
          <w:p>
            <w:pPr>
              <w:jc w:val="center"/>
              <w:rPr>
                <w:rFonts w:hint="eastAsia" w:asciiTheme="minorEastAsia" w:hAnsiTheme="minorEastAsia" w:cstheme="minorEastAsia"/>
                <w:sz w:val="15"/>
                <w:szCs w:val="15"/>
              </w:rPr>
            </w:pPr>
          </w:p>
        </w:tc>
        <w:tc>
          <w:tcPr>
            <w:tcW w:w="349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开挖横断面每边最大超宽值、 最大超深值</w:t>
            </w:r>
          </w:p>
        </w:tc>
        <w:tc>
          <w:tcPr>
            <w:tcW w:w="2865"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小于设计值×0.05，且不应危及堤防、护坡岸建筑物的安全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577"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20</w:t>
            </w:r>
          </w:p>
        </w:tc>
        <w:tc>
          <w:tcPr>
            <w:tcW w:w="1321" w:type="dxa"/>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一般建筑物</w:t>
            </w:r>
          </w:p>
        </w:tc>
        <w:tc>
          <w:tcPr>
            <w:tcW w:w="6360" w:type="dxa"/>
            <w:gridSpan w:val="2"/>
            <w:vAlign w:val="center"/>
          </w:tcPr>
          <w:p>
            <w:pPr>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尺寸在50cm以内的，允许偏差在±1cm；50～200cm的，允许偏差在±2.5cm；200cm上的，允许偏差在±5cm</w:t>
            </w:r>
          </w:p>
        </w:tc>
      </w:tr>
    </w:tbl>
    <w:p>
      <w:pPr>
        <w:spacing w:line="360" w:lineRule="auto"/>
        <w:ind w:firstLine="420" w:firstLineChars="200"/>
        <w:rPr>
          <w:rFonts w:ascii="Times New Roman" w:hAnsi="Times New Roman" w:cs="Times New Roman"/>
        </w:rPr>
      </w:pPr>
    </w:p>
    <w:p>
      <w:pPr>
        <w:spacing w:line="360" w:lineRule="auto"/>
        <w:rPr>
          <w:rFonts w:ascii="Times New Roman" w:hAnsi="Times New Roman" w:cs="Times New Roman"/>
        </w:rPr>
      </w:pPr>
      <w:r>
        <w:rPr>
          <w:rFonts w:hint="eastAsia" w:ascii="黑体" w:hAnsi="黑体" w:eastAsia="黑体" w:cs="黑体"/>
          <w:szCs w:val="21"/>
        </w:rPr>
        <w:t xml:space="preserve">9.4.3 </w:t>
      </w:r>
      <w:r>
        <w:rPr>
          <w:rFonts w:ascii="Times New Roman" w:hAnsi="Times New Roman" w:eastAsia="黑体" w:cs="Times New Roman"/>
        </w:rPr>
        <w:t xml:space="preserve"> </w:t>
      </w:r>
      <w:r>
        <w:rPr>
          <w:rFonts w:ascii="Times New Roman" w:hAnsi="Times New Roman" w:cs="Times New Roman"/>
        </w:rPr>
        <w:t>轴线坐标的允许偏差应符合下列要求：</w:t>
      </w:r>
    </w:p>
    <w:p>
      <w:pPr>
        <w:spacing w:line="360" w:lineRule="auto"/>
        <w:ind w:firstLine="420" w:firstLineChars="200"/>
        <w:rPr>
          <w:rFonts w:ascii="Times New Roman" w:hAnsi="Times New Roman" w:cs="Times New Roman"/>
        </w:rPr>
      </w:pPr>
      <w:r>
        <w:rPr>
          <w:rFonts w:hint="eastAsia" w:ascii="黑体" w:hAnsi="黑体" w:eastAsia="黑体" w:cs="黑体"/>
          <w:szCs w:val="21"/>
        </w:rPr>
        <w:t>1</w:t>
      </w:r>
      <w:r>
        <w:rPr>
          <w:rFonts w:ascii="Times New Roman" w:hAnsi="Times New Roman" w:eastAsia="黑体" w:cs="Times New Roman"/>
        </w:rPr>
        <w:t xml:space="preserve">  </w:t>
      </w:r>
      <w:r>
        <w:rPr>
          <w:rFonts w:ascii="Times New Roman" w:hAnsi="Times New Roman" w:cs="Times New Roman"/>
        </w:rPr>
        <w:t>混凝土坝、水</w:t>
      </w:r>
      <w:r>
        <w:rPr>
          <w:rFonts w:hint="eastAsia" w:cs="Times New Roman" w:asciiTheme="minorEastAsia" w:hAnsiTheme="minorEastAsia"/>
        </w:rPr>
        <w:t>闸为</w:t>
      </w:r>
      <w:r>
        <w:rPr>
          <w:rFonts w:cs="Times New Roman" w:asciiTheme="minorEastAsia" w:hAnsiTheme="minorEastAsia"/>
        </w:rPr>
        <w:t>±1cm</w:t>
      </w:r>
      <w:r>
        <w:rPr>
          <w:rFonts w:hint="eastAsia" w:cs="Times New Roman" w:asciiTheme="minorEastAsia" w:hAnsiTheme="minorEastAsia"/>
        </w:rPr>
        <w:t>。</w:t>
      </w:r>
    </w:p>
    <w:p>
      <w:pPr>
        <w:spacing w:line="360" w:lineRule="auto"/>
        <w:ind w:firstLine="420" w:firstLineChars="200"/>
        <w:rPr>
          <w:rFonts w:ascii="Times New Roman" w:hAnsi="Times New Roman" w:cs="Times New Roman"/>
        </w:rPr>
      </w:pPr>
      <w:r>
        <w:rPr>
          <w:rFonts w:hint="eastAsia" w:ascii="黑体" w:hAnsi="黑体" w:eastAsia="黑体" w:cs="黑体"/>
          <w:szCs w:val="21"/>
        </w:rPr>
        <w:t>2</w:t>
      </w:r>
      <w:r>
        <w:rPr>
          <w:rFonts w:ascii="Times New Roman" w:hAnsi="Times New Roman" w:eastAsia="黑体" w:cs="Times New Roman"/>
        </w:rPr>
        <w:t xml:space="preserve">  </w:t>
      </w:r>
      <w:r>
        <w:rPr>
          <w:rFonts w:ascii="Times New Roman" w:hAnsi="Times New Roman" w:cs="Times New Roman"/>
        </w:rPr>
        <w:t>土石坝</w:t>
      </w:r>
      <w:r>
        <w:rPr>
          <w:rFonts w:hint="eastAsia" w:cs="Times New Roman" w:asciiTheme="minorEastAsia" w:hAnsiTheme="minorEastAsia"/>
        </w:rPr>
        <w:t>为</w:t>
      </w:r>
      <w:r>
        <w:rPr>
          <w:rFonts w:cs="Times New Roman" w:asciiTheme="minorEastAsia" w:hAnsiTheme="minorEastAsia"/>
        </w:rPr>
        <w:t>±2cm</w:t>
      </w:r>
      <w:r>
        <w:rPr>
          <w:rFonts w:hint="eastAsia" w:cs="Times New Roman" w:asciiTheme="minorEastAsia" w:hAnsiTheme="minorEastAsia"/>
        </w:rPr>
        <w:t>。</w:t>
      </w:r>
    </w:p>
    <w:p>
      <w:pPr>
        <w:spacing w:line="360" w:lineRule="auto"/>
        <w:ind w:firstLine="420" w:firstLineChars="200"/>
        <w:rPr>
          <w:rFonts w:ascii="Times New Roman" w:hAnsi="Times New Roman" w:cs="Times New Roman"/>
        </w:rPr>
      </w:pPr>
      <w:r>
        <w:rPr>
          <w:rFonts w:hint="eastAsia" w:ascii="黑体" w:hAnsi="黑体" w:eastAsia="黑体" w:cs="黑体"/>
          <w:szCs w:val="21"/>
        </w:rPr>
        <w:t xml:space="preserve">3 </w:t>
      </w:r>
      <w:r>
        <w:rPr>
          <w:rFonts w:ascii="Times New Roman" w:hAnsi="Times New Roman" w:eastAsia="黑体" w:cs="Times New Roman"/>
        </w:rPr>
        <w:t xml:space="preserve"> </w:t>
      </w:r>
      <w:r>
        <w:rPr>
          <w:rFonts w:ascii="Times New Roman" w:hAnsi="Times New Roman" w:cs="Times New Roman"/>
        </w:rPr>
        <w:t>渠道、渡槽、涵</w:t>
      </w:r>
      <w:r>
        <w:rPr>
          <w:rFonts w:hint="eastAsia" w:cs="Times New Roman" w:asciiTheme="minorEastAsia" w:hAnsiTheme="minorEastAsia"/>
        </w:rPr>
        <w:t>管、倒虹吸、隧洞为</w:t>
      </w:r>
      <w:r>
        <w:rPr>
          <w:rFonts w:cs="Times New Roman" w:asciiTheme="minorEastAsia" w:hAnsiTheme="minorEastAsia"/>
        </w:rPr>
        <w:t>±1.5cm</w:t>
      </w:r>
      <w:r>
        <w:rPr>
          <w:rFonts w:hint="eastAsia" w:cs="Times New Roman" w:asciiTheme="minorEastAsia" w:hAnsiTheme="minorEastAsia"/>
        </w:rPr>
        <w:t>。</w:t>
      </w:r>
    </w:p>
    <w:p>
      <w:pPr>
        <w:spacing w:line="360" w:lineRule="auto"/>
        <w:ind w:firstLine="420" w:firstLineChars="200"/>
        <w:rPr>
          <w:rFonts w:ascii="Times New Roman" w:hAnsi="Times New Roman" w:cs="Times New Roman"/>
        </w:rPr>
      </w:pPr>
      <w:r>
        <w:rPr>
          <w:rFonts w:hint="eastAsia" w:ascii="黑体" w:hAnsi="黑体" w:eastAsia="黑体" w:cs="黑体"/>
          <w:szCs w:val="21"/>
        </w:rPr>
        <w:t>4</w:t>
      </w:r>
      <w:r>
        <w:rPr>
          <w:rFonts w:ascii="Times New Roman" w:hAnsi="Times New Roman" w:eastAsia="黑体" w:cs="Times New Roman"/>
        </w:rPr>
        <w:t xml:space="preserve">  </w:t>
      </w:r>
      <w:r>
        <w:rPr>
          <w:rFonts w:ascii="Times New Roman" w:hAnsi="Times New Roman" w:cs="Times New Roman"/>
        </w:rPr>
        <w:t>其他建筑物</w:t>
      </w:r>
      <w:r>
        <w:rPr>
          <w:rFonts w:hint="eastAsia" w:cs="Times New Roman" w:asciiTheme="minorEastAsia" w:hAnsiTheme="minorEastAsia"/>
        </w:rPr>
        <w:t>为</w:t>
      </w:r>
      <w:r>
        <w:rPr>
          <w:rFonts w:cs="Times New Roman" w:asciiTheme="minorEastAsia" w:hAnsiTheme="minorEastAsia"/>
        </w:rPr>
        <w:t>±3cm</w:t>
      </w:r>
      <w:r>
        <w:rPr>
          <w:rFonts w:ascii="Times New Roman" w:hAnsi="Times New Roman" w:cs="Times New Roman"/>
        </w:rPr>
        <w:t>。</w:t>
      </w:r>
    </w:p>
    <w:p>
      <w:pPr>
        <w:spacing w:line="360" w:lineRule="auto"/>
        <w:rPr>
          <w:rFonts w:ascii="Times New Roman" w:hAnsi="Times New Roman" w:cs="Times New Roman"/>
        </w:rPr>
      </w:pPr>
      <w:r>
        <w:rPr>
          <w:rFonts w:hint="eastAsia" w:ascii="黑体" w:hAnsi="黑体" w:eastAsia="黑体" w:cs="黑体"/>
          <w:szCs w:val="21"/>
        </w:rPr>
        <w:t>9.4.4</w:t>
      </w:r>
      <w:r>
        <w:rPr>
          <w:rFonts w:ascii="Times New Roman" w:hAnsi="Times New Roman" w:eastAsia="黑体" w:cs="Times New Roman"/>
        </w:rPr>
        <w:t xml:space="preserve">  </w:t>
      </w:r>
      <w:r>
        <w:rPr>
          <w:rFonts w:ascii="Times New Roman" w:hAnsi="Times New Roman" w:cs="Times New Roman"/>
        </w:rPr>
        <w:t>坡度的允许偏差应符合下列要求：</w:t>
      </w:r>
    </w:p>
    <w:p>
      <w:pPr>
        <w:spacing w:line="360" w:lineRule="auto"/>
        <w:ind w:firstLine="420" w:firstLineChars="200"/>
        <w:rPr>
          <w:rFonts w:ascii="Times New Roman" w:hAnsi="Times New Roman" w:cs="Times New Roman"/>
        </w:rPr>
      </w:pPr>
      <w:r>
        <w:rPr>
          <w:rFonts w:hint="eastAsia" w:ascii="黑体" w:hAnsi="黑体" w:eastAsia="黑体" w:cs="黑体"/>
          <w:szCs w:val="21"/>
        </w:rPr>
        <w:t>1</w:t>
      </w:r>
      <w:r>
        <w:rPr>
          <w:rFonts w:ascii="Times New Roman" w:hAnsi="Times New Roman" w:eastAsia="黑体" w:cs="Times New Roman"/>
        </w:rPr>
        <w:t xml:space="preserve">  </w:t>
      </w:r>
      <w:r>
        <w:rPr>
          <w:rFonts w:ascii="Times New Roman" w:hAnsi="Times New Roman" w:cs="Times New Roman"/>
        </w:rPr>
        <w:t>大坝、堤防、渠道等的边坡</w:t>
      </w:r>
      <w:r>
        <w:rPr>
          <w:rFonts w:hint="eastAsia" w:ascii="Times New Roman" w:hAnsi="Times New Roman" w:cs="Times New Roman"/>
        </w:rPr>
        <w:t>坡度</w:t>
      </w:r>
      <w:r>
        <w:rPr>
          <w:rFonts w:ascii="Times New Roman" w:hAnsi="Times New Roman" w:cs="Times New Roman"/>
        </w:rPr>
        <w:t>不</w:t>
      </w:r>
      <w:r>
        <w:rPr>
          <w:rFonts w:hint="eastAsia" w:ascii="Times New Roman" w:hAnsi="Times New Roman" w:cs="Times New Roman"/>
        </w:rPr>
        <w:t>应大</w:t>
      </w:r>
      <w:r>
        <w:rPr>
          <w:rFonts w:ascii="Times New Roman" w:hAnsi="Times New Roman" w:cs="Times New Roman"/>
        </w:rPr>
        <w:t>于设计值。</w:t>
      </w:r>
    </w:p>
    <w:p>
      <w:pPr>
        <w:spacing w:line="360" w:lineRule="auto"/>
        <w:ind w:firstLine="420" w:firstLineChars="200"/>
        <w:rPr>
          <w:rFonts w:ascii="Times New Roman" w:hAnsi="Times New Roman" w:cs="Times New Roman"/>
        </w:rPr>
      </w:pPr>
      <w:r>
        <w:rPr>
          <w:rFonts w:hint="eastAsia" w:ascii="黑体" w:hAnsi="黑体" w:eastAsia="黑体" w:cs="黑体"/>
          <w:szCs w:val="21"/>
        </w:rPr>
        <w:t xml:space="preserve">2 </w:t>
      </w:r>
      <w:r>
        <w:rPr>
          <w:rFonts w:ascii="Times New Roman" w:hAnsi="Times New Roman" w:eastAsia="黑体" w:cs="Times New Roman"/>
        </w:rPr>
        <w:t xml:space="preserve"> </w:t>
      </w:r>
      <w:r>
        <w:rPr>
          <w:rFonts w:ascii="Times New Roman" w:hAnsi="Times New Roman" w:cs="Times New Roman"/>
        </w:rPr>
        <w:t>过水建筑物纵坡</w:t>
      </w:r>
      <w:r>
        <w:rPr>
          <w:rFonts w:hint="eastAsia" w:ascii="Times New Roman" w:hAnsi="Times New Roman" w:cs="Times New Roman"/>
        </w:rPr>
        <w:t>坡度</w:t>
      </w:r>
      <w:r>
        <w:rPr>
          <w:rFonts w:ascii="Times New Roman" w:hAnsi="Times New Roman" w:cs="Times New Roman"/>
        </w:rPr>
        <w:t>允许偏差为设计</w:t>
      </w:r>
      <w:r>
        <w:rPr>
          <w:rFonts w:hint="eastAsia" w:cs="Times New Roman" w:asciiTheme="minorEastAsia" w:hAnsiTheme="minorEastAsia"/>
        </w:rPr>
        <w:t>值</w:t>
      </w:r>
      <w:r>
        <w:rPr>
          <w:rFonts w:cs="Times New Roman" w:asciiTheme="minorEastAsia" w:hAnsiTheme="minorEastAsia"/>
        </w:rPr>
        <w:t>±0.05</w:t>
      </w:r>
      <w:r>
        <w:rPr>
          <w:rFonts w:hint="eastAsia" w:cs="Times New Roman" w:asciiTheme="minorEastAsia" w:hAnsiTheme="minorEastAsia"/>
        </w:rPr>
        <w:t>。</w:t>
      </w:r>
    </w:p>
    <w:p>
      <w:pPr>
        <w:spacing w:line="360" w:lineRule="auto"/>
        <w:rPr>
          <w:rFonts w:ascii="Times New Roman" w:hAnsi="Times New Roman" w:cs="Times New Roman"/>
        </w:rPr>
      </w:pPr>
      <w:r>
        <w:rPr>
          <w:rFonts w:hint="eastAsia" w:ascii="黑体" w:hAnsi="黑体" w:eastAsia="黑体" w:cs="黑体"/>
          <w:szCs w:val="21"/>
        </w:rPr>
        <w:t>9.4.5</w:t>
      </w:r>
      <w:r>
        <w:rPr>
          <w:rFonts w:ascii="Times New Roman" w:hAnsi="Times New Roman" w:eastAsia="黑体" w:cs="Times New Roman"/>
        </w:rPr>
        <w:t xml:space="preserve">  </w:t>
      </w:r>
      <w:r>
        <w:rPr>
          <w:rFonts w:hint="eastAsia" w:ascii="Times New Roman" w:hAnsi="Times New Roman" w:cs="Times New Roman"/>
        </w:rPr>
        <w:t>质量加测结果</w:t>
      </w:r>
      <w:r>
        <w:rPr>
          <w:rFonts w:ascii="Times New Roman" w:hAnsi="Times New Roman" w:cs="Times New Roman"/>
        </w:rPr>
        <w:t>评价</w:t>
      </w:r>
    </w:p>
    <w:p>
      <w:pPr>
        <w:spacing w:line="360" w:lineRule="auto"/>
        <w:ind w:firstLine="420" w:firstLineChars="200"/>
        <w:rPr>
          <w:rFonts w:hint="eastAsia" w:cs="Times New Roman" w:asciiTheme="minorEastAsia" w:hAnsiTheme="minorEastAsia"/>
        </w:rPr>
      </w:pPr>
      <w:r>
        <w:rPr>
          <w:rFonts w:hint="eastAsia" w:ascii="黑体" w:hAnsi="黑体" w:eastAsia="黑体" w:cs="黑体"/>
          <w:szCs w:val="21"/>
        </w:rPr>
        <w:t>1</w:t>
      </w:r>
      <w:r>
        <w:rPr>
          <w:rFonts w:ascii="Times New Roman" w:hAnsi="Times New Roman" w:eastAsia="黑体" w:cs="Times New Roman"/>
        </w:rPr>
        <w:t xml:space="preserve">  </w:t>
      </w:r>
      <w:r>
        <w:rPr>
          <w:rFonts w:ascii="Times New Roman" w:hAnsi="Times New Roman" w:cs="Times New Roman"/>
        </w:rPr>
        <w:t>检测项目的测</w:t>
      </w:r>
      <w:r>
        <w:rPr>
          <w:rFonts w:hint="eastAsia" w:cs="Times New Roman" w:asciiTheme="minorEastAsia" w:hAnsiTheme="minorEastAsia"/>
        </w:rPr>
        <w:t>点实测值与设计值的误差在允许偏差范围内为合格点，合格点数除以总测点数为该项的合格率，合格率达到8</w:t>
      </w:r>
      <w:r>
        <w:rPr>
          <w:rFonts w:cs="Times New Roman" w:asciiTheme="minorEastAsia" w:hAnsiTheme="minorEastAsia"/>
        </w:rPr>
        <w:t>0%</w:t>
      </w:r>
      <w:r>
        <w:rPr>
          <w:rFonts w:hint="eastAsia" w:cs="Times New Roman" w:asciiTheme="minorEastAsia" w:hAnsiTheme="minorEastAsia"/>
        </w:rPr>
        <w:t>及以上，检测资料齐全，该检测项目质量检测结果评价为合格。</w:t>
      </w:r>
    </w:p>
    <w:p>
      <w:pPr>
        <w:spacing w:line="360" w:lineRule="auto"/>
        <w:ind w:firstLine="420" w:firstLineChars="200"/>
        <w:rPr>
          <w:rFonts w:hint="eastAsia" w:cs="Times New Roman" w:asciiTheme="minorEastAsia" w:hAnsiTheme="minorEastAsia"/>
        </w:rPr>
      </w:pPr>
      <w:r>
        <w:rPr>
          <w:rFonts w:hint="eastAsia" w:ascii="黑体" w:hAnsi="黑体" w:eastAsia="黑体" w:cs="黑体"/>
          <w:szCs w:val="21"/>
        </w:rPr>
        <w:t>2</w:t>
      </w:r>
      <w:r>
        <w:rPr>
          <w:rFonts w:ascii="Times New Roman" w:hAnsi="Times New Roman" w:eastAsia="黑体" w:cs="Times New Roman"/>
        </w:rPr>
        <w:t xml:space="preserve">  </w:t>
      </w:r>
      <w:r>
        <w:rPr>
          <w:rFonts w:hint="eastAsia" w:cs="Times New Roman" w:asciiTheme="minorEastAsia" w:hAnsiTheme="minorEastAsia"/>
        </w:rPr>
        <w:t>检测项目第一次检测合格率小于8</w:t>
      </w:r>
      <w:r>
        <w:rPr>
          <w:rFonts w:cs="Times New Roman" w:asciiTheme="minorEastAsia" w:hAnsiTheme="minorEastAsia"/>
        </w:rPr>
        <w:t>0%</w:t>
      </w:r>
      <w:r>
        <w:rPr>
          <w:rFonts w:hint="eastAsia" w:cs="Times New Roman" w:asciiTheme="minorEastAsia" w:hAnsiTheme="minorEastAsia"/>
        </w:rPr>
        <w:t>，可按原测点数的</w:t>
      </w:r>
      <w:r>
        <w:rPr>
          <w:rFonts w:cs="Times New Roman" w:asciiTheme="minorEastAsia" w:hAnsiTheme="minorEastAsia"/>
        </w:rPr>
        <w:t>2</w:t>
      </w:r>
      <w:r>
        <w:rPr>
          <w:rFonts w:hint="eastAsia" w:cs="Times New Roman" w:asciiTheme="minorEastAsia" w:hAnsiTheme="minorEastAsia"/>
        </w:rPr>
        <w:t>倍数量复测。复测合格率达到</w:t>
      </w:r>
      <w:r>
        <w:rPr>
          <w:rFonts w:cs="Times New Roman" w:asciiTheme="minorEastAsia" w:hAnsiTheme="minorEastAsia"/>
        </w:rPr>
        <w:t>70%</w:t>
      </w:r>
      <w:r>
        <w:rPr>
          <w:rFonts w:hint="eastAsia" w:cs="Times New Roman" w:asciiTheme="minorEastAsia" w:hAnsiTheme="minorEastAsia"/>
        </w:rPr>
        <w:t>及以上，检测资料齐全，则该检测项目质量检测结果评价为合格。</w:t>
      </w:r>
    </w:p>
    <w:p>
      <w:pPr>
        <w:spacing w:line="360" w:lineRule="auto"/>
        <w:rPr>
          <w:rFonts w:hint="eastAsia" w:cs="Times New Roman" w:asciiTheme="minorEastAsia" w:hAnsiTheme="minorEastAsia"/>
        </w:rPr>
      </w:pPr>
      <w:r>
        <w:rPr>
          <w:rFonts w:hint="eastAsia" w:ascii="黑体" w:hAnsi="黑体" w:eastAsia="黑体" w:cs="黑体"/>
          <w:szCs w:val="21"/>
        </w:rPr>
        <w:t>9.4.6</w:t>
      </w:r>
      <w:r>
        <w:rPr>
          <w:rFonts w:ascii="Times New Roman" w:hAnsi="Times New Roman" w:eastAsia="黑体" w:cs="Times New Roman"/>
        </w:rPr>
        <w:t xml:space="preserve">  </w:t>
      </w:r>
      <w:r>
        <w:rPr>
          <w:rFonts w:hint="eastAsia" w:cs="Times New Roman" w:asciiTheme="minorEastAsia" w:hAnsiTheme="minorEastAsia"/>
        </w:rPr>
        <w:t>建筑物尺寸测量结果评价：全部测量项目评价为合格，且检测资料齐全，则结果评价为合格。</w:t>
      </w:r>
    </w:p>
    <w:p>
      <w:pPr>
        <w:rPr>
          <w:rFonts w:hint="eastAsia" w:ascii="宋体" w:hAnsi="宋体" w:eastAsia="宋体" w:cs="宋体"/>
        </w:rPr>
      </w:pPr>
    </w:p>
    <w:p>
      <w:pPr>
        <w:rPr>
          <w:rFonts w:hint="eastAsia" w:ascii="宋体" w:hAnsi="宋体" w:eastAsia="宋体" w:cs="宋体"/>
        </w:rPr>
      </w:pPr>
    </w:p>
    <w:p>
      <w:pPr>
        <w:rPr>
          <w:rFonts w:hint="eastAsia" w:ascii="宋体" w:hAnsi="宋体" w:eastAsia="宋体" w:cs="宋体"/>
        </w:rPr>
      </w:pPr>
      <w:r>
        <w:rPr>
          <w:rFonts w:hint="eastAsia" w:ascii="宋体" w:hAnsi="宋体" w:eastAsia="宋体" w:cs="宋体"/>
        </w:rPr>
        <w:br w:type="page"/>
      </w:r>
    </w:p>
    <w:p>
      <w:pPr>
        <w:pStyle w:val="2"/>
        <w:rPr>
          <w:rFonts w:hint="eastAsia" w:ascii="黑体" w:hAnsi="黑体" w:eastAsia="黑体" w:cs="黑体"/>
          <w:b w:val="0"/>
          <w:bCs w:val="0"/>
          <w:sz w:val="28"/>
          <w:szCs w:val="28"/>
        </w:rPr>
      </w:pPr>
      <w:bookmarkStart w:id="156" w:name="_Toc20850"/>
      <w:r>
        <w:rPr>
          <w:rFonts w:hint="eastAsia" w:ascii="黑体" w:hAnsi="黑体" w:eastAsia="黑体" w:cs="黑体"/>
          <w:b w:val="0"/>
          <w:bCs w:val="0"/>
          <w:sz w:val="28"/>
          <w:szCs w:val="28"/>
        </w:rPr>
        <w:t>10  信息化系统</w:t>
      </w:r>
      <w:bookmarkEnd w:id="156"/>
    </w:p>
    <w:p>
      <w:pPr>
        <w:pStyle w:val="3"/>
        <w:snapToGrid w:val="0"/>
        <w:spacing w:beforeLines="50" w:afterLines="50" w:line="360" w:lineRule="auto"/>
        <w:jc w:val="center"/>
        <w:rPr>
          <w:rFonts w:ascii="黑体" w:hAnsi="黑体" w:cs="黑体"/>
          <w:sz w:val="24"/>
          <w:szCs w:val="24"/>
        </w:rPr>
      </w:pPr>
      <w:bookmarkStart w:id="157" w:name="_Toc17835"/>
      <w:r>
        <w:rPr>
          <w:rFonts w:ascii="黑体" w:hAnsi="黑体" w:cs="黑体"/>
          <w:sz w:val="24"/>
          <w:szCs w:val="24"/>
        </w:rPr>
        <w:t>10.1  一般规定</w:t>
      </w:r>
      <w:bookmarkEnd w:id="157"/>
    </w:p>
    <w:p>
      <w:pPr>
        <w:pStyle w:val="6"/>
        <w:spacing w:line="360" w:lineRule="auto"/>
        <w:rPr>
          <w:rFonts w:hint="eastAsia" w:asciiTheme="minorEastAsia" w:hAnsiTheme="minorEastAsia" w:eastAsiaTheme="minorEastAsia" w:cstheme="minorEastAsia"/>
          <w:spacing w:val="20"/>
          <w:position w:val="-2"/>
          <w:sz w:val="21"/>
          <w:szCs w:val="21"/>
        </w:rPr>
      </w:pPr>
      <w:r>
        <w:rPr>
          <w:rFonts w:hint="eastAsia" w:ascii="黑体" w:hAnsi="黑体" w:eastAsia="黑体" w:cs="黑体"/>
          <w:sz w:val="21"/>
          <w:szCs w:val="21"/>
        </w:rPr>
        <w:t xml:space="preserve">10.1.1  </w:t>
      </w:r>
      <w:r>
        <w:rPr>
          <w:rFonts w:hint="eastAsia" w:cs="Times New Roman" w:asciiTheme="minorEastAsia" w:hAnsiTheme="minorEastAsia" w:eastAsiaTheme="minorEastAsia"/>
          <w:sz w:val="21"/>
          <w:szCs w:val="22"/>
        </w:rPr>
        <w:t>信息化系统由感知系统、网络和硬件设施、系统和应用软件、数据资源等部分构成。</w:t>
      </w:r>
    </w:p>
    <w:p>
      <w:pPr>
        <w:pStyle w:val="6"/>
        <w:spacing w:line="360" w:lineRule="auto"/>
        <w:rPr>
          <w:rFonts w:hint="eastAsia" w:cs="Times New Roman" w:asciiTheme="minorEastAsia" w:hAnsiTheme="minorEastAsia" w:eastAsiaTheme="minorEastAsia"/>
          <w:sz w:val="21"/>
          <w:szCs w:val="22"/>
        </w:rPr>
      </w:pPr>
      <w:r>
        <w:rPr>
          <w:rFonts w:ascii="黑体" w:hAnsi="黑体" w:eastAsia="黑体" w:cs="黑体"/>
          <w:sz w:val="21"/>
          <w:szCs w:val="21"/>
        </w:rPr>
        <w:t>10.1.2</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检测对象主要包括水情、雨情、气象以及安全监测等自动监测站点的信息交换，工程运行期监视和控制、调度、预警、决策分析、统计查询、巡检等各类工程业务及支撑系统（平台）。</w:t>
      </w:r>
    </w:p>
    <w:p>
      <w:pPr>
        <w:pStyle w:val="6"/>
        <w:spacing w:line="360" w:lineRule="auto"/>
        <w:rPr>
          <w:rFonts w:hint="eastAsia" w:cs="Times New Roman" w:asciiTheme="minorEastAsia" w:hAnsiTheme="minorEastAsia" w:eastAsiaTheme="minorEastAsia"/>
          <w:sz w:val="21"/>
          <w:szCs w:val="22"/>
        </w:rPr>
      </w:pPr>
      <w:r>
        <w:rPr>
          <w:rFonts w:ascii="黑体" w:hAnsi="黑体" w:eastAsia="黑体" w:cs="黑体"/>
          <w:sz w:val="21"/>
          <w:szCs w:val="21"/>
        </w:rPr>
        <w:t>10.1.3</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全过程检测和抽检时，应编制工程信息化系统专项检测方案，其合格指标和要求应基于设计、合同条款和相关标准。方案编制时应重点涵盖以下内容：</w:t>
      </w:r>
    </w:p>
    <w:p>
      <w:pPr>
        <w:pStyle w:val="6"/>
        <w:spacing w:line="360" w:lineRule="auto"/>
        <w:ind w:left="210" w:leftChars="100" w:firstLine="357" w:firstLineChars="170"/>
        <w:rPr>
          <w:rFonts w:hint="eastAsia" w:cs="Times New Roman" w:asciiTheme="minorEastAsia" w:hAnsiTheme="minorEastAsia" w:eastAsiaTheme="minorEastAsia"/>
          <w:sz w:val="21"/>
          <w:szCs w:val="22"/>
        </w:rPr>
      </w:pPr>
      <w:r>
        <w:rPr>
          <w:rFonts w:ascii="黑体" w:hAnsi="黑体" w:eastAsia="黑体" w:cs="Times New Roman"/>
          <w:sz w:val="21"/>
          <w:szCs w:val="22"/>
        </w:rPr>
        <w:t xml:space="preserve">1 </w:t>
      </w:r>
      <w:r>
        <w:rPr>
          <w:rFonts w:cs="Times New Roman" w:asciiTheme="minorEastAsia" w:hAnsiTheme="minorEastAsia" w:eastAsiaTheme="minorEastAsia"/>
          <w:sz w:val="21"/>
          <w:szCs w:val="22"/>
        </w:rPr>
        <w:t xml:space="preserve"> 信息系统主要建设内容；</w:t>
      </w:r>
    </w:p>
    <w:p>
      <w:pPr>
        <w:pStyle w:val="6"/>
        <w:spacing w:line="360" w:lineRule="auto"/>
        <w:ind w:left="210" w:leftChars="100" w:firstLine="357" w:firstLineChars="170"/>
        <w:rPr>
          <w:rFonts w:hint="eastAsia" w:cs="Times New Roman" w:asciiTheme="minorEastAsia" w:hAnsiTheme="minorEastAsia" w:eastAsiaTheme="minorEastAsia"/>
          <w:sz w:val="21"/>
          <w:szCs w:val="22"/>
        </w:rPr>
      </w:pPr>
      <w:r>
        <w:rPr>
          <w:rFonts w:ascii="黑体" w:hAnsi="黑体" w:eastAsia="黑体" w:cs="Times New Roman"/>
          <w:sz w:val="21"/>
          <w:szCs w:val="22"/>
        </w:rPr>
        <w:t xml:space="preserve">2 </w:t>
      </w:r>
      <w:r>
        <w:rPr>
          <w:rFonts w:cs="Times New Roman" w:asciiTheme="minorEastAsia" w:hAnsiTheme="minorEastAsia" w:eastAsiaTheme="minorEastAsia"/>
          <w:sz w:val="21"/>
          <w:szCs w:val="22"/>
        </w:rPr>
        <w:t xml:space="preserve"> 信息系统开发的约束性要求；</w:t>
      </w:r>
    </w:p>
    <w:p>
      <w:pPr>
        <w:pStyle w:val="6"/>
        <w:spacing w:line="360" w:lineRule="auto"/>
        <w:ind w:left="210" w:leftChars="100" w:firstLine="357" w:firstLineChars="170"/>
        <w:rPr>
          <w:rFonts w:hint="eastAsia" w:cs="Times New Roman" w:asciiTheme="minorEastAsia" w:hAnsiTheme="minorEastAsia" w:eastAsiaTheme="minorEastAsia"/>
          <w:sz w:val="21"/>
          <w:szCs w:val="22"/>
        </w:rPr>
      </w:pPr>
      <w:r>
        <w:rPr>
          <w:rFonts w:ascii="黑体" w:hAnsi="黑体" w:eastAsia="黑体" w:cs="Times New Roman"/>
          <w:sz w:val="21"/>
          <w:szCs w:val="22"/>
        </w:rPr>
        <w:t xml:space="preserve">3 </w:t>
      </w:r>
      <w:r>
        <w:rPr>
          <w:rFonts w:cs="Times New Roman" w:asciiTheme="minorEastAsia" w:hAnsiTheme="minorEastAsia" w:eastAsiaTheme="minorEastAsia"/>
          <w:sz w:val="21"/>
          <w:szCs w:val="22"/>
        </w:rPr>
        <w:t xml:space="preserve"> 信息系统主要功能；</w:t>
      </w:r>
    </w:p>
    <w:p>
      <w:pPr>
        <w:pStyle w:val="6"/>
        <w:spacing w:line="360" w:lineRule="auto"/>
        <w:ind w:left="210" w:leftChars="100" w:firstLine="357" w:firstLineChars="170"/>
        <w:rPr>
          <w:rFonts w:hint="eastAsia" w:cs="Times New Roman" w:asciiTheme="minorEastAsia" w:hAnsiTheme="minorEastAsia" w:eastAsiaTheme="minorEastAsia"/>
          <w:sz w:val="21"/>
          <w:szCs w:val="22"/>
        </w:rPr>
      </w:pPr>
      <w:r>
        <w:rPr>
          <w:rFonts w:ascii="黑体" w:hAnsi="黑体" w:eastAsia="黑体" w:cs="Times New Roman"/>
          <w:sz w:val="21"/>
          <w:szCs w:val="22"/>
        </w:rPr>
        <w:t xml:space="preserve">4 </w:t>
      </w:r>
      <w:r>
        <w:rPr>
          <w:rFonts w:cs="Times New Roman" w:asciiTheme="minorEastAsia" w:hAnsiTheme="minorEastAsia" w:eastAsiaTheme="minorEastAsia"/>
          <w:sz w:val="21"/>
          <w:szCs w:val="22"/>
        </w:rPr>
        <w:t xml:space="preserve"> 系统建设的重点、难点及关键技术。</w:t>
      </w:r>
    </w:p>
    <w:p>
      <w:pPr>
        <w:pStyle w:val="6"/>
        <w:spacing w:line="360" w:lineRule="auto"/>
        <w:rPr>
          <w:rFonts w:hint="eastAsia" w:cs="Times New Roman" w:asciiTheme="minorEastAsia" w:hAnsiTheme="minorEastAsia" w:eastAsiaTheme="minorEastAsia"/>
          <w:sz w:val="21"/>
          <w:szCs w:val="22"/>
        </w:rPr>
      </w:pPr>
      <w:r>
        <w:rPr>
          <w:rFonts w:ascii="黑体" w:hAnsi="黑体" w:eastAsia="黑体" w:cs="黑体"/>
          <w:sz w:val="21"/>
          <w:szCs w:val="21"/>
        </w:rPr>
        <w:t>10.1.4</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信息化系统集成部分应检测各子系统间的互操作性及整体功能是否满足设计要求。</w:t>
      </w:r>
    </w:p>
    <w:p>
      <w:pPr>
        <w:pStyle w:val="6"/>
        <w:spacing w:line="360" w:lineRule="auto"/>
        <w:rPr>
          <w:rFonts w:hint="eastAsia" w:cs="Times New Roman" w:asciiTheme="minorEastAsia" w:hAnsiTheme="minorEastAsia" w:eastAsiaTheme="minorEastAsia"/>
          <w:sz w:val="21"/>
          <w:szCs w:val="22"/>
        </w:rPr>
      </w:pPr>
      <w:r>
        <w:rPr>
          <w:rFonts w:cs="Times New Roman" w:asciiTheme="minorEastAsia" w:hAnsiTheme="minorEastAsia" w:eastAsiaTheme="minorEastAsia"/>
          <w:sz w:val="21"/>
          <w:szCs w:val="22"/>
        </w:rPr>
        <w:t>1</w:t>
      </w:r>
      <w:r>
        <w:rPr>
          <w:rFonts w:ascii="黑体" w:hAnsi="黑体" w:eastAsia="黑体" w:cs="黑体"/>
          <w:sz w:val="21"/>
          <w:szCs w:val="21"/>
        </w:rPr>
        <w:t>0.1.5</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网络类设施、设备及系统的检查，应参照SL</w:t>
      </w:r>
      <w:r>
        <w:rPr>
          <w:rFonts w:hint="eastAsia" w:cs="Times New Roman" w:asciiTheme="minorEastAsia" w:hAnsiTheme="minorEastAsia" w:eastAsiaTheme="minorEastAsia"/>
          <w:sz w:val="21"/>
          <w:szCs w:val="22"/>
        </w:rPr>
        <w:t xml:space="preserve"> </w:t>
      </w:r>
      <w:r>
        <w:rPr>
          <w:rFonts w:cs="Times New Roman" w:asciiTheme="minorEastAsia" w:hAnsiTheme="minorEastAsia" w:eastAsiaTheme="minorEastAsia"/>
          <w:sz w:val="21"/>
          <w:szCs w:val="22"/>
        </w:rPr>
        <w:t>434执行。</w:t>
      </w:r>
    </w:p>
    <w:p>
      <w:pPr>
        <w:pStyle w:val="6"/>
        <w:spacing w:line="360" w:lineRule="auto"/>
        <w:rPr>
          <w:rFonts w:hint="eastAsia" w:cs="Times New Roman" w:asciiTheme="minorEastAsia" w:hAnsiTheme="minorEastAsia" w:eastAsiaTheme="minorEastAsia"/>
          <w:sz w:val="21"/>
          <w:szCs w:val="22"/>
        </w:rPr>
      </w:pPr>
      <w:r>
        <w:rPr>
          <w:rFonts w:ascii="黑体" w:hAnsi="黑体" w:eastAsia="黑体" w:cs="黑体"/>
          <w:sz w:val="21"/>
          <w:szCs w:val="21"/>
        </w:rPr>
        <w:t>10.1.6</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信息化系统中涉密部分的检测，需按国家保密法规和标准执行，通过涉密检测后方可进行后续验收。</w:t>
      </w:r>
    </w:p>
    <w:p>
      <w:pPr>
        <w:pStyle w:val="6"/>
        <w:spacing w:line="360" w:lineRule="auto"/>
        <w:rPr>
          <w:rFonts w:hint="eastAsia" w:cs="Times New Roman" w:asciiTheme="minorEastAsia" w:hAnsiTheme="minorEastAsia" w:eastAsiaTheme="minorEastAsia"/>
          <w:sz w:val="21"/>
          <w:szCs w:val="22"/>
        </w:rPr>
      </w:pPr>
      <w:r>
        <w:rPr>
          <w:rFonts w:ascii="黑体" w:hAnsi="黑体" w:eastAsia="黑体" w:cs="黑体"/>
          <w:sz w:val="21"/>
          <w:szCs w:val="21"/>
        </w:rPr>
        <w:t>10.1.7</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信息化系统的关键性功能、性能和安全指标的确认测试以及等级保护测评，应由行政部门认可的第三方机构实施。</w:t>
      </w:r>
    </w:p>
    <w:p>
      <w:pPr>
        <w:pStyle w:val="6"/>
        <w:spacing w:line="360" w:lineRule="auto"/>
        <w:rPr>
          <w:rFonts w:hint="eastAsia" w:asciiTheme="minorEastAsia" w:hAnsiTheme="minorEastAsia" w:eastAsiaTheme="minorEastAsia" w:cstheme="minorEastAsia"/>
          <w:spacing w:val="20"/>
          <w:position w:val="-2"/>
          <w:sz w:val="21"/>
          <w:szCs w:val="21"/>
        </w:rPr>
      </w:pPr>
    </w:p>
    <w:p>
      <w:pPr>
        <w:pStyle w:val="3"/>
        <w:snapToGrid w:val="0"/>
        <w:spacing w:beforeLines="50" w:afterLines="50" w:line="360" w:lineRule="auto"/>
        <w:jc w:val="center"/>
        <w:rPr>
          <w:rFonts w:asciiTheme="minorEastAsia" w:hAnsiTheme="minorEastAsia" w:eastAsiaTheme="minorEastAsia" w:cstheme="minorEastAsia"/>
          <w:spacing w:val="22"/>
          <w:position w:val="-2"/>
          <w:szCs w:val="21"/>
        </w:rPr>
      </w:pPr>
      <w:bookmarkStart w:id="158" w:name="_Toc112"/>
      <w:r>
        <w:rPr>
          <w:rFonts w:ascii="黑体" w:hAnsi="黑体" w:cs="黑体"/>
          <w:sz w:val="24"/>
          <w:szCs w:val="24"/>
        </w:rPr>
        <w:t>10.2  感知系统</w:t>
      </w:r>
      <w:bookmarkEnd w:id="158"/>
    </w:p>
    <w:p>
      <w:pPr>
        <w:pStyle w:val="6"/>
        <w:spacing w:line="360" w:lineRule="auto"/>
        <w:rPr>
          <w:rFonts w:hint="eastAsia" w:cs="Times New Roman" w:asciiTheme="minorEastAsia" w:hAnsiTheme="minorEastAsia" w:eastAsiaTheme="minorEastAsia"/>
          <w:sz w:val="21"/>
          <w:szCs w:val="22"/>
        </w:rPr>
      </w:pPr>
      <w:r>
        <w:rPr>
          <w:rFonts w:ascii="黑体" w:hAnsi="黑体" w:eastAsia="黑体" w:cs="黑体"/>
          <w:sz w:val="21"/>
          <w:szCs w:val="21"/>
        </w:rPr>
        <w:t xml:space="preserve">10.2.1 </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检测项目宜包括采集功能、设备防护、系统性能等。</w:t>
      </w:r>
    </w:p>
    <w:p>
      <w:pPr>
        <w:pStyle w:val="6"/>
        <w:spacing w:line="360" w:lineRule="auto"/>
        <w:rPr>
          <w:rFonts w:hint="eastAsia" w:ascii="黑体" w:hAnsi="黑体" w:eastAsia="黑体" w:cs="黑体"/>
          <w:sz w:val="21"/>
          <w:szCs w:val="21"/>
        </w:rPr>
      </w:pPr>
      <w:r>
        <w:rPr>
          <w:rFonts w:ascii="黑体" w:hAnsi="黑体" w:eastAsia="黑体" w:cs="黑体"/>
          <w:sz w:val="21"/>
          <w:szCs w:val="21"/>
        </w:rPr>
        <w:t xml:space="preserve">10.2.2 </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由独立自动化采集装置和软件组成的感知系统应作为一个检测单元。</w:t>
      </w:r>
    </w:p>
    <w:p>
      <w:pPr>
        <w:pStyle w:val="6"/>
        <w:spacing w:line="360" w:lineRule="auto"/>
        <w:rPr>
          <w:rFonts w:hint="eastAsia" w:cs="Times New Roman" w:asciiTheme="minorEastAsia" w:hAnsiTheme="minorEastAsia" w:eastAsiaTheme="minorEastAsia"/>
          <w:sz w:val="21"/>
          <w:szCs w:val="22"/>
        </w:rPr>
      </w:pPr>
      <w:r>
        <w:rPr>
          <w:rFonts w:ascii="黑体" w:hAnsi="黑体" w:eastAsia="黑体" w:cs="黑体"/>
          <w:sz w:val="21"/>
          <w:szCs w:val="21"/>
        </w:rPr>
        <w:t xml:space="preserve">10.2.3 </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检测方法应符合下列要求</w:t>
      </w:r>
      <w:r>
        <w:rPr>
          <w:rFonts w:hint="eastAsia" w:cs="Times New Roman" w:asciiTheme="minorEastAsia" w:hAnsiTheme="minorEastAsia" w:eastAsiaTheme="minorEastAsia"/>
          <w:sz w:val="21"/>
          <w:szCs w:val="22"/>
        </w:rPr>
        <w:t>：</w:t>
      </w:r>
    </w:p>
    <w:p>
      <w:pPr>
        <w:pStyle w:val="6"/>
        <w:spacing w:line="360" w:lineRule="auto"/>
        <w:ind w:firstLine="567" w:firstLineChars="270"/>
        <w:rPr>
          <w:rFonts w:hint="eastAsia" w:cs="Times New Roman" w:asciiTheme="minorEastAsia" w:hAnsiTheme="minorEastAsia" w:eastAsiaTheme="minorEastAsia"/>
          <w:sz w:val="21"/>
          <w:szCs w:val="22"/>
        </w:rPr>
      </w:pPr>
      <w:r>
        <w:rPr>
          <w:rFonts w:hint="eastAsia" w:ascii="黑体" w:hAnsi="黑体" w:eastAsia="黑体" w:cs="黑体"/>
          <w:sz w:val="21"/>
          <w:szCs w:val="21"/>
        </w:rPr>
        <w:t>1</w:t>
      </w:r>
      <w:r>
        <w:rPr>
          <w:rFonts w:hint="eastAsia" w:asciiTheme="minorEastAsia" w:hAnsiTheme="minorEastAsia" w:eastAsiaTheme="minorEastAsia" w:cstheme="minorEastAsia"/>
          <w:spacing w:val="22"/>
          <w:position w:val="-2"/>
          <w:sz w:val="21"/>
          <w:szCs w:val="21"/>
        </w:rPr>
        <w:t xml:space="preserve"> </w:t>
      </w:r>
      <w:r>
        <w:rPr>
          <w:rFonts w:hint="eastAsia" w:cs="Times New Roman" w:asciiTheme="minorEastAsia" w:hAnsiTheme="minorEastAsia" w:eastAsiaTheme="minorEastAsia"/>
          <w:sz w:val="21"/>
          <w:szCs w:val="22"/>
        </w:rPr>
        <w:t>采集功能：测试自动巡测、人工选测、远程采集等。</w:t>
      </w:r>
    </w:p>
    <w:p>
      <w:pPr>
        <w:pStyle w:val="6"/>
        <w:spacing w:line="360" w:lineRule="auto"/>
        <w:ind w:firstLine="567" w:firstLineChars="270"/>
        <w:rPr>
          <w:rFonts w:hint="eastAsia" w:cs="Times New Roman" w:asciiTheme="minorEastAsia" w:hAnsiTheme="minorEastAsia" w:eastAsiaTheme="minorEastAsia"/>
          <w:sz w:val="21"/>
          <w:szCs w:val="22"/>
        </w:rPr>
      </w:pPr>
      <w:r>
        <w:rPr>
          <w:rFonts w:hint="eastAsia" w:ascii="黑体" w:hAnsi="黑体" w:eastAsia="黑体" w:cs="黑体"/>
          <w:sz w:val="21"/>
          <w:szCs w:val="21"/>
        </w:rPr>
        <w:t>2</w:t>
      </w:r>
      <w:r>
        <w:rPr>
          <w:rFonts w:hint="eastAsia" w:ascii="黑体" w:hAnsi="黑体" w:eastAsia="黑体" w:cs="黑体"/>
          <w:spacing w:val="20"/>
          <w:position w:val="-2"/>
          <w:sz w:val="21"/>
          <w:szCs w:val="21"/>
        </w:rPr>
        <w:t xml:space="preserve"> </w:t>
      </w:r>
      <w:r>
        <w:rPr>
          <w:rFonts w:hint="eastAsia" w:cs="Times New Roman" w:asciiTheme="minorEastAsia" w:hAnsiTheme="minorEastAsia" w:eastAsiaTheme="minorEastAsia"/>
          <w:sz w:val="21"/>
          <w:szCs w:val="22"/>
        </w:rPr>
        <w:t>设备防护：检查防雷、防潮、防锈、抗振、抗电磁干扰、数据掉电保护等。</w:t>
      </w:r>
    </w:p>
    <w:p>
      <w:pPr>
        <w:pStyle w:val="6"/>
        <w:spacing w:line="360" w:lineRule="auto"/>
        <w:ind w:firstLine="567" w:firstLineChars="270"/>
        <w:rPr>
          <w:rFonts w:hint="eastAsia" w:cs="Times New Roman" w:asciiTheme="minorEastAsia" w:hAnsiTheme="minorEastAsia" w:eastAsiaTheme="minorEastAsia"/>
          <w:sz w:val="21"/>
          <w:szCs w:val="22"/>
        </w:rPr>
      </w:pPr>
      <w:r>
        <w:rPr>
          <w:rFonts w:hint="eastAsia" w:ascii="黑体" w:hAnsi="黑体" w:eastAsia="黑体" w:cs="黑体"/>
          <w:sz w:val="21"/>
          <w:szCs w:val="21"/>
        </w:rPr>
        <w:t>3</w:t>
      </w:r>
      <w:r>
        <w:rPr>
          <w:rFonts w:hint="eastAsia" w:asciiTheme="minorEastAsia" w:hAnsiTheme="minorEastAsia" w:eastAsiaTheme="minorEastAsia" w:cstheme="minorEastAsia"/>
          <w:spacing w:val="15"/>
          <w:sz w:val="21"/>
          <w:szCs w:val="21"/>
        </w:rPr>
        <w:t xml:space="preserve"> </w:t>
      </w:r>
      <w:r>
        <w:rPr>
          <w:rFonts w:hint="eastAsia" w:cs="Times New Roman" w:asciiTheme="minorEastAsia" w:hAnsiTheme="minorEastAsia" w:eastAsiaTheme="minorEastAsia"/>
          <w:sz w:val="21"/>
          <w:szCs w:val="22"/>
        </w:rPr>
        <w:t>系统性能：计算有效数据缺失率、年平均无故障工作时间、平均维修时间等。</w:t>
      </w:r>
    </w:p>
    <w:p>
      <w:pPr>
        <w:pStyle w:val="6"/>
        <w:spacing w:line="360" w:lineRule="auto"/>
        <w:rPr>
          <w:rFonts w:hint="eastAsia" w:cs="Times New Roman" w:asciiTheme="minorEastAsia" w:hAnsiTheme="minorEastAsia" w:eastAsiaTheme="minorEastAsia"/>
          <w:sz w:val="21"/>
          <w:szCs w:val="22"/>
        </w:rPr>
      </w:pPr>
      <w:r>
        <w:rPr>
          <w:rFonts w:ascii="黑体" w:hAnsi="黑体" w:eastAsia="黑体" w:cs="黑体"/>
          <w:sz w:val="21"/>
          <w:szCs w:val="21"/>
        </w:rPr>
        <w:t xml:space="preserve">10.2.4 </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检测数量应符合下列要求</w:t>
      </w:r>
      <w:r>
        <w:rPr>
          <w:rFonts w:hint="eastAsia" w:cs="Times New Roman" w:asciiTheme="minorEastAsia" w:hAnsiTheme="minorEastAsia" w:eastAsiaTheme="minorEastAsia"/>
          <w:sz w:val="21"/>
          <w:szCs w:val="22"/>
        </w:rPr>
        <w:t>：</w:t>
      </w:r>
    </w:p>
    <w:p>
      <w:pPr>
        <w:pStyle w:val="6"/>
        <w:spacing w:line="360" w:lineRule="auto"/>
        <w:ind w:firstLine="567" w:firstLineChars="270"/>
        <w:rPr>
          <w:rFonts w:hint="eastAsia" w:ascii="黑体" w:hAnsi="黑体" w:eastAsia="黑体" w:cs="黑体"/>
          <w:sz w:val="21"/>
          <w:szCs w:val="21"/>
        </w:rPr>
      </w:pPr>
      <w:r>
        <w:rPr>
          <w:rFonts w:ascii="黑体" w:hAnsi="黑体" w:eastAsia="黑体" w:cs="黑体"/>
          <w:sz w:val="21"/>
          <w:szCs w:val="21"/>
        </w:rPr>
        <w:t xml:space="preserve">1 </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采集功能：全面自动巡测</w:t>
      </w:r>
      <w:r>
        <w:rPr>
          <w:rFonts w:hint="eastAsia" w:cs="Times New Roman" w:asciiTheme="minorEastAsia" w:hAnsiTheme="minorEastAsia" w:eastAsiaTheme="minorEastAsia"/>
          <w:sz w:val="21"/>
          <w:szCs w:val="22"/>
        </w:rPr>
        <w:t>，</w:t>
      </w:r>
      <w:r>
        <w:rPr>
          <w:rFonts w:cs="Times New Roman" w:asciiTheme="minorEastAsia" w:hAnsiTheme="minorEastAsia" w:eastAsiaTheme="minorEastAsia"/>
          <w:sz w:val="21"/>
          <w:szCs w:val="22"/>
        </w:rPr>
        <w:t>每一独立的采集模块选取一个人工选测和远程采集。</w:t>
      </w:r>
    </w:p>
    <w:p>
      <w:pPr>
        <w:pStyle w:val="6"/>
        <w:spacing w:line="360" w:lineRule="auto"/>
        <w:ind w:firstLine="567" w:firstLineChars="270"/>
        <w:rPr>
          <w:rFonts w:hint="eastAsia" w:ascii="黑体" w:hAnsi="黑体" w:eastAsia="黑体" w:cs="黑体"/>
          <w:sz w:val="21"/>
          <w:szCs w:val="21"/>
        </w:rPr>
      </w:pPr>
      <w:r>
        <w:rPr>
          <w:rFonts w:ascii="黑体" w:hAnsi="黑体" w:eastAsia="黑体" w:cs="黑体"/>
          <w:sz w:val="21"/>
          <w:szCs w:val="21"/>
        </w:rPr>
        <w:t xml:space="preserve">2 </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设备防护：抽样20%的监测设施进行防护检查。</w:t>
      </w:r>
    </w:p>
    <w:p>
      <w:pPr>
        <w:pStyle w:val="6"/>
        <w:spacing w:line="360" w:lineRule="auto"/>
        <w:ind w:firstLine="567" w:firstLineChars="270"/>
        <w:rPr>
          <w:rFonts w:hint="eastAsia" w:cs="Times New Roman" w:asciiTheme="minorEastAsia" w:hAnsiTheme="minorEastAsia" w:eastAsiaTheme="minorEastAsia"/>
          <w:sz w:val="21"/>
          <w:szCs w:val="22"/>
        </w:rPr>
      </w:pPr>
      <w:r>
        <w:rPr>
          <w:rFonts w:ascii="黑体" w:hAnsi="黑体" w:eastAsia="黑体" w:cs="黑体"/>
          <w:sz w:val="21"/>
          <w:szCs w:val="21"/>
        </w:rPr>
        <w:t xml:space="preserve">3 </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系统性能：全面计算有效数据缺失率、年平均无故障工作时间、平均维修时间。</w:t>
      </w:r>
    </w:p>
    <w:p>
      <w:pPr>
        <w:pStyle w:val="6"/>
        <w:spacing w:line="360" w:lineRule="auto"/>
        <w:rPr>
          <w:rFonts w:hint="eastAsia" w:cs="Times New Roman" w:asciiTheme="minorEastAsia" w:hAnsiTheme="minorEastAsia" w:eastAsiaTheme="minorEastAsia"/>
          <w:sz w:val="21"/>
          <w:szCs w:val="22"/>
        </w:rPr>
      </w:pPr>
      <w:r>
        <w:rPr>
          <w:rFonts w:ascii="黑体" w:hAnsi="黑体" w:eastAsia="黑体" w:cs="黑体"/>
          <w:sz w:val="21"/>
          <w:szCs w:val="21"/>
        </w:rPr>
        <w:t xml:space="preserve">10.2.5 </w:t>
      </w:r>
      <w:r>
        <w:rPr>
          <w:rFonts w:hint="eastAsia" w:ascii="黑体" w:hAnsi="黑体" w:eastAsia="黑体" w:cs="黑体"/>
          <w:sz w:val="21"/>
          <w:szCs w:val="21"/>
        </w:rPr>
        <w:t xml:space="preserve"> </w:t>
      </w:r>
      <w:r>
        <w:rPr>
          <w:rFonts w:hint="eastAsia" w:cs="Times New Roman" w:asciiTheme="minorEastAsia" w:hAnsiTheme="minorEastAsia" w:eastAsiaTheme="minorEastAsia"/>
          <w:sz w:val="21"/>
          <w:szCs w:val="22"/>
        </w:rPr>
        <w:t>检测项目满足下列要求的，质量检测结果评价为合格：</w:t>
      </w:r>
    </w:p>
    <w:p>
      <w:pPr>
        <w:pStyle w:val="6"/>
        <w:spacing w:line="360" w:lineRule="auto"/>
        <w:ind w:firstLine="567" w:firstLineChars="270"/>
        <w:rPr>
          <w:rFonts w:hint="eastAsia" w:ascii="黑体" w:hAnsi="黑体" w:eastAsia="黑体" w:cs="黑体"/>
          <w:sz w:val="21"/>
          <w:szCs w:val="21"/>
        </w:rPr>
      </w:pPr>
      <w:r>
        <w:rPr>
          <w:rFonts w:ascii="黑体" w:hAnsi="黑体" w:eastAsia="黑体" w:cs="黑体"/>
          <w:sz w:val="21"/>
          <w:szCs w:val="21"/>
        </w:rPr>
        <w:t xml:space="preserve">1 </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采集功能：自动巡测正常测值率≥95%，人工选测和远程采集正常测值率≥90%。</w:t>
      </w:r>
    </w:p>
    <w:p>
      <w:pPr>
        <w:pStyle w:val="6"/>
        <w:spacing w:line="360" w:lineRule="auto"/>
        <w:ind w:firstLine="420" w:firstLineChars="200"/>
        <w:rPr>
          <w:rFonts w:hint="eastAsia" w:asciiTheme="minorEastAsia" w:hAnsiTheme="minorEastAsia" w:eastAsiaTheme="minorEastAsia" w:cstheme="minorEastAsia"/>
          <w:spacing w:val="22"/>
          <w:position w:val="-2"/>
          <w:sz w:val="21"/>
          <w:szCs w:val="21"/>
        </w:rPr>
      </w:pPr>
      <w:r>
        <w:rPr>
          <w:rFonts w:ascii="黑体" w:hAnsi="黑体" w:eastAsia="黑体" w:cs="黑体"/>
          <w:sz w:val="21"/>
          <w:szCs w:val="21"/>
        </w:rPr>
        <w:t xml:space="preserve">2 </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设备防护和系统性能：均满足设计和技术标准要求。</w:t>
      </w:r>
    </w:p>
    <w:p>
      <w:pPr>
        <w:pStyle w:val="3"/>
        <w:snapToGrid w:val="0"/>
        <w:spacing w:beforeLines="50" w:afterLines="50" w:line="360" w:lineRule="auto"/>
        <w:jc w:val="center"/>
        <w:rPr>
          <w:rFonts w:asciiTheme="minorEastAsia" w:hAnsiTheme="minorEastAsia" w:eastAsiaTheme="minorEastAsia" w:cstheme="minorEastAsia"/>
          <w:spacing w:val="22"/>
          <w:position w:val="-2"/>
          <w:szCs w:val="21"/>
        </w:rPr>
      </w:pPr>
      <w:bookmarkStart w:id="159" w:name="_Toc12868"/>
      <w:r>
        <w:rPr>
          <w:rFonts w:ascii="黑体" w:hAnsi="黑体" w:cs="黑体"/>
          <w:kern w:val="2"/>
          <w:sz w:val="24"/>
          <w:szCs w:val="24"/>
        </w:rPr>
        <w:t xml:space="preserve">10.3 </w:t>
      </w:r>
      <w:r>
        <w:rPr>
          <w:rFonts w:ascii="黑体" w:hAnsi="黑体" w:cs="黑体"/>
          <w:sz w:val="24"/>
          <w:szCs w:val="24"/>
        </w:rPr>
        <w:t xml:space="preserve"> 系统和应用软件</w:t>
      </w:r>
      <w:bookmarkEnd w:id="159"/>
    </w:p>
    <w:p>
      <w:pPr>
        <w:spacing w:line="360" w:lineRule="auto"/>
        <w:rPr>
          <w:rFonts w:hint="eastAsia" w:cs="Times New Roman" w:asciiTheme="minorEastAsia" w:hAnsiTheme="minorEastAsia"/>
        </w:rPr>
      </w:pPr>
      <w:r>
        <w:rPr>
          <w:rFonts w:hint="eastAsia" w:ascii="黑体" w:hAnsi="黑体" w:eastAsia="黑体" w:cs="黑体"/>
          <w:szCs w:val="21"/>
        </w:rPr>
        <w:t>10.3.1</w:t>
      </w:r>
      <w:r>
        <w:rPr>
          <w:rFonts w:hint="eastAsia" w:asciiTheme="minorEastAsia" w:hAnsiTheme="minorEastAsia" w:cstheme="minorEastAsia"/>
          <w:spacing w:val="22"/>
          <w:position w:val="-2"/>
          <w:szCs w:val="21"/>
        </w:rPr>
        <w:t xml:space="preserve"> </w:t>
      </w:r>
      <w:r>
        <w:rPr>
          <w:rFonts w:hint="eastAsia" w:cs="Times New Roman" w:asciiTheme="minorEastAsia" w:hAnsiTheme="minorEastAsia"/>
        </w:rPr>
        <w:t>检测项目宜包括系统软件、工具软件、业务软件功能及性能等。</w:t>
      </w:r>
    </w:p>
    <w:p>
      <w:pPr>
        <w:pStyle w:val="6"/>
        <w:spacing w:before="37" w:line="360" w:lineRule="auto"/>
        <w:ind w:left="2" w:right="50"/>
        <w:rPr>
          <w:rFonts w:hint="eastAsia" w:asciiTheme="minorEastAsia" w:hAnsiTheme="minorEastAsia" w:eastAsiaTheme="minorEastAsia" w:cstheme="minorEastAsia"/>
          <w:spacing w:val="22"/>
          <w:position w:val="-2"/>
          <w:sz w:val="21"/>
          <w:szCs w:val="21"/>
        </w:rPr>
      </w:pPr>
      <w:r>
        <w:rPr>
          <w:rFonts w:hint="eastAsia" w:ascii="黑体" w:hAnsi="黑体" w:eastAsia="黑体" w:cs="黑体"/>
          <w:sz w:val="21"/>
          <w:szCs w:val="21"/>
        </w:rPr>
        <w:t>10.3.2</w:t>
      </w:r>
      <w:r>
        <w:rPr>
          <w:rFonts w:hint="eastAsia" w:asciiTheme="minorEastAsia" w:hAnsiTheme="minorEastAsia" w:eastAsiaTheme="minorEastAsia" w:cstheme="minorEastAsia"/>
          <w:spacing w:val="22"/>
          <w:position w:val="-2"/>
          <w:sz w:val="21"/>
          <w:szCs w:val="21"/>
        </w:rPr>
        <w:t xml:space="preserve"> </w:t>
      </w:r>
      <w:r>
        <w:rPr>
          <w:rFonts w:hint="eastAsia" w:cs="Times New Roman" w:asciiTheme="minorEastAsia" w:hAnsiTheme="minorEastAsia" w:eastAsiaTheme="minorEastAsia"/>
          <w:sz w:val="21"/>
          <w:szCs w:val="22"/>
        </w:rPr>
        <w:t>由单独的数据库组成的信息化系统所涉及的系统软件、工具软件和业务应用软件应作为一个检测单元。</w:t>
      </w:r>
    </w:p>
    <w:p>
      <w:pPr>
        <w:pStyle w:val="6"/>
        <w:spacing w:before="37" w:line="360" w:lineRule="auto"/>
        <w:ind w:right="50"/>
        <w:rPr>
          <w:rFonts w:hint="eastAsia" w:cs="Times New Roman" w:asciiTheme="minorEastAsia" w:hAnsiTheme="minorEastAsia" w:eastAsiaTheme="minorEastAsia"/>
          <w:sz w:val="21"/>
          <w:szCs w:val="22"/>
        </w:rPr>
      </w:pPr>
      <w:r>
        <w:rPr>
          <w:rFonts w:hint="eastAsia" w:ascii="黑体" w:hAnsi="黑体" w:eastAsia="黑体" w:cs="黑体"/>
          <w:sz w:val="21"/>
          <w:szCs w:val="21"/>
        </w:rPr>
        <w:t>10.3.3</w:t>
      </w:r>
      <w:r>
        <w:rPr>
          <w:rFonts w:hint="eastAsia" w:asciiTheme="minorEastAsia" w:hAnsiTheme="minorEastAsia" w:eastAsiaTheme="minorEastAsia" w:cstheme="minorEastAsia"/>
          <w:spacing w:val="22"/>
          <w:position w:val="-2"/>
          <w:sz w:val="21"/>
          <w:szCs w:val="21"/>
        </w:rPr>
        <w:t xml:space="preserve"> </w:t>
      </w:r>
      <w:r>
        <w:rPr>
          <w:rFonts w:hint="eastAsia" w:cs="Times New Roman" w:asciiTheme="minorEastAsia" w:hAnsiTheme="minorEastAsia" w:eastAsiaTheme="minorEastAsia"/>
          <w:sz w:val="21"/>
          <w:szCs w:val="22"/>
        </w:rPr>
        <w:t>检测方法应符合下列要求：</w:t>
      </w:r>
    </w:p>
    <w:p>
      <w:pPr>
        <w:pStyle w:val="6"/>
        <w:spacing w:line="360" w:lineRule="auto"/>
        <w:ind w:firstLine="567" w:firstLineChars="270"/>
        <w:rPr>
          <w:rFonts w:hint="eastAsia" w:asciiTheme="minorEastAsia" w:hAnsiTheme="minorEastAsia" w:eastAsiaTheme="minorEastAsia" w:cstheme="minorEastAsia"/>
          <w:spacing w:val="22"/>
          <w:position w:val="-2"/>
          <w:sz w:val="21"/>
          <w:szCs w:val="21"/>
        </w:rPr>
      </w:pPr>
      <w:r>
        <w:rPr>
          <w:rFonts w:hint="eastAsia" w:ascii="黑体" w:hAnsi="黑体" w:eastAsia="黑体" w:cs="黑体"/>
          <w:sz w:val="21"/>
          <w:szCs w:val="21"/>
        </w:rPr>
        <w:t>1</w:t>
      </w:r>
      <w:r>
        <w:rPr>
          <w:rFonts w:hint="eastAsia" w:cs="Times New Roman" w:asciiTheme="minorEastAsia" w:hAnsiTheme="minorEastAsia" w:eastAsiaTheme="minorEastAsia"/>
          <w:sz w:val="21"/>
          <w:szCs w:val="22"/>
        </w:rPr>
        <w:t xml:space="preserve">  系统软件：检查技术参数和版本，测试主要技术参数。</w:t>
      </w:r>
    </w:p>
    <w:p>
      <w:pPr>
        <w:pStyle w:val="6"/>
        <w:spacing w:line="360" w:lineRule="auto"/>
        <w:ind w:firstLine="567" w:firstLineChars="270"/>
        <w:rPr>
          <w:rFonts w:hint="eastAsia" w:cs="Times New Roman" w:asciiTheme="minorEastAsia" w:hAnsiTheme="minorEastAsia" w:eastAsiaTheme="minorEastAsia"/>
          <w:sz w:val="21"/>
          <w:szCs w:val="22"/>
        </w:rPr>
      </w:pPr>
      <w:r>
        <w:rPr>
          <w:rFonts w:hint="eastAsia" w:ascii="黑体" w:hAnsi="黑体" w:eastAsia="黑体" w:cs="黑体"/>
          <w:sz w:val="21"/>
          <w:szCs w:val="21"/>
        </w:rPr>
        <w:t>2</w:t>
      </w:r>
      <w:r>
        <w:rPr>
          <w:rFonts w:hint="eastAsia" w:asciiTheme="minorEastAsia" w:hAnsiTheme="minorEastAsia" w:eastAsiaTheme="minorEastAsia" w:cstheme="minorEastAsia"/>
          <w:spacing w:val="22"/>
          <w:position w:val="-2"/>
          <w:sz w:val="21"/>
          <w:szCs w:val="21"/>
        </w:rPr>
        <w:t xml:space="preserve">  </w:t>
      </w:r>
      <w:r>
        <w:rPr>
          <w:rFonts w:hint="eastAsia" w:cs="Times New Roman" w:asciiTheme="minorEastAsia" w:hAnsiTheme="minorEastAsia" w:eastAsiaTheme="minorEastAsia"/>
          <w:sz w:val="21"/>
          <w:szCs w:val="22"/>
        </w:rPr>
        <w:t>工具软件：检查工具软件的清单和应用。</w:t>
      </w:r>
    </w:p>
    <w:p>
      <w:pPr>
        <w:pStyle w:val="6"/>
        <w:spacing w:line="360" w:lineRule="auto"/>
        <w:ind w:firstLine="567" w:firstLineChars="270"/>
        <w:rPr>
          <w:rFonts w:hint="eastAsia" w:asciiTheme="minorEastAsia" w:hAnsiTheme="minorEastAsia" w:eastAsiaTheme="minorEastAsia" w:cstheme="minorEastAsia"/>
          <w:spacing w:val="22"/>
          <w:position w:val="-2"/>
          <w:sz w:val="21"/>
          <w:szCs w:val="21"/>
        </w:rPr>
      </w:pPr>
      <w:r>
        <w:rPr>
          <w:rFonts w:hint="eastAsia" w:ascii="黑体" w:hAnsi="黑体" w:eastAsia="黑体" w:cs="黑体"/>
          <w:sz w:val="21"/>
          <w:szCs w:val="21"/>
        </w:rPr>
        <w:t>3</w:t>
      </w:r>
      <w:r>
        <w:rPr>
          <w:rFonts w:hint="eastAsia" w:asciiTheme="minorEastAsia" w:hAnsiTheme="minorEastAsia" w:eastAsiaTheme="minorEastAsia" w:cstheme="minorEastAsia"/>
          <w:spacing w:val="22"/>
          <w:position w:val="-2"/>
          <w:sz w:val="21"/>
          <w:szCs w:val="21"/>
        </w:rPr>
        <w:t xml:space="preserve">  </w:t>
      </w:r>
      <w:r>
        <w:rPr>
          <w:rFonts w:hint="eastAsia" w:cs="Times New Roman" w:asciiTheme="minorEastAsia" w:hAnsiTheme="minorEastAsia" w:eastAsiaTheme="minorEastAsia"/>
          <w:sz w:val="21"/>
          <w:szCs w:val="22"/>
        </w:rPr>
        <w:t>业务软件功能：验证需求规格说明中的功能。</w:t>
      </w:r>
    </w:p>
    <w:p>
      <w:pPr>
        <w:pStyle w:val="6"/>
        <w:spacing w:line="360" w:lineRule="auto"/>
        <w:ind w:firstLine="567" w:firstLineChars="270"/>
        <w:rPr>
          <w:rFonts w:hint="eastAsia" w:cs="Times New Roman" w:asciiTheme="minorEastAsia" w:hAnsiTheme="minorEastAsia" w:eastAsiaTheme="minorEastAsia"/>
          <w:sz w:val="21"/>
          <w:szCs w:val="22"/>
        </w:rPr>
      </w:pPr>
      <w:r>
        <w:rPr>
          <w:rFonts w:hint="eastAsia" w:ascii="黑体" w:hAnsi="黑体" w:eastAsia="黑体" w:cs="黑体"/>
          <w:sz w:val="21"/>
          <w:szCs w:val="21"/>
        </w:rPr>
        <w:t>4</w:t>
      </w:r>
      <w:r>
        <w:rPr>
          <w:rFonts w:hint="eastAsia" w:asciiTheme="minorEastAsia" w:hAnsiTheme="minorEastAsia" w:eastAsiaTheme="minorEastAsia" w:cstheme="minorEastAsia"/>
          <w:spacing w:val="22"/>
          <w:position w:val="-2"/>
          <w:sz w:val="21"/>
          <w:szCs w:val="21"/>
        </w:rPr>
        <w:t xml:space="preserve">  </w:t>
      </w:r>
      <w:r>
        <w:rPr>
          <w:rFonts w:hint="eastAsia" w:cs="Times New Roman" w:asciiTheme="minorEastAsia" w:hAnsiTheme="minorEastAsia" w:eastAsiaTheme="minorEastAsia"/>
          <w:sz w:val="21"/>
          <w:szCs w:val="22"/>
        </w:rPr>
        <w:t>业务软件性能：验证设计要求的性能指标，宜包括响应速度、稳定性、容错性。</w:t>
      </w:r>
    </w:p>
    <w:p>
      <w:pPr>
        <w:pStyle w:val="6"/>
        <w:spacing w:before="37" w:line="360" w:lineRule="auto"/>
        <w:ind w:right="50"/>
        <w:rPr>
          <w:rFonts w:hint="eastAsia" w:cs="Times New Roman" w:asciiTheme="minorEastAsia" w:hAnsiTheme="minorEastAsia" w:eastAsiaTheme="minorEastAsia"/>
          <w:sz w:val="21"/>
          <w:szCs w:val="22"/>
        </w:rPr>
      </w:pPr>
      <w:r>
        <w:rPr>
          <w:rFonts w:ascii="黑体" w:hAnsi="黑体" w:eastAsia="黑体" w:cs="黑体"/>
          <w:sz w:val="21"/>
          <w:szCs w:val="21"/>
        </w:rPr>
        <w:t xml:space="preserve">10.3.4 </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检测数量应符合下列要求</w:t>
      </w:r>
      <w:r>
        <w:rPr>
          <w:rFonts w:hint="eastAsia" w:cs="Times New Roman" w:asciiTheme="minorEastAsia" w:hAnsiTheme="minorEastAsia" w:eastAsiaTheme="minorEastAsia"/>
          <w:sz w:val="21"/>
          <w:szCs w:val="22"/>
        </w:rPr>
        <w:t>：</w:t>
      </w:r>
    </w:p>
    <w:p>
      <w:pPr>
        <w:pStyle w:val="6"/>
        <w:spacing w:line="360" w:lineRule="auto"/>
        <w:ind w:left="210" w:leftChars="100" w:firstLine="357" w:firstLineChars="170"/>
        <w:rPr>
          <w:rFonts w:hint="eastAsia" w:cs="Times New Roman" w:asciiTheme="minorEastAsia" w:hAnsiTheme="minorEastAsia" w:eastAsiaTheme="minorEastAsia"/>
          <w:sz w:val="21"/>
          <w:szCs w:val="22"/>
        </w:rPr>
      </w:pPr>
      <w:r>
        <w:rPr>
          <w:rFonts w:ascii="黑体" w:hAnsi="黑体" w:eastAsia="黑体" w:cs="黑体"/>
          <w:sz w:val="21"/>
          <w:szCs w:val="21"/>
        </w:rPr>
        <w:t xml:space="preserve">1 </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系统软件：全面检查技术参数和版本，测试3</w:t>
      </w:r>
      <w:r>
        <w:rPr>
          <w:rFonts w:hint="eastAsia" w:cs="Times New Roman" w:asciiTheme="minorEastAsia" w:hAnsiTheme="minorEastAsia" w:eastAsiaTheme="minorEastAsia"/>
          <w:sz w:val="21"/>
          <w:szCs w:val="22"/>
        </w:rPr>
        <w:t>～</w:t>
      </w:r>
      <w:r>
        <w:rPr>
          <w:rFonts w:cs="Times New Roman" w:asciiTheme="minorEastAsia" w:hAnsiTheme="minorEastAsia" w:eastAsiaTheme="minorEastAsia"/>
          <w:sz w:val="21"/>
          <w:szCs w:val="22"/>
        </w:rPr>
        <w:t>5个主要技术参数。</w:t>
      </w:r>
    </w:p>
    <w:p>
      <w:pPr>
        <w:pStyle w:val="6"/>
        <w:spacing w:line="360" w:lineRule="auto"/>
        <w:ind w:left="210" w:leftChars="100" w:firstLine="357" w:firstLineChars="170"/>
        <w:rPr>
          <w:rFonts w:hint="eastAsia" w:ascii="黑体" w:hAnsi="黑体" w:eastAsia="黑体" w:cs="黑体"/>
          <w:sz w:val="21"/>
          <w:szCs w:val="21"/>
        </w:rPr>
      </w:pPr>
      <w:r>
        <w:rPr>
          <w:rFonts w:ascii="黑体" w:hAnsi="黑体" w:eastAsia="黑体" w:cs="黑体"/>
          <w:sz w:val="21"/>
          <w:szCs w:val="21"/>
        </w:rPr>
        <w:t xml:space="preserve">2 </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工具软件：全面检查工具软件的清单，抽取50%的工具软件检查其应用效果。</w:t>
      </w:r>
    </w:p>
    <w:p>
      <w:pPr>
        <w:pStyle w:val="6"/>
        <w:spacing w:line="360" w:lineRule="auto"/>
        <w:ind w:left="210" w:leftChars="100" w:firstLine="357" w:firstLineChars="170"/>
        <w:rPr>
          <w:rFonts w:hint="eastAsia" w:ascii="黑体" w:hAnsi="黑体" w:eastAsia="黑体" w:cs="黑体"/>
          <w:sz w:val="21"/>
          <w:szCs w:val="21"/>
        </w:rPr>
      </w:pPr>
      <w:r>
        <w:rPr>
          <w:rFonts w:ascii="黑体" w:hAnsi="黑体" w:eastAsia="黑体" w:cs="黑体"/>
          <w:sz w:val="21"/>
          <w:szCs w:val="21"/>
        </w:rPr>
        <w:t xml:space="preserve">3 </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业务软件功能：验证需求规格说明中的60%的功能。</w:t>
      </w:r>
    </w:p>
    <w:p>
      <w:pPr>
        <w:pStyle w:val="6"/>
        <w:spacing w:line="360" w:lineRule="auto"/>
        <w:ind w:left="210" w:leftChars="100" w:firstLine="357" w:firstLineChars="170"/>
        <w:rPr>
          <w:rFonts w:hint="eastAsia" w:cs="Times New Roman" w:asciiTheme="minorEastAsia" w:hAnsiTheme="minorEastAsia" w:eastAsiaTheme="minorEastAsia"/>
          <w:sz w:val="21"/>
          <w:szCs w:val="22"/>
        </w:rPr>
      </w:pPr>
      <w:r>
        <w:rPr>
          <w:rFonts w:ascii="黑体" w:hAnsi="黑体" w:eastAsia="黑体" w:cs="黑体"/>
          <w:sz w:val="21"/>
          <w:szCs w:val="21"/>
        </w:rPr>
        <w:t xml:space="preserve">4 </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业务软件性能：设计5</w:t>
      </w:r>
      <w:r>
        <w:rPr>
          <w:rFonts w:hint="eastAsia" w:cs="Times New Roman" w:asciiTheme="minorEastAsia" w:hAnsiTheme="minorEastAsia" w:eastAsiaTheme="minorEastAsia"/>
          <w:sz w:val="21"/>
          <w:szCs w:val="22"/>
        </w:rPr>
        <w:t>～</w:t>
      </w:r>
      <w:r>
        <w:rPr>
          <w:rFonts w:cs="Times New Roman" w:asciiTheme="minorEastAsia" w:hAnsiTheme="minorEastAsia" w:eastAsiaTheme="minorEastAsia"/>
          <w:sz w:val="21"/>
          <w:szCs w:val="22"/>
        </w:rPr>
        <w:t>10个案例，验证响应速度、稳定性、容错性。</w:t>
      </w:r>
    </w:p>
    <w:p>
      <w:pPr>
        <w:pStyle w:val="6"/>
        <w:spacing w:before="37" w:line="360" w:lineRule="auto"/>
        <w:ind w:right="50"/>
        <w:rPr>
          <w:rFonts w:hint="eastAsia" w:cs="Times New Roman" w:asciiTheme="minorEastAsia" w:hAnsiTheme="minorEastAsia" w:eastAsiaTheme="minorEastAsia"/>
          <w:sz w:val="21"/>
          <w:szCs w:val="22"/>
        </w:rPr>
      </w:pPr>
      <w:r>
        <w:rPr>
          <w:rFonts w:ascii="黑体" w:hAnsi="黑体" w:eastAsia="黑体" w:cs="黑体"/>
          <w:sz w:val="21"/>
          <w:szCs w:val="21"/>
        </w:rPr>
        <w:t xml:space="preserve">10.3.5 </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检测单元内全部检测项目均满足相应的设计和技术标准要求，</w:t>
      </w:r>
      <w:r>
        <w:rPr>
          <w:rFonts w:hint="eastAsia" w:cs="Times New Roman" w:asciiTheme="minorEastAsia" w:hAnsiTheme="minorEastAsia" w:eastAsiaTheme="minorEastAsia"/>
          <w:sz w:val="21"/>
          <w:szCs w:val="22"/>
        </w:rPr>
        <w:t>质量检测结果</w:t>
      </w:r>
      <w:r>
        <w:rPr>
          <w:rFonts w:cs="Times New Roman" w:asciiTheme="minorEastAsia" w:hAnsiTheme="minorEastAsia" w:eastAsiaTheme="minorEastAsia"/>
          <w:sz w:val="21"/>
          <w:szCs w:val="22"/>
        </w:rPr>
        <w:t>评价为合格。</w:t>
      </w:r>
    </w:p>
    <w:p>
      <w:pPr>
        <w:pStyle w:val="3"/>
        <w:snapToGrid w:val="0"/>
        <w:spacing w:beforeLines="50" w:afterLines="50" w:line="360" w:lineRule="auto"/>
        <w:jc w:val="center"/>
        <w:rPr>
          <w:rFonts w:asciiTheme="minorEastAsia" w:hAnsiTheme="minorEastAsia" w:eastAsiaTheme="minorEastAsia" w:cstheme="minorEastAsia"/>
          <w:spacing w:val="20"/>
          <w:position w:val="-2"/>
          <w:szCs w:val="21"/>
        </w:rPr>
      </w:pPr>
      <w:bookmarkStart w:id="160" w:name="_Toc15632"/>
      <w:r>
        <w:rPr>
          <w:rFonts w:ascii="黑体" w:hAnsi="黑体" w:cs="黑体"/>
          <w:sz w:val="24"/>
          <w:szCs w:val="24"/>
        </w:rPr>
        <w:t>10.4  硬件设施</w:t>
      </w:r>
      <w:bookmarkEnd w:id="160"/>
    </w:p>
    <w:p>
      <w:pPr>
        <w:pStyle w:val="6"/>
        <w:spacing w:before="149" w:line="360" w:lineRule="auto"/>
        <w:ind w:left="12" w:right="77" w:hanging="7"/>
        <w:rPr>
          <w:rFonts w:hint="eastAsia" w:asciiTheme="minorEastAsia" w:hAnsiTheme="minorEastAsia" w:eastAsiaTheme="minorEastAsia" w:cstheme="minorEastAsia"/>
          <w:sz w:val="21"/>
          <w:szCs w:val="21"/>
        </w:rPr>
      </w:pPr>
      <w:r>
        <w:rPr>
          <w:rFonts w:hint="eastAsia" w:ascii="黑体" w:hAnsi="黑体" w:eastAsia="黑体" w:cs="黑体"/>
          <w:sz w:val="21"/>
          <w:szCs w:val="21"/>
        </w:rPr>
        <w:t>10.4.1</w:t>
      </w:r>
      <w:r>
        <w:rPr>
          <w:rFonts w:hint="eastAsia" w:cs="Times New Roman" w:asciiTheme="minorEastAsia" w:hAnsiTheme="minorEastAsia" w:eastAsiaTheme="minorEastAsia"/>
          <w:sz w:val="21"/>
          <w:szCs w:val="22"/>
        </w:rPr>
        <w:t xml:space="preserve">  检测项目宜包括性能指标、安装部署、网络连接等 。</w:t>
      </w:r>
    </w:p>
    <w:p>
      <w:pPr>
        <w:pStyle w:val="6"/>
        <w:spacing w:before="39" w:line="360" w:lineRule="auto"/>
        <w:ind w:left="5"/>
        <w:rPr>
          <w:rFonts w:hint="eastAsia" w:cs="Times New Roman" w:asciiTheme="minorEastAsia" w:hAnsiTheme="minorEastAsia" w:eastAsiaTheme="minorEastAsia"/>
          <w:sz w:val="21"/>
          <w:szCs w:val="22"/>
        </w:rPr>
      </w:pPr>
      <w:r>
        <w:rPr>
          <w:rFonts w:hint="eastAsia" w:ascii="黑体" w:hAnsi="黑体" w:eastAsia="黑体" w:cs="黑体"/>
          <w:sz w:val="21"/>
          <w:szCs w:val="21"/>
        </w:rPr>
        <w:t>10.4.2</w:t>
      </w:r>
      <w:r>
        <w:rPr>
          <w:rFonts w:hint="eastAsia" w:asciiTheme="minorEastAsia" w:hAnsiTheme="minorEastAsia" w:eastAsiaTheme="minorEastAsia" w:cstheme="minorEastAsia"/>
          <w:spacing w:val="6"/>
          <w:position w:val="-2"/>
          <w:sz w:val="21"/>
          <w:szCs w:val="21"/>
        </w:rPr>
        <w:t xml:space="preserve"> </w:t>
      </w:r>
      <w:r>
        <w:rPr>
          <w:rFonts w:hint="eastAsia" w:cs="Times New Roman" w:asciiTheme="minorEastAsia" w:hAnsiTheme="minorEastAsia" w:eastAsiaTheme="minorEastAsia"/>
          <w:sz w:val="21"/>
          <w:szCs w:val="22"/>
        </w:rPr>
        <w:t xml:space="preserve"> 由单独的数据库组成的信息化系统所涉及的所有相关硬件设备应作为一个检测单元。</w:t>
      </w:r>
    </w:p>
    <w:p>
      <w:pPr>
        <w:pStyle w:val="6"/>
        <w:spacing w:before="17" w:line="360" w:lineRule="auto"/>
        <w:ind w:left="5"/>
        <w:rPr>
          <w:rFonts w:hint="eastAsia" w:cs="Times New Roman" w:asciiTheme="minorEastAsia" w:hAnsiTheme="minorEastAsia" w:eastAsiaTheme="minorEastAsia"/>
          <w:sz w:val="21"/>
          <w:szCs w:val="22"/>
        </w:rPr>
      </w:pPr>
      <w:r>
        <w:rPr>
          <w:rFonts w:hint="eastAsia" w:ascii="黑体" w:hAnsi="黑体" w:eastAsia="黑体" w:cs="黑体"/>
          <w:sz w:val="21"/>
          <w:szCs w:val="21"/>
        </w:rPr>
        <w:t>10.4.3</w:t>
      </w:r>
      <w:r>
        <w:rPr>
          <w:rFonts w:hint="eastAsia" w:asciiTheme="minorEastAsia" w:hAnsiTheme="minorEastAsia" w:eastAsiaTheme="minorEastAsia" w:cstheme="minorEastAsia"/>
          <w:spacing w:val="10"/>
          <w:position w:val="-2"/>
          <w:sz w:val="21"/>
          <w:szCs w:val="21"/>
        </w:rPr>
        <w:t xml:space="preserve"> </w:t>
      </w:r>
      <w:r>
        <w:rPr>
          <w:rFonts w:hint="eastAsia" w:cs="Times New Roman" w:asciiTheme="minorEastAsia" w:hAnsiTheme="minorEastAsia" w:eastAsiaTheme="minorEastAsia"/>
          <w:sz w:val="21"/>
          <w:szCs w:val="22"/>
        </w:rPr>
        <w:t xml:space="preserve"> 检测方法应符合下列要求 :</w:t>
      </w:r>
    </w:p>
    <w:p>
      <w:pPr>
        <w:pStyle w:val="6"/>
        <w:spacing w:line="360" w:lineRule="auto"/>
        <w:ind w:left="210" w:leftChars="100" w:firstLine="420" w:firstLineChars="200"/>
        <w:rPr>
          <w:rFonts w:hint="eastAsia" w:cs="Times New Roman" w:asciiTheme="minorEastAsia" w:hAnsiTheme="minorEastAsia" w:eastAsiaTheme="minorEastAsia"/>
          <w:sz w:val="21"/>
          <w:szCs w:val="22"/>
        </w:rPr>
      </w:pPr>
      <w:r>
        <w:rPr>
          <w:rFonts w:hint="eastAsia" w:ascii="黑体" w:hAnsi="黑体" w:eastAsia="黑体" w:cs="黑体"/>
          <w:sz w:val="21"/>
          <w:szCs w:val="21"/>
        </w:rPr>
        <w:t>1</w:t>
      </w:r>
      <w:r>
        <w:rPr>
          <w:rFonts w:hint="eastAsia" w:ascii="黑体" w:hAnsi="黑体" w:eastAsia="黑体" w:cs="黑体"/>
          <w:spacing w:val="20"/>
          <w:position w:val="-2"/>
          <w:sz w:val="21"/>
          <w:szCs w:val="21"/>
        </w:rPr>
        <w:t xml:space="preserve"> </w:t>
      </w:r>
      <w:r>
        <w:rPr>
          <w:rFonts w:hint="eastAsia" w:cs="Times New Roman" w:asciiTheme="minorEastAsia" w:hAnsiTheme="minorEastAsia" w:eastAsiaTheme="minorEastAsia"/>
          <w:sz w:val="21"/>
          <w:szCs w:val="22"/>
        </w:rPr>
        <w:t xml:space="preserve"> 性能指标：检查主要技术参数。</w:t>
      </w:r>
    </w:p>
    <w:p>
      <w:pPr>
        <w:pStyle w:val="6"/>
        <w:spacing w:line="360" w:lineRule="auto"/>
        <w:ind w:left="210" w:leftChars="100" w:firstLine="420" w:firstLineChars="200"/>
        <w:rPr>
          <w:rFonts w:hint="eastAsia" w:asciiTheme="minorEastAsia" w:hAnsiTheme="minorEastAsia" w:eastAsiaTheme="minorEastAsia" w:cstheme="minorEastAsia"/>
          <w:spacing w:val="21"/>
          <w:position w:val="1"/>
          <w:sz w:val="21"/>
          <w:szCs w:val="21"/>
        </w:rPr>
      </w:pPr>
      <w:r>
        <w:rPr>
          <w:rFonts w:hint="eastAsia" w:ascii="黑体" w:hAnsi="黑体" w:eastAsia="黑体" w:cs="黑体"/>
          <w:sz w:val="21"/>
          <w:szCs w:val="21"/>
        </w:rPr>
        <w:t>2</w:t>
      </w:r>
      <w:r>
        <w:rPr>
          <w:rFonts w:hint="eastAsia" w:asciiTheme="minorEastAsia" w:hAnsiTheme="minorEastAsia" w:eastAsiaTheme="minorEastAsia" w:cstheme="minorEastAsia"/>
          <w:spacing w:val="4"/>
          <w:position w:val="-2"/>
          <w:sz w:val="21"/>
          <w:szCs w:val="21"/>
        </w:rPr>
        <w:t xml:space="preserve"> </w:t>
      </w:r>
      <w:r>
        <w:rPr>
          <w:rFonts w:hint="eastAsia" w:cs="Times New Roman" w:asciiTheme="minorEastAsia" w:hAnsiTheme="minorEastAsia" w:eastAsiaTheme="minorEastAsia"/>
          <w:sz w:val="21"/>
          <w:szCs w:val="22"/>
        </w:rPr>
        <w:t xml:space="preserve"> 安装：检查部署位置和运行环境。</w:t>
      </w:r>
    </w:p>
    <w:p>
      <w:pPr>
        <w:pStyle w:val="6"/>
        <w:spacing w:line="360" w:lineRule="auto"/>
        <w:ind w:left="210" w:leftChars="100" w:firstLine="420" w:firstLineChars="200"/>
        <w:rPr>
          <w:rFonts w:hint="eastAsia" w:asciiTheme="minorEastAsia" w:hAnsiTheme="minorEastAsia" w:eastAsiaTheme="minorEastAsia" w:cstheme="minorEastAsia"/>
          <w:sz w:val="21"/>
          <w:szCs w:val="21"/>
        </w:rPr>
      </w:pPr>
      <w:r>
        <w:rPr>
          <w:rFonts w:hint="eastAsia" w:ascii="黑体" w:hAnsi="黑体" w:eastAsia="黑体" w:cs="黑体"/>
          <w:sz w:val="21"/>
          <w:szCs w:val="21"/>
        </w:rPr>
        <w:t>3</w:t>
      </w:r>
      <w:r>
        <w:rPr>
          <w:rFonts w:hint="eastAsia" w:asciiTheme="minorEastAsia" w:hAnsiTheme="minorEastAsia" w:eastAsiaTheme="minorEastAsia" w:cstheme="minorEastAsia"/>
          <w:spacing w:val="22"/>
          <w:position w:val="-2"/>
          <w:sz w:val="21"/>
          <w:szCs w:val="21"/>
        </w:rPr>
        <w:t xml:space="preserve">  </w:t>
      </w:r>
      <w:r>
        <w:rPr>
          <w:rFonts w:hint="eastAsia" w:cs="Times New Roman" w:asciiTheme="minorEastAsia" w:hAnsiTheme="minorEastAsia" w:eastAsiaTheme="minorEastAsia"/>
          <w:sz w:val="21"/>
          <w:szCs w:val="22"/>
        </w:rPr>
        <w:t>网络连接：测试和确认网络拓扑关系。</w:t>
      </w:r>
    </w:p>
    <w:p>
      <w:pPr>
        <w:pStyle w:val="6"/>
        <w:spacing w:before="17" w:line="360" w:lineRule="auto"/>
        <w:ind w:left="5"/>
        <w:rPr>
          <w:rFonts w:hint="eastAsia" w:cs="Times New Roman" w:asciiTheme="minorEastAsia" w:hAnsiTheme="minorEastAsia" w:eastAsiaTheme="minorEastAsia"/>
          <w:sz w:val="21"/>
          <w:szCs w:val="22"/>
        </w:rPr>
      </w:pPr>
      <w:r>
        <w:rPr>
          <w:rFonts w:ascii="黑体" w:hAnsi="黑体" w:eastAsia="黑体" w:cs="黑体"/>
          <w:sz w:val="21"/>
          <w:szCs w:val="21"/>
        </w:rPr>
        <w:t xml:space="preserve">10.4.4  </w:t>
      </w:r>
      <w:r>
        <w:rPr>
          <w:rFonts w:cs="Times New Roman" w:asciiTheme="minorEastAsia" w:hAnsiTheme="minorEastAsia" w:eastAsiaTheme="minorEastAsia"/>
          <w:sz w:val="21"/>
          <w:szCs w:val="22"/>
        </w:rPr>
        <w:t>检测数量应符合下列要求</w:t>
      </w:r>
      <w:r>
        <w:rPr>
          <w:rFonts w:hint="eastAsia" w:cs="Times New Roman" w:asciiTheme="minorEastAsia" w:hAnsiTheme="minorEastAsia" w:eastAsiaTheme="minorEastAsia"/>
          <w:sz w:val="21"/>
          <w:szCs w:val="22"/>
        </w:rPr>
        <w:t>：</w:t>
      </w:r>
    </w:p>
    <w:p>
      <w:pPr>
        <w:pStyle w:val="6"/>
        <w:spacing w:line="360" w:lineRule="auto"/>
        <w:ind w:left="210" w:leftChars="100" w:firstLine="420" w:firstLineChars="200"/>
        <w:rPr>
          <w:rFonts w:hint="eastAsia" w:cs="Times New Roman" w:asciiTheme="minorEastAsia" w:hAnsiTheme="minorEastAsia" w:eastAsiaTheme="minorEastAsia"/>
          <w:sz w:val="21"/>
          <w:szCs w:val="22"/>
        </w:rPr>
      </w:pPr>
      <w:r>
        <w:rPr>
          <w:rFonts w:ascii="黑体" w:hAnsi="黑体" w:eastAsia="黑体" w:cs="黑体"/>
          <w:sz w:val="21"/>
          <w:szCs w:val="21"/>
        </w:rPr>
        <w:t xml:space="preserve">1  </w:t>
      </w:r>
      <w:r>
        <w:rPr>
          <w:rFonts w:cs="Times New Roman" w:asciiTheme="minorEastAsia" w:hAnsiTheme="minorEastAsia" w:eastAsiaTheme="minorEastAsia"/>
          <w:sz w:val="21"/>
          <w:szCs w:val="22"/>
        </w:rPr>
        <w:t>性能指标：检查5</w:t>
      </w:r>
      <w:r>
        <w:rPr>
          <w:rFonts w:hint="eastAsia" w:cs="Times New Roman" w:asciiTheme="minorEastAsia" w:hAnsiTheme="minorEastAsia" w:eastAsiaTheme="minorEastAsia"/>
          <w:sz w:val="21"/>
          <w:szCs w:val="22"/>
        </w:rPr>
        <w:t>～</w:t>
      </w:r>
      <w:r>
        <w:rPr>
          <w:rFonts w:cs="Times New Roman" w:asciiTheme="minorEastAsia" w:hAnsiTheme="minorEastAsia" w:eastAsiaTheme="minorEastAsia"/>
          <w:sz w:val="21"/>
          <w:szCs w:val="22"/>
        </w:rPr>
        <w:t>10个主要技术参数。</w:t>
      </w:r>
    </w:p>
    <w:p>
      <w:pPr>
        <w:pStyle w:val="6"/>
        <w:spacing w:line="360" w:lineRule="auto"/>
        <w:ind w:left="210" w:leftChars="100" w:firstLine="420" w:firstLineChars="200"/>
        <w:rPr>
          <w:rFonts w:hint="eastAsia" w:cs="Times New Roman" w:asciiTheme="minorEastAsia" w:hAnsiTheme="minorEastAsia" w:eastAsiaTheme="minorEastAsia"/>
          <w:sz w:val="21"/>
          <w:szCs w:val="22"/>
        </w:rPr>
      </w:pPr>
      <w:r>
        <w:rPr>
          <w:rFonts w:ascii="黑体" w:hAnsi="黑体" w:eastAsia="黑体" w:cs="黑体"/>
          <w:sz w:val="21"/>
          <w:szCs w:val="21"/>
        </w:rPr>
        <w:t xml:space="preserve">2  </w:t>
      </w:r>
      <w:r>
        <w:rPr>
          <w:rFonts w:cs="Times New Roman" w:asciiTheme="minorEastAsia" w:hAnsiTheme="minorEastAsia" w:eastAsiaTheme="minorEastAsia"/>
          <w:sz w:val="21"/>
          <w:szCs w:val="22"/>
        </w:rPr>
        <w:t>安装：全面检查部署位置和运行环境。</w:t>
      </w:r>
    </w:p>
    <w:p>
      <w:pPr>
        <w:pStyle w:val="6"/>
        <w:spacing w:line="360" w:lineRule="auto"/>
        <w:ind w:left="210" w:leftChars="100" w:firstLine="420" w:firstLineChars="200"/>
        <w:rPr>
          <w:rFonts w:hint="eastAsia" w:cs="Times New Roman" w:asciiTheme="minorEastAsia" w:hAnsiTheme="minorEastAsia" w:eastAsiaTheme="minorEastAsia"/>
          <w:sz w:val="21"/>
          <w:szCs w:val="22"/>
        </w:rPr>
      </w:pPr>
      <w:r>
        <w:rPr>
          <w:rFonts w:ascii="黑体" w:hAnsi="黑体" w:eastAsia="黑体" w:cs="黑体"/>
          <w:sz w:val="21"/>
          <w:szCs w:val="21"/>
        </w:rPr>
        <w:t xml:space="preserve">3 </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 xml:space="preserve">网络连接：全面测试网络拓扑关系。 </w:t>
      </w:r>
    </w:p>
    <w:p>
      <w:pPr>
        <w:pStyle w:val="6"/>
        <w:spacing w:before="17" w:line="360" w:lineRule="auto"/>
        <w:ind w:left="5"/>
        <w:rPr>
          <w:rFonts w:hint="eastAsia" w:cs="Times New Roman" w:asciiTheme="minorEastAsia" w:hAnsiTheme="minorEastAsia" w:eastAsiaTheme="minorEastAsia"/>
          <w:sz w:val="21"/>
          <w:szCs w:val="22"/>
        </w:rPr>
      </w:pPr>
      <w:r>
        <w:rPr>
          <w:rFonts w:ascii="黑体" w:hAnsi="黑体" w:eastAsia="黑体" w:cs="黑体"/>
          <w:sz w:val="21"/>
          <w:szCs w:val="21"/>
        </w:rPr>
        <w:t xml:space="preserve">10.4.5  </w:t>
      </w:r>
      <w:r>
        <w:rPr>
          <w:rFonts w:cs="Times New Roman" w:asciiTheme="minorEastAsia" w:hAnsiTheme="minorEastAsia" w:eastAsiaTheme="minorEastAsia"/>
          <w:sz w:val="21"/>
          <w:szCs w:val="22"/>
        </w:rPr>
        <w:t>检测单元内全部检测项目均满足相应的设计和技术标准要求</w:t>
      </w:r>
      <w:r>
        <w:rPr>
          <w:rFonts w:hint="eastAsia" w:cs="Times New Roman" w:asciiTheme="minorEastAsia" w:hAnsiTheme="minorEastAsia" w:eastAsiaTheme="minorEastAsia"/>
          <w:sz w:val="21"/>
          <w:szCs w:val="22"/>
        </w:rPr>
        <w:t>，质量检测结果</w:t>
      </w:r>
      <w:r>
        <w:rPr>
          <w:rFonts w:cs="Times New Roman" w:asciiTheme="minorEastAsia" w:hAnsiTheme="minorEastAsia" w:eastAsiaTheme="minorEastAsia"/>
          <w:sz w:val="21"/>
          <w:szCs w:val="22"/>
        </w:rPr>
        <w:t>评价为合格。</w:t>
      </w:r>
    </w:p>
    <w:p>
      <w:pPr>
        <w:pStyle w:val="6"/>
        <w:spacing w:before="38" w:line="360" w:lineRule="auto"/>
        <w:ind w:right="79" w:firstLine="428" w:firstLineChars="200"/>
        <w:rPr>
          <w:rFonts w:hint="eastAsia" w:asciiTheme="minorEastAsia" w:hAnsiTheme="minorEastAsia" w:eastAsiaTheme="minorEastAsia" w:cstheme="minorEastAsia"/>
          <w:spacing w:val="2"/>
          <w:position w:val="-2"/>
          <w:sz w:val="21"/>
          <w:szCs w:val="21"/>
        </w:rPr>
      </w:pPr>
    </w:p>
    <w:p>
      <w:pPr>
        <w:pStyle w:val="3"/>
        <w:snapToGrid w:val="0"/>
        <w:spacing w:beforeLines="50" w:afterLines="50" w:line="360" w:lineRule="auto"/>
        <w:jc w:val="center"/>
        <w:rPr>
          <w:rFonts w:asciiTheme="minorEastAsia" w:hAnsiTheme="minorEastAsia" w:eastAsiaTheme="minorEastAsia" w:cstheme="minorEastAsia"/>
          <w:spacing w:val="2"/>
          <w:position w:val="-2"/>
          <w:szCs w:val="21"/>
        </w:rPr>
      </w:pPr>
      <w:bookmarkStart w:id="161" w:name="_Toc10173"/>
      <w:r>
        <w:rPr>
          <w:rFonts w:ascii="黑体" w:hAnsi="黑体" w:cs="黑体"/>
          <w:sz w:val="24"/>
          <w:szCs w:val="24"/>
        </w:rPr>
        <w:t>10.5  数据资源</w:t>
      </w:r>
      <w:bookmarkEnd w:id="161"/>
    </w:p>
    <w:p>
      <w:pPr>
        <w:pStyle w:val="6"/>
        <w:spacing w:line="360" w:lineRule="auto"/>
        <w:rPr>
          <w:rFonts w:hint="eastAsia" w:asciiTheme="minorEastAsia" w:hAnsiTheme="minorEastAsia" w:eastAsiaTheme="minorEastAsia" w:cstheme="minorEastAsia"/>
          <w:sz w:val="21"/>
          <w:szCs w:val="21"/>
        </w:rPr>
      </w:pPr>
      <w:r>
        <w:rPr>
          <w:rFonts w:hint="eastAsia" w:ascii="黑体" w:hAnsi="黑体" w:eastAsia="黑体" w:cs="黑体"/>
          <w:sz w:val="21"/>
          <w:szCs w:val="21"/>
        </w:rPr>
        <w:t>10.5.1</w:t>
      </w:r>
      <w:r>
        <w:rPr>
          <w:rFonts w:hint="eastAsia" w:asciiTheme="minorEastAsia" w:hAnsiTheme="minorEastAsia" w:eastAsiaTheme="minorEastAsia" w:cstheme="minorEastAsia"/>
          <w:spacing w:val="2"/>
          <w:position w:val="-2"/>
          <w:sz w:val="21"/>
          <w:szCs w:val="21"/>
        </w:rPr>
        <w:t xml:space="preserve">  </w:t>
      </w:r>
      <w:r>
        <w:rPr>
          <w:rFonts w:hint="eastAsia" w:cs="Times New Roman" w:asciiTheme="minorEastAsia" w:hAnsiTheme="minorEastAsia" w:eastAsiaTheme="minorEastAsia"/>
          <w:sz w:val="21"/>
          <w:szCs w:val="22"/>
        </w:rPr>
        <w:t>检测项目宜包括：数据库、数据库模型、数据数量与质量等。</w:t>
      </w:r>
    </w:p>
    <w:p>
      <w:pPr>
        <w:pStyle w:val="6"/>
        <w:spacing w:line="360" w:lineRule="auto"/>
        <w:rPr>
          <w:rFonts w:hint="eastAsia" w:asciiTheme="minorEastAsia" w:hAnsiTheme="minorEastAsia" w:eastAsiaTheme="minorEastAsia" w:cstheme="minorEastAsia"/>
          <w:spacing w:val="2"/>
          <w:position w:val="-2"/>
          <w:sz w:val="21"/>
          <w:szCs w:val="21"/>
        </w:rPr>
      </w:pPr>
      <w:r>
        <w:rPr>
          <w:rFonts w:hint="eastAsia" w:ascii="黑体" w:hAnsi="黑体" w:eastAsia="黑体" w:cs="黑体"/>
          <w:sz w:val="21"/>
          <w:szCs w:val="21"/>
        </w:rPr>
        <w:t>10.5.2</w:t>
      </w:r>
      <w:r>
        <w:rPr>
          <w:rFonts w:hint="eastAsia" w:cs="Times New Roman" w:asciiTheme="minorEastAsia" w:hAnsiTheme="minorEastAsia" w:eastAsiaTheme="minorEastAsia"/>
          <w:sz w:val="21"/>
          <w:szCs w:val="22"/>
        </w:rPr>
        <w:t xml:space="preserve">  单独的数据库应作为一个检测单元。</w:t>
      </w:r>
    </w:p>
    <w:p>
      <w:pPr>
        <w:pStyle w:val="6"/>
        <w:spacing w:line="360" w:lineRule="auto"/>
        <w:rPr>
          <w:rFonts w:hint="eastAsia" w:cs="Times New Roman" w:asciiTheme="minorEastAsia" w:hAnsiTheme="minorEastAsia" w:eastAsiaTheme="minorEastAsia"/>
          <w:sz w:val="21"/>
          <w:szCs w:val="22"/>
        </w:rPr>
      </w:pPr>
      <w:r>
        <w:rPr>
          <w:rFonts w:hint="eastAsia" w:ascii="黑体" w:hAnsi="黑体" w:eastAsia="黑体" w:cs="黑体"/>
          <w:sz w:val="21"/>
          <w:szCs w:val="21"/>
        </w:rPr>
        <w:t xml:space="preserve">10.5.3 </w:t>
      </w:r>
      <w:r>
        <w:rPr>
          <w:rFonts w:hint="eastAsia" w:asciiTheme="minorEastAsia" w:hAnsiTheme="minorEastAsia" w:eastAsiaTheme="minorEastAsia" w:cstheme="minorEastAsia"/>
          <w:spacing w:val="2"/>
          <w:position w:val="-2"/>
          <w:sz w:val="21"/>
          <w:szCs w:val="21"/>
        </w:rPr>
        <w:t xml:space="preserve"> </w:t>
      </w:r>
      <w:r>
        <w:rPr>
          <w:rFonts w:hint="eastAsia" w:cs="Times New Roman" w:asciiTheme="minorEastAsia" w:hAnsiTheme="minorEastAsia" w:eastAsiaTheme="minorEastAsia"/>
          <w:sz w:val="21"/>
          <w:szCs w:val="22"/>
        </w:rPr>
        <w:t>检测方法应符合下列要求：</w:t>
      </w:r>
    </w:p>
    <w:p>
      <w:pPr>
        <w:pStyle w:val="6"/>
        <w:spacing w:line="360" w:lineRule="auto"/>
        <w:ind w:left="210" w:leftChars="100" w:firstLine="420" w:firstLineChars="200"/>
        <w:rPr>
          <w:rFonts w:hint="eastAsia" w:cs="Times New Roman" w:asciiTheme="minorEastAsia" w:hAnsiTheme="minorEastAsia" w:eastAsiaTheme="minorEastAsia"/>
          <w:sz w:val="21"/>
          <w:szCs w:val="22"/>
        </w:rPr>
      </w:pPr>
      <w:r>
        <w:rPr>
          <w:rFonts w:hint="eastAsia" w:ascii="黑体" w:hAnsi="黑体" w:eastAsia="黑体" w:cs="黑体"/>
          <w:sz w:val="21"/>
          <w:szCs w:val="21"/>
        </w:rPr>
        <w:t>1</w:t>
      </w:r>
      <w:r>
        <w:rPr>
          <w:rFonts w:hint="eastAsia" w:asciiTheme="minorEastAsia" w:hAnsiTheme="minorEastAsia" w:eastAsiaTheme="minorEastAsia" w:cstheme="minorEastAsia"/>
          <w:spacing w:val="2"/>
          <w:position w:val="-2"/>
          <w:sz w:val="21"/>
          <w:szCs w:val="21"/>
        </w:rPr>
        <w:t xml:space="preserve">  </w:t>
      </w:r>
      <w:r>
        <w:rPr>
          <w:rFonts w:hint="eastAsia" w:cs="Times New Roman" w:asciiTheme="minorEastAsia" w:hAnsiTheme="minorEastAsia" w:eastAsiaTheme="minorEastAsia"/>
          <w:sz w:val="21"/>
          <w:szCs w:val="22"/>
        </w:rPr>
        <w:t>数据库：检查主要技术参数、安装、运行环境、权限控制，测试数据备份。</w:t>
      </w:r>
    </w:p>
    <w:p>
      <w:pPr>
        <w:pStyle w:val="6"/>
        <w:spacing w:line="360" w:lineRule="auto"/>
        <w:ind w:left="210" w:leftChars="100" w:firstLine="420" w:firstLineChars="200"/>
        <w:rPr>
          <w:rFonts w:hint="eastAsia" w:cs="Times New Roman" w:asciiTheme="minorEastAsia" w:hAnsiTheme="minorEastAsia" w:eastAsiaTheme="minorEastAsia"/>
          <w:sz w:val="21"/>
          <w:szCs w:val="22"/>
        </w:rPr>
      </w:pPr>
      <w:r>
        <w:rPr>
          <w:rFonts w:hint="eastAsia" w:ascii="黑体" w:hAnsi="黑体" w:eastAsia="黑体" w:cs="黑体"/>
          <w:sz w:val="21"/>
          <w:szCs w:val="21"/>
        </w:rPr>
        <w:t>2</w:t>
      </w:r>
      <w:r>
        <w:rPr>
          <w:rFonts w:hint="eastAsia" w:asciiTheme="minorEastAsia" w:hAnsiTheme="minorEastAsia" w:eastAsiaTheme="minorEastAsia" w:cstheme="minorEastAsia"/>
          <w:spacing w:val="2"/>
          <w:position w:val="-2"/>
          <w:sz w:val="21"/>
          <w:szCs w:val="21"/>
        </w:rPr>
        <w:t xml:space="preserve">  </w:t>
      </w:r>
      <w:r>
        <w:rPr>
          <w:rFonts w:hint="eastAsia" w:cs="Times New Roman" w:asciiTheme="minorEastAsia" w:hAnsiTheme="minorEastAsia" w:eastAsiaTheme="minorEastAsia"/>
          <w:sz w:val="21"/>
          <w:szCs w:val="22"/>
        </w:rPr>
        <w:t>数据库模型：验证和确认逻辑结构、物理结构的合理性和有效性。</w:t>
      </w:r>
    </w:p>
    <w:p>
      <w:pPr>
        <w:pStyle w:val="6"/>
        <w:spacing w:line="360" w:lineRule="auto"/>
        <w:ind w:left="210" w:leftChars="100" w:firstLine="420" w:firstLineChars="200"/>
        <w:rPr>
          <w:rFonts w:hint="eastAsia" w:asciiTheme="minorEastAsia" w:hAnsiTheme="minorEastAsia" w:eastAsiaTheme="minorEastAsia" w:cstheme="minorEastAsia"/>
          <w:spacing w:val="20"/>
          <w:position w:val="-2"/>
          <w:sz w:val="21"/>
          <w:szCs w:val="21"/>
        </w:rPr>
      </w:pPr>
      <w:r>
        <w:rPr>
          <w:rFonts w:hint="eastAsia" w:ascii="黑体" w:hAnsi="黑体" w:eastAsia="黑体" w:cs="黑体"/>
          <w:sz w:val="21"/>
          <w:szCs w:val="21"/>
        </w:rPr>
        <w:t>3</w:t>
      </w:r>
      <w:r>
        <w:rPr>
          <w:rFonts w:hint="eastAsia" w:asciiTheme="minorEastAsia" w:hAnsiTheme="minorEastAsia" w:eastAsiaTheme="minorEastAsia" w:cstheme="minorEastAsia"/>
          <w:spacing w:val="2"/>
          <w:position w:val="-2"/>
          <w:sz w:val="21"/>
          <w:szCs w:val="21"/>
        </w:rPr>
        <w:t xml:space="preserve">  </w:t>
      </w:r>
      <w:r>
        <w:rPr>
          <w:rFonts w:hint="eastAsia" w:cs="Times New Roman" w:asciiTheme="minorEastAsia" w:hAnsiTheme="minorEastAsia" w:eastAsiaTheme="minorEastAsia"/>
          <w:sz w:val="21"/>
          <w:szCs w:val="22"/>
        </w:rPr>
        <w:t>数据数量和质量：检查数据数量的完整，检查和评价主要关键业务的数据质量。</w:t>
      </w:r>
    </w:p>
    <w:p>
      <w:pPr>
        <w:pStyle w:val="6"/>
        <w:spacing w:line="360" w:lineRule="auto"/>
        <w:rPr>
          <w:rFonts w:hint="eastAsia" w:cs="Times New Roman" w:asciiTheme="minorEastAsia" w:hAnsiTheme="minorEastAsia" w:eastAsiaTheme="minorEastAsia"/>
          <w:sz w:val="21"/>
          <w:szCs w:val="22"/>
        </w:rPr>
      </w:pPr>
      <w:r>
        <w:rPr>
          <w:rFonts w:ascii="黑体" w:hAnsi="黑体" w:eastAsia="黑体" w:cs="黑体"/>
          <w:sz w:val="21"/>
          <w:szCs w:val="21"/>
        </w:rPr>
        <w:t xml:space="preserve">10.5.4 </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检测方法应符合下列要求:</w:t>
      </w:r>
    </w:p>
    <w:p>
      <w:pPr>
        <w:pStyle w:val="6"/>
        <w:spacing w:line="360" w:lineRule="auto"/>
        <w:ind w:left="210" w:leftChars="100" w:firstLine="420" w:firstLineChars="200"/>
        <w:rPr>
          <w:rFonts w:hint="eastAsia" w:cs="Times New Roman" w:asciiTheme="minorEastAsia" w:hAnsiTheme="minorEastAsia" w:eastAsiaTheme="minorEastAsia"/>
          <w:sz w:val="21"/>
          <w:szCs w:val="22"/>
        </w:rPr>
      </w:pPr>
      <w:r>
        <w:rPr>
          <w:rFonts w:ascii="黑体" w:hAnsi="黑体" w:eastAsia="黑体" w:cs="黑体"/>
          <w:sz w:val="21"/>
          <w:szCs w:val="21"/>
        </w:rPr>
        <w:t xml:space="preserve">1 </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数据库</w:t>
      </w:r>
      <w:r>
        <w:rPr>
          <w:rFonts w:hint="eastAsia" w:cs="Times New Roman" w:asciiTheme="minorEastAsia" w:hAnsiTheme="minorEastAsia" w:eastAsiaTheme="minorEastAsia"/>
          <w:sz w:val="21"/>
          <w:szCs w:val="22"/>
        </w:rPr>
        <w:t>：</w:t>
      </w:r>
      <w:r>
        <w:rPr>
          <w:rFonts w:cs="Times New Roman" w:asciiTheme="minorEastAsia" w:hAnsiTheme="minorEastAsia" w:eastAsiaTheme="minorEastAsia"/>
          <w:sz w:val="21"/>
          <w:szCs w:val="22"/>
        </w:rPr>
        <w:t>全面检查主要技术参数、安装、运行环境、权限控制，测试1次数据备份。</w:t>
      </w:r>
    </w:p>
    <w:p>
      <w:pPr>
        <w:pStyle w:val="6"/>
        <w:spacing w:line="360" w:lineRule="auto"/>
        <w:ind w:left="210" w:leftChars="100" w:firstLine="420" w:firstLineChars="200"/>
        <w:rPr>
          <w:rFonts w:hint="eastAsia" w:cs="Times New Roman" w:asciiTheme="minorEastAsia" w:hAnsiTheme="minorEastAsia" w:eastAsiaTheme="minorEastAsia"/>
          <w:sz w:val="21"/>
          <w:szCs w:val="22"/>
        </w:rPr>
      </w:pPr>
      <w:r>
        <w:rPr>
          <w:rFonts w:ascii="黑体" w:hAnsi="黑体" w:eastAsia="黑体" w:cs="黑体"/>
          <w:sz w:val="21"/>
          <w:szCs w:val="21"/>
        </w:rPr>
        <w:t xml:space="preserve">2 </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数据库模型:全面检查数据库冗余字段，设计3</w:t>
      </w:r>
      <w:r>
        <w:rPr>
          <w:rFonts w:hint="eastAsia" w:cs="Times New Roman" w:asciiTheme="minorEastAsia" w:hAnsiTheme="minorEastAsia" w:eastAsiaTheme="minorEastAsia"/>
          <w:sz w:val="21"/>
          <w:szCs w:val="22"/>
        </w:rPr>
        <w:t>～</w:t>
      </w:r>
      <w:r>
        <w:rPr>
          <w:rFonts w:cs="Times New Roman" w:asciiTheme="minorEastAsia" w:hAnsiTheme="minorEastAsia" w:eastAsiaTheme="minorEastAsia"/>
          <w:sz w:val="21"/>
          <w:szCs w:val="22"/>
        </w:rPr>
        <w:t>5个实例验证操作数据库的正常有效。</w:t>
      </w:r>
    </w:p>
    <w:p>
      <w:pPr>
        <w:pStyle w:val="6"/>
        <w:spacing w:line="360" w:lineRule="auto"/>
        <w:ind w:left="210" w:leftChars="100" w:firstLine="420" w:firstLineChars="200"/>
        <w:rPr>
          <w:rFonts w:hint="eastAsia" w:cs="Times New Roman" w:asciiTheme="minorEastAsia" w:hAnsiTheme="minorEastAsia" w:eastAsiaTheme="minorEastAsia"/>
          <w:sz w:val="21"/>
          <w:szCs w:val="22"/>
        </w:rPr>
      </w:pPr>
      <w:r>
        <w:rPr>
          <w:rFonts w:ascii="黑体" w:hAnsi="黑体" w:eastAsia="黑体" w:cs="黑体"/>
          <w:sz w:val="21"/>
          <w:szCs w:val="21"/>
        </w:rPr>
        <w:t xml:space="preserve">3 </w:t>
      </w:r>
      <w:r>
        <w:rPr>
          <w:rFonts w:hint="eastAsia" w:ascii="黑体" w:hAnsi="黑体" w:eastAsia="黑体" w:cs="黑体"/>
          <w:sz w:val="21"/>
          <w:szCs w:val="21"/>
        </w:rPr>
        <w:t xml:space="preserve"> </w:t>
      </w:r>
      <w:r>
        <w:rPr>
          <w:rFonts w:cs="Times New Roman" w:asciiTheme="minorEastAsia" w:hAnsiTheme="minorEastAsia" w:eastAsiaTheme="minorEastAsia"/>
          <w:sz w:val="21"/>
          <w:szCs w:val="22"/>
        </w:rPr>
        <w:t>数据数量和质量:全面检查数据数量的完整，检查和评价2</w:t>
      </w:r>
      <w:r>
        <w:rPr>
          <w:rFonts w:hint="eastAsia" w:cs="Times New Roman" w:asciiTheme="minorEastAsia" w:hAnsiTheme="minorEastAsia" w:eastAsiaTheme="minorEastAsia"/>
          <w:sz w:val="21"/>
          <w:szCs w:val="22"/>
        </w:rPr>
        <w:t>～</w:t>
      </w:r>
      <w:r>
        <w:rPr>
          <w:rFonts w:cs="Times New Roman" w:asciiTheme="minorEastAsia" w:hAnsiTheme="minorEastAsia" w:eastAsiaTheme="minorEastAsia"/>
          <w:sz w:val="21"/>
          <w:szCs w:val="22"/>
        </w:rPr>
        <w:t>3个关键业务的数据质量。</w:t>
      </w:r>
    </w:p>
    <w:p>
      <w:pPr>
        <w:spacing w:line="360" w:lineRule="auto"/>
        <w:rPr>
          <w:rFonts w:hint="eastAsia" w:ascii="宋体" w:hAnsi="宋体" w:eastAsia="宋体" w:cs="宋体"/>
        </w:rPr>
      </w:pPr>
      <w:r>
        <w:rPr>
          <w:rFonts w:ascii="黑体" w:hAnsi="黑体" w:eastAsia="黑体" w:cs="黑体"/>
          <w:szCs w:val="21"/>
        </w:rPr>
        <w:t xml:space="preserve">10.5.5 </w:t>
      </w:r>
      <w:r>
        <w:rPr>
          <w:rFonts w:hint="eastAsia" w:ascii="黑体" w:hAnsi="黑体" w:eastAsia="黑体" w:cs="黑体"/>
          <w:szCs w:val="21"/>
        </w:rPr>
        <w:t xml:space="preserve"> </w:t>
      </w:r>
      <w:r>
        <w:rPr>
          <w:rFonts w:cs="Times New Roman" w:asciiTheme="minorEastAsia" w:hAnsiTheme="minorEastAsia"/>
        </w:rPr>
        <w:t>检测单元内全部检测项目均满足相应的设计和技术标准要求，</w:t>
      </w:r>
      <w:r>
        <w:rPr>
          <w:rFonts w:hint="eastAsia" w:cs="Times New Roman" w:asciiTheme="minorEastAsia" w:hAnsiTheme="minorEastAsia"/>
        </w:rPr>
        <w:t>质量检测结果</w:t>
      </w:r>
      <w:r>
        <w:rPr>
          <w:rFonts w:cs="Times New Roman" w:asciiTheme="minorEastAsia" w:hAnsiTheme="minorEastAsia"/>
        </w:rPr>
        <w:t>评价为合格。</w:t>
      </w:r>
    </w:p>
    <w:p>
      <w:pPr>
        <w:rPr>
          <w:rFonts w:hint="eastAsia" w:ascii="宋体" w:hAnsi="宋体" w:eastAsia="宋体" w:cs="宋体"/>
        </w:rPr>
      </w:pPr>
    </w:p>
    <w:p>
      <w:pPr>
        <w:rPr>
          <w:rFonts w:hint="eastAsia" w:ascii="宋体" w:hAnsi="宋体" w:eastAsia="宋体" w:cs="宋体"/>
        </w:rPr>
      </w:pPr>
      <w:r>
        <w:rPr>
          <w:rFonts w:hint="eastAsia" w:ascii="宋体" w:hAnsi="宋体" w:eastAsia="宋体" w:cs="宋体"/>
        </w:rPr>
        <w:br w:type="page"/>
      </w:r>
    </w:p>
    <w:p>
      <w:pPr>
        <w:pStyle w:val="2"/>
        <w:rPr>
          <w:rFonts w:hint="eastAsia" w:ascii="黑体" w:hAnsi="黑体" w:eastAsia="黑体" w:cs="黑体"/>
          <w:b w:val="0"/>
          <w:bCs w:val="0"/>
          <w:sz w:val="28"/>
          <w:szCs w:val="28"/>
        </w:rPr>
      </w:pPr>
      <w:bookmarkStart w:id="162" w:name="_Toc17075"/>
      <w:r>
        <w:rPr>
          <w:rFonts w:hint="eastAsia" w:ascii="黑体" w:hAnsi="黑体" w:eastAsia="黑体" w:cs="黑体"/>
          <w:b w:val="0"/>
          <w:bCs w:val="0"/>
          <w:sz w:val="28"/>
          <w:szCs w:val="28"/>
        </w:rPr>
        <w:t>附录 A  质量检测单位检测工作流程</w:t>
      </w:r>
      <w:bookmarkEnd w:id="162"/>
    </w:p>
    <w:p>
      <w:pPr>
        <w:spacing w:line="360" w:lineRule="auto"/>
        <w:rPr>
          <w:rFonts w:hint="eastAsia" w:ascii="宋体" w:hAnsi="宋体" w:eastAsia="宋体" w:cs="宋体"/>
        </w:rPr>
      </w:pPr>
      <w:r>
        <w:rPr>
          <w:rFonts w:hint="eastAsia" w:ascii="黑体" w:hAnsi="黑体" w:eastAsia="黑体" w:cs="黑体"/>
        </w:rPr>
        <w:t>A.0.1</w:t>
      </w:r>
      <w:r>
        <w:rPr>
          <w:rFonts w:hint="eastAsia" w:ascii="宋体" w:hAnsi="宋体" w:eastAsia="宋体" w:cs="宋体"/>
        </w:rPr>
        <w:t xml:space="preserve">  质量检测单位应与委托人签订质量检测合同，明确检测内容、检测项目、数量和检测费用及双方的责任和义务。</w:t>
      </w:r>
    </w:p>
    <w:p>
      <w:pPr>
        <w:spacing w:line="360" w:lineRule="auto"/>
        <w:rPr>
          <w:rFonts w:hint="eastAsia" w:ascii="宋体" w:hAnsi="宋体" w:eastAsia="宋体" w:cs="宋体"/>
        </w:rPr>
      </w:pPr>
      <w:r>
        <w:rPr>
          <w:rFonts w:hint="eastAsia" w:ascii="黑体" w:hAnsi="黑体" w:eastAsia="黑体" w:cs="黑体"/>
        </w:rPr>
        <w:t>A.0.2</w:t>
      </w:r>
      <w:r>
        <w:rPr>
          <w:rFonts w:hint="eastAsia" w:ascii="宋体" w:hAnsi="宋体" w:eastAsia="宋体" w:cs="宋体"/>
        </w:rPr>
        <w:t xml:space="preserve">  根据质量检测合同或任务要求，组织确定符合要求的检测人员，确定检测应依据的法规和技术标准，编制检测方案，选择检测仪器设备，做好检测准备工作。</w:t>
      </w:r>
    </w:p>
    <w:p>
      <w:pPr>
        <w:spacing w:line="360" w:lineRule="auto"/>
        <w:rPr>
          <w:rFonts w:hint="eastAsia" w:ascii="宋体" w:hAnsi="宋体" w:eastAsia="宋体" w:cs="宋体"/>
        </w:rPr>
      </w:pPr>
      <w:r>
        <w:rPr>
          <w:rFonts w:hint="eastAsia" w:ascii="黑体" w:hAnsi="黑体" w:eastAsia="黑体" w:cs="黑体"/>
        </w:rPr>
        <w:t>A.0.3</w:t>
      </w:r>
      <w:r>
        <w:rPr>
          <w:rFonts w:hint="eastAsia" w:ascii="宋体" w:hAnsi="宋体" w:eastAsia="宋体" w:cs="宋体"/>
        </w:rPr>
        <w:t xml:space="preserve">  签发检测任务书，明确检测专业负责人及检测具体技术要求。</w:t>
      </w:r>
    </w:p>
    <w:p>
      <w:pPr>
        <w:spacing w:line="360" w:lineRule="auto"/>
        <w:rPr>
          <w:rFonts w:hint="eastAsia" w:ascii="宋体" w:hAnsi="宋体" w:eastAsia="宋体" w:cs="宋体"/>
        </w:rPr>
      </w:pPr>
      <w:r>
        <w:rPr>
          <w:rFonts w:hint="eastAsia" w:ascii="黑体" w:hAnsi="黑体" w:eastAsia="黑体" w:cs="黑体"/>
        </w:rPr>
        <w:t xml:space="preserve">A.0.4 </w:t>
      </w:r>
      <w:r>
        <w:rPr>
          <w:rFonts w:hint="eastAsia" w:ascii="宋体" w:hAnsi="宋体" w:eastAsia="宋体" w:cs="宋体"/>
        </w:rPr>
        <w:t xml:space="preserve"> 如由委托人负责取样、送样，检测单位则负责检查样品，在送样登记表上给样品编号登记并签字盖章。如由检测单位负责取样，检测人员应按照委托人的要求，依据本标准划分检测单元，布设测区、测点、测线，按有关标准的规定取样，并对样品逐一进行编号标记并予以登记。</w:t>
      </w:r>
    </w:p>
    <w:p>
      <w:pPr>
        <w:spacing w:line="360" w:lineRule="auto"/>
        <w:rPr>
          <w:rFonts w:hint="eastAsia" w:ascii="宋体" w:hAnsi="宋体" w:eastAsia="宋体" w:cs="宋体"/>
        </w:rPr>
      </w:pPr>
      <w:r>
        <w:rPr>
          <w:rFonts w:hint="eastAsia" w:ascii="黑体" w:hAnsi="黑体" w:eastAsia="黑体" w:cs="黑体"/>
        </w:rPr>
        <w:t>A.0.5</w:t>
      </w:r>
      <w:r>
        <w:rPr>
          <w:rFonts w:hint="eastAsia" w:ascii="宋体" w:hAnsi="宋体" w:eastAsia="宋体" w:cs="宋体"/>
        </w:rPr>
        <w:t xml:space="preserve">  检测人员依据试验检测方法标准及作业指导书实施检测，记录原始数据，由检测人员、校核人员签字。</w:t>
      </w:r>
    </w:p>
    <w:p>
      <w:pPr>
        <w:spacing w:line="360" w:lineRule="auto"/>
        <w:rPr>
          <w:rFonts w:hint="eastAsia" w:ascii="宋体" w:hAnsi="宋体" w:eastAsia="宋体" w:cs="宋体"/>
        </w:rPr>
      </w:pPr>
      <w:r>
        <w:rPr>
          <w:rFonts w:hint="eastAsia" w:ascii="黑体" w:hAnsi="黑体" w:eastAsia="黑体" w:cs="黑体"/>
        </w:rPr>
        <w:t>A.0.6</w:t>
      </w:r>
      <w:r>
        <w:rPr>
          <w:rFonts w:hint="eastAsia" w:ascii="宋体" w:hAnsi="宋体" w:eastAsia="宋体" w:cs="宋体"/>
        </w:rPr>
        <w:t xml:space="preserve">  整理、统计、分析检测成果数据，审查人员按照规定在检测结果表格上签字。</w:t>
      </w:r>
    </w:p>
    <w:p>
      <w:pPr>
        <w:spacing w:line="360" w:lineRule="auto"/>
        <w:rPr>
          <w:rFonts w:hint="eastAsia" w:ascii="宋体" w:hAnsi="宋体" w:eastAsia="宋体" w:cs="宋体"/>
        </w:rPr>
      </w:pPr>
      <w:r>
        <w:rPr>
          <w:rFonts w:hint="eastAsia" w:ascii="黑体" w:hAnsi="黑体" w:eastAsia="黑体" w:cs="黑体"/>
        </w:rPr>
        <w:t>A.0.7</w:t>
      </w:r>
      <w:r>
        <w:rPr>
          <w:rFonts w:hint="eastAsia" w:ascii="宋体" w:hAnsi="宋体" w:eastAsia="宋体" w:cs="宋体"/>
        </w:rPr>
        <w:t xml:space="preserve">  相关人员编制、审核、批准检测报告，按照规定在检测报告上签字。</w:t>
      </w:r>
    </w:p>
    <w:p>
      <w:pPr>
        <w:spacing w:line="360" w:lineRule="auto"/>
        <w:rPr>
          <w:rFonts w:hint="eastAsia" w:ascii="宋体" w:hAnsi="宋体" w:eastAsia="宋体" w:cs="宋体"/>
        </w:rPr>
      </w:pPr>
      <w:r>
        <w:rPr>
          <w:rFonts w:hint="eastAsia" w:ascii="黑体" w:hAnsi="黑体" w:eastAsia="黑体" w:cs="黑体"/>
        </w:rPr>
        <w:t>A.0.8</w:t>
      </w:r>
      <w:r>
        <w:rPr>
          <w:rFonts w:hint="eastAsia" w:ascii="宋体" w:hAnsi="宋体" w:eastAsia="宋体" w:cs="宋体"/>
        </w:rPr>
        <w:t xml:space="preserve">  质量检测单位在合同约定的时间内向委托人发送正式检测报告。</w:t>
      </w:r>
    </w:p>
    <w:p>
      <w:pPr>
        <w:spacing w:line="360" w:lineRule="auto"/>
        <w:rPr>
          <w:rFonts w:hint="eastAsia" w:ascii="宋体" w:hAnsi="宋体" w:eastAsia="宋体" w:cs="宋体"/>
        </w:rPr>
      </w:pPr>
      <w:r>
        <w:rPr>
          <w:rFonts w:hint="eastAsia" w:ascii="黑体" w:hAnsi="黑体" w:eastAsia="黑体" w:cs="黑体"/>
        </w:rPr>
        <w:t>A.0.9</w:t>
      </w:r>
      <w:r>
        <w:rPr>
          <w:rFonts w:hint="eastAsia" w:ascii="宋体" w:hAnsi="宋体" w:eastAsia="宋体" w:cs="宋体"/>
        </w:rPr>
        <w:t xml:space="preserve">  如委托人对检测报告中的检测结果有异议，可按合同中约定的方式进行处理。</w:t>
      </w:r>
    </w:p>
    <w:p>
      <w:pPr>
        <w:rPr>
          <w:rFonts w:hint="eastAsia" w:ascii="宋体" w:hAnsi="宋体" w:eastAsia="宋体" w:cs="宋体"/>
        </w:rPr>
      </w:pPr>
    </w:p>
    <w:p>
      <w:pPr>
        <w:rPr>
          <w:rFonts w:hint="eastAsia" w:ascii="宋体" w:hAnsi="宋体" w:eastAsia="宋体" w:cs="宋体"/>
        </w:rPr>
      </w:pPr>
    </w:p>
    <w:p>
      <w:pPr>
        <w:rPr>
          <w:rFonts w:hint="eastAsia" w:ascii="宋体" w:hAnsi="宋体" w:eastAsia="宋体" w:cs="宋体"/>
        </w:rPr>
      </w:pPr>
      <w:r>
        <w:rPr>
          <w:rFonts w:hint="eastAsia" w:ascii="宋体" w:hAnsi="宋体" w:eastAsia="宋体" w:cs="宋体"/>
        </w:rPr>
        <w:br w:type="page"/>
      </w:r>
    </w:p>
    <w:p>
      <w:pPr>
        <w:pStyle w:val="2"/>
        <w:rPr>
          <w:rFonts w:hint="eastAsia" w:ascii="黑体" w:hAnsi="黑体" w:eastAsia="黑体" w:cs="黑体"/>
          <w:b w:val="0"/>
          <w:bCs w:val="0"/>
          <w:sz w:val="28"/>
          <w:szCs w:val="28"/>
        </w:rPr>
      </w:pPr>
      <w:bookmarkStart w:id="163" w:name="_Toc11343"/>
      <w:r>
        <w:rPr>
          <w:rFonts w:hint="eastAsia" w:ascii="黑体" w:hAnsi="黑体" w:eastAsia="黑体" w:cs="黑体"/>
          <w:b w:val="0"/>
          <w:bCs w:val="0"/>
          <w:sz w:val="28"/>
          <w:szCs w:val="28"/>
        </w:rPr>
        <w:t>附录 B  水利工程质量检测报告的基本要求</w:t>
      </w:r>
      <w:bookmarkEnd w:id="163"/>
    </w:p>
    <w:p>
      <w:pPr>
        <w:spacing w:line="360" w:lineRule="auto"/>
        <w:rPr>
          <w:rFonts w:hint="eastAsia" w:ascii="宋体" w:hAnsi="宋体" w:eastAsia="宋体" w:cs="宋体"/>
        </w:rPr>
      </w:pPr>
      <w:r>
        <w:rPr>
          <w:rFonts w:hint="eastAsia" w:ascii="黑体" w:hAnsi="黑体" w:eastAsia="黑体" w:cs="黑体"/>
        </w:rPr>
        <w:t>B.0.1</w:t>
      </w:r>
      <w:r>
        <w:rPr>
          <w:rFonts w:hint="eastAsia" w:ascii="宋体" w:hAnsi="宋体" w:eastAsia="宋体" w:cs="宋体"/>
        </w:rPr>
        <w:t xml:space="preserve">  检测报告的内容应包括以下信息：</w:t>
      </w:r>
    </w:p>
    <w:p>
      <w:pPr>
        <w:spacing w:line="360" w:lineRule="auto"/>
        <w:ind w:firstLine="420" w:firstLineChars="200"/>
        <w:rPr>
          <w:rFonts w:hint="eastAsia" w:ascii="宋体" w:hAnsi="宋体" w:eastAsia="宋体" w:cs="宋体"/>
        </w:rPr>
      </w:pPr>
      <w:r>
        <w:rPr>
          <w:rFonts w:hint="eastAsia" w:ascii="黑体" w:hAnsi="黑体" w:eastAsia="黑体" w:cs="黑体"/>
        </w:rPr>
        <w:t xml:space="preserve">1  </w:t>
      </w:r>
      <w:r>
        <w:rPr>
          <w:rFonts w:hint="eastAsia" w:ascii="宋体" w:hAnsi="宋体" w:eastAsia="宋体" w:cs="宋体"/>
        </w:rPr>
        <w:t>检测报告名称。</w:t>
      </w:r>
    </w:p>
    <w:p>
      <w:pPr>
        <w:spacing w:line="360" w:lineRule="auto"/>
        <w:ind w:firstLine="420" w:firstLineChars="200"/>
        <w:rPr>
          <w:rFonts w:hint="eastAsia" w:ascii="宋体" w:hAnsi="宋体" w:eastAsia="宋体" w:cs="宋体"/>
        </w:rPr>
      </w:pPr>
      <w:r>
        <w:rPr>
          <w:rFonts w:hint="eastAsia" w:ascii="黑体" w:hAnsi="黑体" w:eastAsia="黑体" w:cs="黑体"/>
        </w:rPr>
        <w:t xml:space="preserve">2  </w:t>
      </w:r>
      <w:r>
        <w:rPr>
          <w:rFonts w:hint="eastAsia" w:ascii="宋体" w:hAnsi="宋体" w:eastAsia="宋体" w:cs="宋体"/>
        </w:rPr>
        <w:t>委托单位名称、工程名称、检测范围。</w:t>
      </w:r>
    </w:p>
    <w:p>
      <w:pPr>
        <w:spacing w:line="360" w:lineRule="auto"/>
        <w:ind w:firstLine="420" w:firstLineChars="200"/>
        <w:rPr>
          <w:rFonts w:hint="eastAsia" w:ascii="宋体" w:hAnsi="宋体" w:eastAsia="宋体" w:cs="宋体"/>
        </w:rPr>
      </w:pPr>
      <w:r>
        <w:rPr>
          <w:rFonts w:hint="eastAsia" w:ascii="黑体" w:hAnsi="黑体" w:eastAsia="黑体" w:cs="黑体"/>
        </w:rPr>
        <w:t xml:space="preserve">3  </w:t>
      </w:r>
      <w:r>
        <w:rPr>
          <w:rFonts w:hint="eastAsia" w:ascii="宋体" w:hAnsi="宋体" w:eastAsia="宋体" w:cs="宋体"/>
        </w:rPr>
        <w:t>报告的唯一性标识和每页及总页数的标识。</w:t>
      </w:r>
    </w:p>
    <w:p>
      <w:pPr>
        <w:spacing w:line="360" w:lineRule="auto"/>
        <w:ind w:firstLine="420" w:firstLineChars="200"/>
        <w:rPr>
          <w:rFonts w:hint="eastAsia" w:ascii="宋体" w:hAnsi="宋体" w:eastAsia="宋体" w:cs="宋体"/>
        </w:rPr>
      </w:pPr>
      <w:r>
        <w:rPr>
          <w:rFonts w:hint="eastAsia" w:ascii="黑体" w:hAnsi="黑体" w:eastAsia="黑体" w:cs="黑体"/>
        </w:rPr>
        <w:t xml:space="preserve">4  </w:t>
      </w:r>
      <w:r>
        <w:rPr>
          <w:rFonts w:hint="eastAsia" w:ascii="宋体" w:hAnsi="宋体" w:eastAsia="宋体" w:cs="宋体"/>
        </w:rPr>
        <w:t>样品接收日期、检测日期及报告日期。</w:t>
      </w:r>
    </w:p>
    <w:p>
      <w:pPr>
        <w:spacing w:line="360" w:lineRule="auto"/>
        <w:ind w:firstLine="420" w:firstLineChars="200"/>
        <w:rPr>
          <w:rFonts w:hint="eastAsia" w:ascii="宋体" w:hAnsi="宋体" w:eastAsia="宋体" w:cs="宋体"/>
        </w:rPr>
      </w:pPr>
      <w:r>
        <w:rPr>
          <w:rFonts w:hint="eastAsia" w:ascii="黑体" w:hAnsi="黑体" w:eastAsia="黑体" w:cs="黑体"/>
        </w:rPr>
        <w:t xml:space="preserve">5  </w:t>
      </w:r>
      <w:r>
        <w:rPr>
          <w:rFonts w:hint="eastAsia" w:ascii="宋体" w:hAnsi="宋体" w:eastAsia="宋体" w:cs="宋体"/>
        </w:rPr>
        <w:t xml:space="preserve">样品名称、生产单位、规格型号、等级、代表批量。 </w:t>
      </w:r>
    </w:p>
    <w:p>
      <w:pPr>
        <w:spacing w:line="360" w:lineRule="auto"/>
        <w:ind w:firstLine="420" w:firstLineChars="200"/>
        <w:rPr>
          <w:rFonts w:hint="eastAsia" w:ascii="宋体" w:hAnsi="宋体" w:eastAsia="宋体" w:cs="宋体"/>
        </w:rPr>
      </w:pPr>
      <w:r>
        <w:rPr>
          <w:rFonts w:hint="eastAsia" w:ascii="黑体" w:hAnsi="黑体" w:eastAsia="黑体" w:cs="黑体"/>
        </w:rPr>
        <w:t xml:space="preserve">6  </w:t>
      </w:r>
      <w:r>
        <w:rPr>
          <w:rFonts w:hint="eastAsia" w:ascii="宋体" w:hAnsi="宋体" w:eastAsia="宋体" w:cs="宋体"/>
        </w:rPr>
        <w:t>检验样品的状态。</w:t>
      </w:r>
    </w:p>
    <w:p>
      <w:pPr>
        <w:spacing w:line="360" w:lineRule="auto"/>
        <w:ind w:firstLine="420" w:firstLineChars="200"/>
        <w:rPr>
          <w:rFonts w:hint="eastAsia" w:ascii="宋体" w:hAnsi="宋体" w:eastAsia="宋体" w:cs="宋体"/>
        </w:rPr>
      </w:pPr>
      <w:r>
        <w:rPr>
          <w:rFonts w:hint="eastAsia" w:ascii="黑体" w:hAnsi="黑体" w:eastAsia="黑体" w:cs="黑体"/>
        </w:rPr>
        <w:t xml:space="preserve">7  </w:t>
      </w:r>
      <w:r>
        <w:rPr>
          <w:rFonts w:hint="eastAsia" w:ascii="宋体" w:hAnsi="宋体" w:eastAsia="宋体" w:cs="宋体"/>
        </w:rPr>
        <w:t>取样单应注明取样人姓名及单位。</w:t>
      </w:r>
    </w:p>
    <w:p>
      <w:pPr>
        <w:spacing w:line="360" w:lineRule="auto"/>
        <w:ind w:firstLine="420" w:firstLineChars="200"/>
        <w:rPr>
          <w:rFonts w:hint="eastAsia" w:ascii="宋体" w:hAnsi="宋体" w:eastAsia="宋体" w:cs="宋体"/>
        </w:rPr>
      </w:pPr>
      <w:r>
        <w:rPr>
          <w:rFonts w:hint="eastAsia" w:ascii="黑体" w:hAnsi="黑体" w:eastAsia="黑体" w:cs="黑体"/>
        </w:rPr>
        <w:t xml:space="preserve">8  </w:t>
      </w:r>
      <w:r>
        <w:rPr>
          <w:rFonts w:hint="eastAsia" w:ascii="宋体" w:hAnsi="宋体" w:eastAsia="宋体" w:cs="宋体"/>
        </w:rPr>
        <w:t>检测依据或执行标准。</w:t>
      </w:r>
    </w:p>
    <w:p>
      <w:pPr>
        <w:spacing w:line="360" w:lineRule="auto"/>
        <w:ind w:firstLine="420" w:firstLineChars="200"/>
        <w:rPr>
          <w:rFonts w:hint="eastAsia" w:ascii="宋体" w:hAnsi="宋体" w:eastAsia="宋体" w:cs="宋体"/>
        </w:rPr>
      </w:pPr>
      <w:r>
        <w:rPr>
          <w:rFonts w:hint="eastAsia" w:ascii="黑体" w:hAnsi="黑体" w:eastAsia="黑体" w:cs="黑体"/>
        </w:rPr>
        <w:t xml:space="preserve">9  </w:t>
      </w:r>
      <w:r>
        <w:rPr>
          <w:rFonts w:hint="eastAsia" w:ascii="宋体" w:hAnsi="宋体" w:eastAsia="宋体" w:cs="宋体"/>
        </w:rPr>
        <w:t>检测项目及检测方法  (必要时)。</w:t>
      </w:r>
    </w:p>
    <w:p>
      <w:pPr>
        <w:spacing w:line="360" w:lineRule="auto"/>
        <w:ind w:firstLine="420" w:firstLineChars="200"/>
        <w:rPr>
          <w:rFonts w:hint="eastAsia" w:ascii="宋体" w:hAnsi="宋体" w:eastAsia="宋体" w:cs="宋体"/>
        </w:rPr>
      </w:pPr>
      <w:r>
        <w:rPr>
          <w:rFonts w:hint="eastAsia" w:ascii="黑体" w:hAnsi="黑体" w:eastAsia="黑体" w:cs="黑体"/>
        </w:rPr>
        <w:t xml:space="preserve">10  </w:t>
      </w:r>
      <w:r>
        <w:rPr>
          <w:rFonts w:hint="eastAsia" w:ascii="宋体" w:hAnsi="宋体" w:eastAsia="宋体" w:cs="宋体"/>
        </w:rPr>
        <w:t>检测使用的主要仪器设备。</w:t>
      </w:r>
    </w:p>
    <w:p>
      <w:pPr>
        <w:spacing w:line="360" w:lineRule="auto"/>
        <w:ind w:firstLine="420" w:firstLineChars="200"/>
        <w:rPr>
          <w:rFonts w:hint="eastAsia" w:ascii="宋体" w:hAnsi="宋体" w:eastAsia="宋体" w:cs="宋体"/>
        </w:rPr>
      </w:pPr>
      <w:r>
        <w:rPr>
          <w:rFonts w:hint="eastAsia" w:ascii="黑体" w:hAnsi="黑体" w:eastAsia="黑体" w:cs="黑体"/>
        </w:rPr>
        <w:t xml:space="preserve">11  </w:t>
      </w:r>
      <w:r>
        <w:rPr>
          <w:rFonts w:hint="eastAsia" w:ascii="宋体" w:hAnsi="宋体" w:eastAsia="宋体" w:cs="宋体"/>
        </w:rPr>
        <w:t>必要的检测说明和声明等。</w:t>
      </w:r>
    </w:p>
    <w:p>
      <w:pPr>
        <w:spacing w:line="360" w:lineRule="auto"/>
        <w:ind w:firstLine="420" w:firstLineChars="200"/>
        <w:rPr>
          <w:rFonts w:hint="eastAsia" w:ascii="宋体" w:hAnsi="宋体" w:eastAsia="宋体" w:cs="宋体"/>
        </w:rPr>
      </w:pPr>
      <w:r>
        <w:rPr>
          <w:rFonts w:hint="eastAsia" w:ascii="黑体" w:hAnsi="黑体" w:eastAsia="黑体" w:cs="黑体"/>
        </w:rPr>
        <w:t xml:space="preserve">12  </w:t>
      </w:r>
      <w:r>
        <w:rPr>
          <w:rFonts w:hint="eastAsia" w:ascii="宋体" w:hAnsi="宋体" w:eastAsia="宋体" w:cs="宋体"/>
        </w:rPr>
        <w:t>编制、审核、批准人签名。</w:t>
      </w:r>
    </w:p>
    <w:p>
      <w:pPr>
        <w:spacing w:line="360" w:lineRule="auto"/>
        <w:ind w:firstLine="420" w:firstLineChars="200"/>
        <w:rPr>
          <w:rFonts w:hint="eastAsia" w:ascii="宋体" w:hAnsi="宋体" w:eastAsia="宋体" w:cs="宋体"/>
        </w:rPr>
      </w:pPr>
      <w:r>
        <w:rPr>
          <w:rFonts w:hint="eastAsia" w:ascii="黑体" w:hAnsi="黑体" w:eastAsia="黑体" w:cs="黑体"/>
        </w:rPr>
        <w:t>13</w:t>
      </w:r>
      <w:r>
        <w:rPr>
          <w:rFonts w:hint="eastAsia" w:ascii="宋体" w:hAnsi="宋体" w:eastAsia="宋体" w:cs="宋体"/>
        </w:rPr>
        <w:t xml:space="preserve">  检测单位的名称、地址及通信信息。</w:t>
      </w:r>
    </w:p>
    <w:p>
      <w:pPr>
        <w:spacing w:line="360" w:lineRule="auto"/>
        <w:rPr>
          <w:rFonts w:hint="eastAsia" w:ascii="宋体" w:hAnsi="宋体" w:eastAsia="宋体" w:cs="宋体"/>
        </w:rPr>
      </w:pPr>
      <w:r>
        <w:rPr>
          <w:rFonts w:hint="eastAsia" w:ascii="黑体" w:hAnsi="黑体" w:eastAsia="黑体" w:cs="黑体"/>
        </w:rPr>
        <w:t>B.0.2</w:t>
      </w:r>
      <w:r>
        <w:rPr>
          <w:rFonts w:hint="eastAsia" w:ascii="宋体" w:hAnsi="宋体" w:eastAsia="宋体" w:cs="宋体"/>
        </w:rPr>
        <w:t xml:space="preserve">  当需对检测结果做出解释时，检测报告中还应包括下列内容：</w:t>
      </w:r>
    </w:p>
    <w:p>
      <w:pPr>
        <w:spacing w:line="360" w:lineRule="auto"/>
        <w:ind w:firstLine="420" w:firstLineChars="200"/>
        <w:rPr>
          <w:rFonts w:hint="eastAsia" w:ascii="宋体" w:hAnsi="宋体" w:eastAsia="宋体" w:cs="宋体"/>
        </w:rPr>
      </w:pPr>
      <w:r>
        <w:rPr>
          <w:rFonts w:hint="eastAsia" w:ascii="黑体" w:hAnsi="黑体" w:eastAsia="黑体" w:cs="黑体"/>
        </w:rPr>
        <w:t>1</w:t>
      </w:r>
      <w:r>
        <w:rPr>
          <w:rFonts w:hint="eastAsia" w:ascii="宋体" w:hAnsi="宋体" w:eastAsia="宋体" w:cs="宋体"/>
        </w:rPr>
        <w:t xml:space="preserve">  对检测方法的偏离、增添或删减，以及特殊检测条件的信息。</w:t>
      </w:r>
    </w:p>
    <w:p>
      <w:pPr>
        <w:spacing w:line="360" w:lineRule="auto"/>
        <w:ind w:firstLine="420" w:firstLineChars="200"/>
        <w:rPr>
          <w:rFonts w:hint="eastAsia" w:ascii="宋体" w:hAnsi="宋体" w:eastAsia="宋体" w:cs="宋体"/>
        </w:rPr>
      </w:pPr>
      <w:r>
        <w:rPr>
          <w:rFonts w:hint="eastAsia" w:ascii="黑体" w:hAnsi="黑体" w:eastAsia="黑体" w:cs="黑体"/>
        </w:rPr>
        <w:t xml:space="preserve">2  </w:t>
      </w:r>
      <w:r>
        <w:rPr>
          <w:rFonts w:hint="eastAsia" w:ascii="宋体" w:hAnsi="宋体" w:eastAsia="宋体" w:cs="宋体"/>
        </w:rPr>
        <w:t xml:space="preserve">需要时，符合  (或不符合)  要求或规范的说明。 </w:t>
      </w:r>
    </w:p>
    <w:p>
      <w:pPr>
        <w:spacing w:line="360" w:lineRule="auto"/>
        <w:ind w:firstLine="420" w:firstLineChars="200"/>
        <w:rPr>
          <w:rFonts w:hint="eastAsia" w:ascii="宋体" w:hAnsi="宋体" w:eastAsia="宋体" w:cs="宋体"/>
        </w:rPr>
      </w:pPr>
      <w:r>
        <w:rPr>
          <w:rFonts w:hint="eastAsia" w:ascii="黑体" w:hAnsi="黑体" w:eastAsia="黑体" w:cs="黑体"/>
        </w:rPr>
        <w:t xml:space="preserve">3  </w:t>
      </w:r>
      <w:r>
        <w:rPr>
          <w:rFonts w:hint="eastAsia" w:ascii="宋体" w:hAnsi="宋体" w:eastAsia="宋体" w:cs="宋体"/>
        </w:rPr>
        <w:t>适用时，提供检测结果不确定度的声明。</w:t>
      </w:r>
    </w:p>
    <w:p>
      <w:pPr>
        <w:spacing w:line="360" w:lineRule="auto"/>
        <w:ind w:firstLine="420" w:firstLineChars="200"/>
        <w:rPr>
          <w:rFonts w:hint="eastAsia" w:ascii="宋体" w:hAnsi="宋体" w:eastAsia="宋体" w:cs="宋体"/>
        </w:rPr>
      </w:pPr>
      <w:r>
        <w:rPr>
          <w:rFonts w:hint="eastAsia" w:ascii="黑体" w:hAnsi="黑体" w:eastAsia="黑体" w:cs="黑体"/>
        </w:rPr>
        <w:t xml:space="preserve">4  </w:t>
      </w:r>
      <w:r>
        <w:rPr>
          <w:rFonts w:hint="eastAsia" w:ascii="宋体" w:hAnsi="宋体" w:eastAsia="宋体" w:cs="宋体"/>
        </w:rPr>
        <w:t>对所采用的任何非标准方法的明确说明。</w:t>
      </w:r>
    </w:p>
    <w:p>
      <w:pPr>
        <w:spacing w:line="360" w:lineRule="auto"/>
        <w:rPr>
          <w:rFonts w:hint="eastAsia" w:ascii="宋体" w:hAnsi="宋体" w:eastAsia="宋体" w:cs="宋体"/>
        </w:rPr>
      </w:pPr>
      <w:r>
        <w:rPr>
          <w:rFonts w:hint="eastAsia" w:ascii="黑体" w:hAnsi="黑体" w:eastAsia="黑体" w:cs="黑体"/>
        </w:rPr>
        <w:t>B.0.3</w:t>
      </w:r>
      <w:r>
        <w:rPr>
          <w:rFonts w:hint="eastAsia" w:ascii="宋体" w:hAnsi="宋体" w:eastAsia="宋体" w:cs="宋体"/>
        </w:rPr>
        <w:t xml:space="preserve">  检测报告的编制、审核、批准：</w:t>
      </w:r>
    </w:p>
    <w:p>
      <w:pPr>
        <w:spacing w:line="360" w:lineRule="auto"/>
        <w:ind w:firstLine="420" w:firstLineChars="200"/>
        <w:rPr>
          <w:rFonts w:hint="eastAsia" w:ascii="宋体" w:hAnsi="宋体" w:eastAsia="宋体" w:cs="宋体"/>
        </w:rPr>
      </w:pPr>
      <w:r>
        <w:rPr>
          <w:rFonts w:hint="eastAsia" w:ascii="黑体" w:hAnsi="黑体" w:eastAsia="黑体" w:cs="黑体"/>
        </w:rPr>
        <w:t xml:space="preserve">1  </w:t>
      </w:r>
      <w:r>
        <w:rPr>
          <w:rFonts w:hint="eastAsia" w:ascii="宋体" w:hAnsi="宋体" w:eastAsia="宋体" w:cs="宋体"/>
        </w:rPr>
        <w:t>检测报告应结论准确、客观公正、信息齐全、用词规范、文字简练。</w:t>
      </w:r>
    </w:p>
    <w:p>
      <w:pPr>
        <w:spacing w:line="360" w:lineRule="auto"/>
        <w:ind w:firstLine="420" w:firstLineChars="200"/>
        <w:rPr>
          <w:rFonts w:hint="eastAsia" w:ascii="宋体" w:hAnsi="宋体" w:eastAsia="宋体" w:cs="宋体"/>
        </w:rPr>
      </w:pPr>
      <w:r>
        <w:rPr>
          <w:rFonts w:hint="eastAsia" w:ascii="黑体" w:hAnsi="黑体" w:eastAsia="黑体" w:cs="黑体"/>
        </w:rPr>
        <w:t xml:space="preserve">2  </w:t>
      </w:r>
      <w:r>
        <w:rPr>
          <w:rFonts w:hint="eastAsia" w:ascii="宋体" w:hAnsi="宋体" w:eastAsia="宋体" w:cs="宋体"/>
        </w:rPr>
        <w:t>检测报告由检测人员编制，检测人员应对检测结果的真实性、准确性负责。</w:t>
      </w:r>
    </w:p>
    <w:p>
      <w:pPr>
        <w:spacing w:line="360" w:lineRule="auto"/>
        <w:ind w:firstLine="420" w:firstLineChars="200"/>
        <w:rPr>
          <w:rFonts w:hint="eastAsia" w:ascii="宋体" w:hAnsi="宋体" w:eastAsia="宋体" w:cs="宋体"/>
        </w:rPr>
      </w:pPr>
      <w:r>
        <w:rPr>
          <w:rFonts w:hint="eastAsia" w:ascii="黑体" w:hAnsi="黑体" w:eastAsia="黑体" w:cs="黑体"/>
        </w:rPr>
        <w:t xml:space="preserve">3  </w:t>
      </w:r>
      <w:r>
        <w:rPr>
          <w:rFonts w:hint="eastAsia" w:ascii="宋体" w:hAnsi="宋体" w:eastAsia="宋体" w:cs="宋体"/>
        </w:rPr>
        <w:t>检测单位应明确报告审核人员，审核人员应对报告准确性、规范性负责。</w:t>
      </w:r>
    </w:p>
    <w:p>
      <w:pPr>
        <w:spacing w:line="360" w:lineRule="auto"/>
        <w:ind w:firstLine="420" w:firstLineChars="200"/>
        <w:rPr>
          <w:rFonts w:hint="eastAsia" w:ascii="宋体" w:hAnsi="宋体" w:eastAsia="宋体" w:cs="宋体"/>
        </w:rPr>
      </w:pPr>
      <w:r>
        <w:rPr>
          <w:rFonts w:hint="eastAsia" w:ascii="黑体" w:hAnsi="黑体" w:eastAsia="黑体" w:cs="黑体"/>
        </w:rPr>
        <w:t xml:space="preserve">4  </w:t>
      </w:r>
      <w:r>
        <w:rPr>
          <w:rFonts w:hint="eastAsia" w:ascii="宋体" w:hAnsi="宋体" w:eastAsia="宋体" w:cs="宋体"/>
        </w:rPr>
        <w:t>检测报告由检测单位的负责人批准，批准人应对检测报告最终结果负责。</w:t>
      </w:r>
    </w:p>
    <w:p>
      <w:pPr>
        <w:spacing w:line="360" w:lineRule="auto"/>
        <w:ind w:firstLine="420" w:firstLineChars="200"/>
        <w:rPr>
          <w:rFonts w:hint="eastAsia" w:ascii="宋体" w:hAnsi="宋体" w:eastAsia="宋体" w:cs="宋体"/>
        </w:rPr>
      </w:pPr>
      <w:r>
        <w:rPr>
          <w:rFonts w:hint="eastAsia" w:ascii="黑体" w:hAnsi="黑体" w:eastAsia="黑体" w:cs="黑体"/>
        </w:rPr>
        <w:t xml:space="preserve">5  </w:t>
      </w:r>
      <w:r>
        <w:rPr>
          <w:rFonts w:hint="eastAsia" w:ascii="宋体" w:hAnsi="宋体" w:eastAsia="宋体" w:cs="宋体"/>
        </w:rPr>
        <w:t>检测报告应加盖质量检测资质章、检测单位公章或检测专用章，多页检测报告应加盖骑缝章。</w:t>
      </w:r>
    </w:p>
    <w:p>
      <w:pPr>
        <w:spacing w:line="360" w:lineRule="auto"/>
        <w:rPr>
          <w:rFonts w:hint="eastAsia" w:ascii="宋体" w:hAnsi="宋体" w:eastAsia="宋体" w:cs="宋体"/>
        </w:rPr>
      </w:pPr>
      <w:r>
        <w:rPr>
          <w:rFonts w:hint="eastAsia" w:ascii="黑体" w:hAnsi="黑体" w:eastAsia="黑体" w:cs="黑体"/>
        </w:rPr>
        <w:t>B.0.4</w:t>
      </w:r>
      <w:r>
        <w:rPr>
          <w:rFonts w:hint="eastAsia" w:ascii="宋体" w:hAnsi="宋体" w:eastAsia="宋体" w:cs="宋体"/>
        </w:rPr>
        <w:t xml:space="preserve">  检测报告的发放应按检测项目、编号逐一进行登记，经办人应签名确认。</w:t>
      </w:r>
    </w:p>
    <w:p>
      <w:pPr>
        <w:rPr>
          <w:rFonts w:hint="eastAsia" w:ascii="宋体" w:hAnsi="宋体" w:eastAsia="宋体" w:cs="宋体"/>
        </w:rPr>
      </w:pPr>
      <w:r>
        <w:rPr>
          <w:rFonts w:hint="eastAsia" w:ascii="宋体" w:hAnsi="宋体" w:eastAsia="宋体" w:cs="宋体"/>
        </w:rPr>
        <w:br w:type="page"/>
      </w:r>
    </w:p>
    <w:p>
      <w:pPr>
        <w:pStyle w:val="2"/>
        <w:spacing w:before="240" w:beforeLines="100" w:after="240" w:afterLines="100" w:line="360" w:lineRule="auto"/>
        <w:rPr>
          <w:rFonts w:hint="eastAsia" w:ascii="黑体" w:hAnsi="黑体" w:eastAsia="黑体" w:cs="黑体"/>
          <w:b w:val="0"/>
          <w:bCs w:val="0"/>
          <w:sz w:val="28"/>
          <w:szCs w:val="28"/>
        </w:rPr>
      </w:pPr>
      <w:bookmarkStart w:id="164" w:name="_Toc7607"/>
      <w:r>
        <w:rPr>
          <w:rFonts w:hint="eastAsia" w:ascii="黑体" w:hAnsi="黑体" w:eastAsia="黑体" w:cs="黑体"/>
          <w:b w:val="0"/>
          <w:bCs w:val="0"/>
          <w:sz w:val="28"/>
          <w:szCs w:val="28"/>
        </w:rPr>
        <w:t>附录C  超声回弹综合法检测混凝土抗压强度</w:t>
      </w:r>
      <w:bookmarkEnd w:id="164"/>
    </w:p>
    <w:p>
      <w:r>
        <w:rPr>
          <w:rFonts w:ascii="黑体" w:hAnsi="黑体" w:eastAsia="黑体" w:cs="黑体"/>
        </w:rPr>
        <w:t>C</w:t>
      </w:r>
      <w:r>
        <w:rPr>
          <w:rFonts w:hint="eastAsia" w:ascii="黑体" w:hAnsi="黑体" w:eastAsia="黑体" w:cs="黑体"/>
        </w:rPr>
        <w:t xml:space="preserve">.0.1  </w:t>
      </w:r>
      <w:r>
        <w:rPr>
          <w:rFonts w:hint="eastAsia"/>
        </w:rPr>
        <w:t>本方法适用于符合下列条件的普通混凝土：</w:t>
      </w:r>
    </w:p>
    <w:p>
      <w:pPr>
        <w:pStyle w:val="26"/>
        <w:tabs>
          <w:tab w:val="left" w:pos="0"/>
          <w:tab w:val="left" w:pos="712"/>
          <w:tab w:val="left" w:pos="990"/>
          <w:tab w:val="left" w:pos="6020"/>
        </w:tabs>
        <w:spacing w:line="360" w:lineRule="auto"/>
        <w:rPr>
          <w:rFonts w:ascii="Times New Roman" w:hAnsi="Times New Roman"/>
          <w:bCs/>
          <w:szCs w:val="20"/>
        </w:rPr>
      </w:pPr>
      <w:r>
        <w:rPr>
          <w:rFonts w:hint="eastAsia" w:ascii="黑体" w:hAnsi="黑体" w:eastAsia="黑体" w:cs="黑体"/>
        </w:rPr>
        <w:t>1</w:t>
      </w:r>
      <w:r>
        <w:rPr>
          <w:rFonts w:ascii="黑体" w:hAnsi="黑体" w:eastAsia="黑体" w:cs="黑体"/>
        </w:rPr>
        <w:t xml:space="preserve"> </w:t>
      </w:r>
      <w:r>
        <w:rPr>
          <w:rFonts w:hint="eastAsia" w:ascii="黑体" w:hAnsi="黑体" w:eastAsia="黑体" w:cs="黑体"/>
        </w:rPr>
        <w:t xml:space="preserve"> </w:t>
      </w:r>
      <w:r>
        <w:rPr>
          <w:rFonts w:hint="eastAsia" w:ascii="宋体" w:hAnsi="宋体" w:eastAsia="宋体" w:cs="宋体"/>
        </w:rPr>
        <w:t>采用的原材料符合国家现行标准的有关规定；</w:t>
      </w:r>
    </w:p>
    <w:p>
      <w:pPr>
        <w:pStyle w:val="26"/>
        <w:tabs>
          <w:tab w:val="left" w:pos="0"/>
          <w:tab w:val="left" w:pos="712"/>
          <w:tab w:val="left" w:pos="990"/>
          <w:tab w:val="left" w:pos="6020"/>
        </w:tabs>
        <w:spacing w:line="360" w:lineRule="auto"/>
        <w:rPr>
          <w:rFonts w:ascii="Times New Roman" w:hAnsi="Times New Roman"/>
          <w:bCs/>
          <w:szCs w:val="20"/>
        </w:rPr>
      </w:pPr>
      <w:r>
        <w:rPr>
          <w:rFonts w:ascii="黑体" w:hAnsi="黑体" w:eastAsia="黑体" w:cs="黑体"/>
        </w:rPr>
        <w:t>2</w:t>
      </w:r>
      <w:r>
        <w:rPr>
          <w:rFonts w:hint="eastAsia" w:ascii="黑体" w:hAnsi="黑体" w:eastAsia="黑体" w:cs="黑体"/>
        </w:rPr>
        <w:t xml:space="preserve">  </w:t>
      </w:r>
      <w:r>
        <w:rPr>
          <w:rFonts w:hint="eastAsia" w:ascii="宋体" w:hAnsi="宋体" w:eastAsia="宋体" w:cs="宋体"/>
        </w:rPr>
        <w:t>自然养护或蒸汽养护后经自然养护</w:t>
      </w:r>
      <w:r>
        <w:rPr>
          <w:rFonts w:hint="eastAsia" w:ascii="Times New Roman" w:hAnsi="Times New Roman" w:eastAsia="宋体" w:cs="Times New Roman"/>
        </w:rPr>
        <w:t>7d</w:t>
      </w:r>
      <w:r>
        <w:rPr>
          <w:rFonts w:hint="eastAsia" w:ascii="宋体" w:hAnsi="宋体" w:eastAsia="宋体" w:cs="宋体"/>
        </w:rPr>
        <w:t>以上，且表面呈干燥状态；</w:t>
      </w:r>
    </w:p>
    <w:p>
      <w:pPr>
        <w:pStyle w:val="26"/>
        <w:tabs>
          <w:tab w:val="left" w:pos="0"/>
          <w:tab w:val="left" w:pos="712"/>
          <w:tab w:val="left" w:pos="990"/>
          <w:tab w:val="left" w:pos="6020"/>
        </w:tabs>
        <w:spacing w:line="360" w:lineRule="auto"/>
        <w:rPr>
          <w:rFonts w:ascii="Times New Roman" w:hAnsi="Times New Roman"/>
          <w:bCs/>
          <w:szCs w:val="20"/>
        </w:rPr>
      </w:pPr>
      <w:r>
        <w:rPr>
          <w:rFonts w:ascii="黑体" w:hAnsi="黑体" w:eastAsia="黑体" w:cs="黑体"/>
        </w:rPr>
        <w:t xml:space="preserve">3 </w:t>
      </w:r>
      <w:r>
        <w:rPr>
          <w:rFonts w:hint="eastAsia" w:ascii="黑体" w:hAnsi="黑体" w:eastAsia="黑体" w:cs="黑体"/>
        </w:rPr>
        <w:t xml:space="preserve"> </w:t>
      </w:r>
      <w:r>
        <w:rPr>
          <w:rFonts w:hint="eastAsia" w:ascii="宋体" w:hAnsi="宋体" w:eastAsia="宋体" w:cs="宋体"/>
        </w:rPr>
        <w:t>龄期为</w:t>
      </w:r>
      <w:r>
        <w:rPr>
          <w:rFonts w:hint="eastAsia" w:ascii="Times New Roman" w:hAnsi="Times New Roman" w:eastAsia="宋体" w:cs="Times New Roman"/>
        </w:rPr>
        <w:t>7d</w:t>
      </w:r>
      <w:r>
        <w:rPr>
          <w:rFonts w:ascii="Times New Roman" w:hAnsi="Times New Roman" w:eastAsia="宋体" w:cs="Times New Roman"/>
        </w:rPr>
        <w:t>~2000</w:t>
      </w:r>
      <w:r>
        <w:rPr>
          <w:rFonts w:hint="eastAsia" w:ascii="Times New Roman" w:hAnsi="Times New Roman" w:eastAsia="宋体" w:cs="Times New Roman"/>
        </w:rPr>
        <w:t>d；</w:t>
      </w:r>
    </w:p>
    <w:p>
      <w:pPr>
        <w:pStyle w:val="26"/>
        <w:tabs>
          <w:tab w:val="left" w:pos="0"/>
          <w:tab w:val="left" w:pos="712"/>
          <w:tab w:val="left" w:pos="990"/>
          <w:tab w:val="left" w:pos="6020"/>
        </w:tabs>
        <w:spacing w:line="360" w:lineRule="auto"/>
        <w:rPr>
          <w:rFonts w:ascii="Times New Roman" w:hAnsi="Times New Roman"/>
          <w:bCs/>
          <w:szCs w:val="20"/>
        </w:rPr>
      </w:pPr>
      <w:r>
        <w:rPr>
          <w:rFonts w:ascii="黑体" w:hAnsi="黑体" w:eastAsia="黑体" w:cs="黑体"/>
        </w:rPr>
        <w:t xml:space="preserve">4 </w:t>
      </w:r>
      <w:r>
        <w:rPr>
          <w:rFonts w:hint="eastAsia" w:ascii="黑体" w:hAnsi="黑体" w:eastAsia="黑体" w:cs="黑体"/>
        </w:rPr>
        <w:t xml:space="preserve"> </w:t>
      </w:r>
      <w:r>
        <w:rPr>
          <w:rFonts w:hint="eastAsia" w:ascii="宋体" w:hAnsi="宋体" w:eastAsia="宋体" w:cs="宋体"/>
        </w:rPr>
        <w:t>抗压强度为</w:t>
      </w:r>
      <w:r>
        <w:rPr>
          <w:rFonts w:ascii="Times New Roman" w:hAnsi="Times New Roman" w:eastAsia="宋体" w:cs="Times New Roman"/>
        </w:rPr>
        <w:t>10MP</w:t>
      </w:r>
      <w:r>
        <w:rPr>
          <w:rFonts w:hint="eastAsia" w:ascii="Times New Roman" w:hAnsi="Times New Roman" w:eastAsia="宋体" w:cs="Times New Roman"/>
        </w:rPr>
        <w:t>a</w:t>
      </w:r>
      <w:r>
        <w:rPr>
          <w:rFonts w:ascii="Times New Roman" w:hAnsi="Times New Roman" w:eastAsia="宋体" w:cs="Times New Roman"/>
        </w:rPr>
        <w:t>~70MP</w:t>
      </w:r>
      <w:r>
        <w:rPr>
          <w:rFonts w:hint="eastAsia" w:ascii="Times New Roman" w:hAnsi="Times New Roman" w:eastAsia="宋体" w:cs="Times New Roman"/>
        </w:rPr>
        <w:t>a</w:t>
      </w:r>
      <w:r>
        <w:rPr>
          <w:rFonts w:hint="eastAsia" w:ascii="宋体" w:hAnsi="宋体" w:eastAsia="宋体" w:cs="宋体"/>
        </w:rPr>
        <w:t>。</w:t>
      </w:r>
    </w:p>
    <w:p>
      <w:r>
        <w:rPr>
          <w:rFonts w:ascii="黑体" w:hAnsi="黑体" w:eastAsia="黑体" w:cs="黑体"/>
        </w:rPr>
        <w:t>C</w:t>
      </w:r>
      <w:r>
        <w:rPr>
          <w:rFonts w:hint="eastAsia" w:ascii="黑体" w:hAnsi="黑体" w:eastAsia="黑体" w:cs="黑体"/>
        </w:rPr>
        <w:t>.0.</w:t>
      </w:r>
      <w:r>
        <w:rPr>
          <w:rFonts w:ascii="黑体" w:hAnsi="黑体" w:eastAsia="黑体" w:cs="黑体"/>
        </w:rPr>
        <w:t>2</w:t>
      </w:r>
      <w:r>
        <w:rPr>
          <w:rFonts w:hint="eastAsia" w:ascii="黑体" w:hAnsi="黑体" w:eastAsia="黑体" w:cs="黑体"/>
        </w:rPr>
        <w:t xml:space="preserve">  </w:t>
      </w:r>
      <w:r>
        <w:rPr>
          <w:rFonts w:hint="eastAsia"/>
        </w:rPr>
        <w:t>回弹测试及回弹值计算应执行</w:t>
      </w:r>
      <w:r>
        <w:t>JGJ/T 23</w:t>
      </w:r>
      <w:r>
        <w:rPr>
          <w:rFonts w:hint="eastAsia"/>
        </w:rPr>
        <w:t>的规定。</w:t>
      </w:r>
    </w:p>
    <w:p>
      <w:r>
        <w:rPr>
          <w:rFonts w:ascii="黑体" w:hAnsi="黑体" w:eastAsia="黑体" w:cs="黑体"/>
        </w:rPr>
        <w:t>C</w:t>
      </w:r>
      <w:r>
        <w:rPr>
          <w:rFonts w:hint="eastAsia" w:ascii="黑体" w:hAnsi="黑体" w:eastAsia="黑体" w:cs="黑体"/>
        </w:rPr>
        <w:t>.0.</w:t>
      </w:r>
      <w:r>
        <w:rPr>
          <w:rFonts w:ascii="黑体" w:hAnsi="黑体" w:eastAsia="黑体" w:cs="黑体"/>
        </w:rPr>
        <w:t>3</w:t>
      </w:r>
      <w:r>
        <w:rPr>
          <w:rFonts w:hint="eastAsia" w:ascii="黑体" w:hAnsi="黑体" w:eastAsia="黑体" w:cs="黑体"/>
        </w:rPr>
        <w:t xml:space="preserve">  </w:t>
      </w:r>
      <w:r>
        <w:rPr>
          <w:rFonts w:hint="eastAsia"/>
        </w:rPr>
        <w:t>超声测试及声速值计算应符合下列要求：</w:t>
      </w:r>
    </w:p>
    <w:p>
      <w:pPr>
        <w:pStyle w:val="26"/>
        <w:tabs>
          <w:tab w:val="left" w:pos="0"/>
          <w:tab w:val="left" w:pos="712"/>
          <w:tab w:val="left" w:pos="990"/>
          <w:tab w:val="left" w:pos="6020"/>
        </w:tabs>
        <w:spacing w:line="360" w:lineRule="auto"/>
        <w:rPr>
          <w:rFonts w:hint="eastAsia" w:ascii="宋体" w:hAnsi="宋体" w:eastAsia="宋体" w:cs="宋体"/>
        </w:rPr>
      </w:pPr>
      <w:r>
        <w:rPr>
          <w:rFonts w:hint="eastAsia" w:ascii="黑体" w:hAnsi="黑体" w:eastAsia="黑体" w:cs="黑体"/>
        </w:rPr>
        <w:t>1</w:t>
      </w:r>
      <w:r>
        <w:rPr>
          <w:rFonts w:ascii="黑体" w:hAnsi="黑体" w:eastAsia="黑体" w:cs="黑体"/>
        </w:rPr>
        <w:t xml:space="preserve"> </w:t>
      </w:r>
      <w:r>
        <w:rPr>
          <w:rFonts w:hint="eastAsia" w:ascii="黑体" w:hAnsi="黑体" w:eastAsia="黑体" w:cs="黑体"/>
        </w:rPr>
        <w:t xml:space="preserve"> </w:t>
      </w:r>
      <w:r>
        <w:rPr>
          <w:rFonts w:hint="eastAsia" w:ascii="宋体" w:hAnsi="宋体" w:eastAsia="宋体" w:cs="宋体"/>
        </w:rPr>
        <w:t>超声测点应布置在回弹测试的同一测区内，每一测区应布置3个测点。超声测试宜采用对测，当被测构件不具备对测条件时，可采用角测或平测。</w:t>
      </w:r>
    </w:p>
    <w:p>
      <w:pPr>
        <w:pStyle w:val="26"/>
        <w:tabs>
          <w:tab w:val="left" w:pos="0"/>
          <w:tab w:val="left" w:pos="712"/>
          <w:tab w:val="left" w:pos="990"/>
          <w:tab w:val="left" w:pos="6020"/>
        </w:tabs>
        <w:spacing w:line="360" w:lineRule="auto"/>
        <w:rPr>
          <w:rFonts w:hint="eastAsia" w:ascii="宋体" w:hAnsi="宋体" w:eastAsia="宋体" w:cs="宋体"/>
        </w:rPr>
      </w:pPr>
      <w:r>
        <w:rPr>
          <w:rFonts w:hint="eastAsia" w:ascii="黑体" w:hAnsi="黑体" w:eastAsia="黑体" w:cs="黑体"/>
        </w:rPr>
        <w:t>2</w:t>
      </w:r>
      <w:r>
        <w:rPr>
          <w:rFonts w:ascii="宋体" w:hAnsi="宋体" w:eastAsia="宋体" w:cs="宋体"/>
        </w:rPr>
        <w:t xml:space="preserve"> </w:t>
      </w:r>
      <w:r>
        <w:rPr>
          <w:rFonts w:hint="eastAsia" w:ascii="宋体" w:hAnsi="宋体" w:eastAsia="宋体" w:cs="宋体"/>
        </w:rPr>
        <w:t xml:space="preserve"> 超声角测和声速计算方法应符合下列要求：</w:t>
      </w:r>
    </w:p>
    <w:p>
      <w:pPr>
        <w:numPr>
          <w:ilvl w:val="0"/>
          <w:numId w:val="31"/>
        </w:numPr>
        <w:tabs>
          <w:tab w:val="left" w:pos="6020"/>
        </w:tabs>
        <w:spacing w:line="360" w:lineRule="auto"/>
        <w:ind w:left="1058" w:leftChars="334" w:hanging="357" w:hangingChars="170"/>
        <w:rPr>
          <w:rFonts w:ascii="Times New Roman" w:hAnsi="Times New Roman"/>
          <w:bCs/>
          <w:szCs w:val="20"/>
        </w:rPr>
      </w:pPr>
      <w:r>
        <w:rPr>
          <w:rFonts w:hint="eastAsia" w:ascii="Times New Roman" w:hAnsi="Times New Roman"/>
          <w:bCs/>
          <w:szCs w:val="20"/>
        </w:rPr>
        <w:t>当构件只有两个相邻测试面可供检测，可采用角测法（图</w:t>
      </w:r>
      <w:r>
        <w:rPr>
          <w:rFonts w:ascii="黑体" w:hAnsi="黑体" w:eastAsia="黑体" w:cs="黑体"/>
        </w:rPr>
        <w:t>C</w:t>
      </w:r>
      <w:r>
        <w:rPr>
          <w:rFonts w:hint="eastAsia" w:ascii="黑体" w:hAnsi="黑体" w:eastAsia="黑体" w:cs="黑体"/>
        </w:rPr>
        <w:t>.0.</w:t>
      </w:r>
      <w:r>
        <w:rPr>
          <w:rFonts w:ascii="黑体" w:hAnsi="黑体" w:eastAsia="黑体" w:cs="黑体"/>
        </w:rPr>
        <w:t>3-1</w:t>
      </w:r>
      <w:r>
        <w:rPr>
          <w:rFonts w:hint="eastAsia" w:ascii="Times New Roman" w:hAnsi="Times New Roman"/>
          <w:bCs/>
          <w:szCs w:val="20"/>
        </w:rPr>
        <w:t>）测量混凝土中的声速。每个测区应布置3个测点，并应与相应测试面对应的</w:t>
      </w:r>
      <w:r>
        <w:rPr>
          <w:rFonts w:ascii="Times New Roman" w:hAnsi="Times New Roman"/>
          <w:bCs/>
          <w:szCs w:val="20"/>
        </w:rPr>
        <w:t>3</w:t>
      </w:r>
      <w:r>
        <w:rPr>
          <w:rFonts w:hint="eastAsia" w:ascii="Times New Roman" w:hAnsi="Times New Roman"/>
          <w:bCs/>
          <w:szCs w:val="20"/>
        </w:rPr>
        <w:t>个测点的测距保持基本一致。</w:t>
      </w:r>
    </w:p>
    <w:p>
      <w:pPr>
        <w:tabs>
          <w:tab w:val="left" w:pos="6020"/>
        </w:tabs>
        <w:jc w:val="center"/>
        <w:rPr>
          <w:rFonts w:ascii="Times New Roman" w:hAnsi="Times New Roman"/>
          <w:bCs/>
          <w:szCs w:val="20"/>
        </w:rPr>
      </w:pPr>
      <w:r>
        <w:drawing>
          <wp:inline distT="0" distB="0" distL="0" distR="0">
            <wp:extent cx="2139950" cy="1660525"/>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5"/>
                    <a:srcRect b="17182"/>
                    <a:stretch>
                      <a:fillRect/>
                    </a:stretch>
                  </pic:blipFill>
                  <pic:spPr>
                    <a:xfrm>
                      <a:off x="0" y="0"/>
                      <a:ext cx="2142260" cy="1661952"/>
                    </a:xfrm>
                    <a:prstGeom prst="rect">
                      <a:avLst/>
                    </a:prstGeom>
                    <a:ln>
                      <a:noFill/>
                    </a:ln>
                  </pic:spPr>
                </pic:pic>
              </a:graphicData>
            </a:graphic>
          </wp:inline>
        </w:drawing>
      </w:r>
    </w:p>
    <w:p>
      <w:pPr>
        <w:tabs>
          <w:tab w:val="left" w:pos="6020"/>
        </w:tabs>
        <w:jc w:val="center"/>
        <w:rPr>
          <w:rFonts w:hint="eastAsia" w:ascii="黑体" w:hAnsi="黑体" w:eastAsia="黑体" w:cs="黑体"/>
          <w:sz w:val="18"/>
          <w:szCs w:val="18"/>
        </w:rPr>
      </w:pPr>
      <w:r>
        <w:rPr>
          <w:rFonts w:hint="eastAsia" w:ascii="Times New Roman" w:hAnsi="Times New Roman"/>
          <w:bCs/>
          <w:sz w:val="18"/>
          <w:szCs w:val="18"/>
        </w:rPr>
        <w:t>图</w:t>
      </w:r>
      <w:r>
        <w:rPr>
          <w:rFonts w:ascii="黑体" w:hAnsi="黑体" w:eastAsia="黑体" w:cs="黑体"/>
          <w:sz w:val="18"/>
          <w:szCs w:val="18"/>
        </w:rPr>
        <w:t>C</w:t>
      </w:r>
      <w:r>
        <w:rPr>
          <w:rFonts w:hint="eastAsia" w:ascii="黑体" w:hAnsi="黑体" w:eastAsia="黑体" w:cs="黑体"/>
          <w:sz w:val="18"/>
          <w:szCs w:val="18"/>
        </w:rPr>
        <w:t>.0.</w:t>
      </w:r>
      <w:r>
        <w:rPr>
          <w:rFonts w:ascii="黑体" w:hAnsi="黑体" w:eastAsia="黑体" w:cs="黑体"/>
          <w:sz w:val="18"/>
          <w:szCs w:val="18"/>
        </w:rPr>
        <w:t xml:space="preserve">3-1 </w:t>
      </w:r>
      <w:r>
        <w:rPr>
          <w:rFonts w:hint="eastAsia" w:ascii="黑体" w:hAnsi="黑体" w:eastAsia="黑体" w:cs="黑体"/>
          <w:sz w:val="18"/>
          <w:szCs w:val="18"/>
        </w:rPr>
        <w:t>角测示意图</w:t>
      </w:r>
    </w:p>
    <w:p>
      <w:pPr>
        <w:tabs>
          <w:tab w:val="left" w:pos="6020"/>
        </w:tabs>
        <w:jc w:val="center"/>
        <w:rPr>
          <w:rFonts w:hint="eastAsia" w:ascii="黑体" w:hAnsi="黑体" w:eastAsia="黑体" w:cs="黑体"/>
          <w:sz w:val="18"/>
          <w:szCs w:val="18"/>
        </w:rPr>
      </w:pPr>
      <w:r>
        <w:rPr>
          <w:rFonts w:hint="eastAsia" w:ascii="黑体" w:hAnsi="黑体" w:eastAsia="黑体" w:cs="黑体"/>
          <w:sz w:val="18"/>
          <w:szCs w:val="18"/>
        </w:rPr>
        <w:t>1——箍筋；2——主筋；F——发射换能器；S——接收换能器</w:t>
      </w:r>
    </w:p>
    <w:p>
      <w:pPr>
        <w:tabs>
          <w:tab w:val="left" w:pos="6020"/>
        </w:tabs>
        <w:ind w:firstLine="603" w:firstLineChars="335"/>
        <w:jc w:val="center"/>
        <w:rPr>
          <w:rFonts w:ascii="Times New Roman" w:hAnsi="Times New Roman"/>
          <w:bCs/>
          <w:sz w:val="18"/>
          <w:szCs w:val="18"/>
        </w:rPr>
      </w:pPr>
    </w:p>
    <w:p>
      <w:pPr>
        <w:numPr>
          <w:ilvl w:val="0"/>
          <w:numId w:val="31"/>
        </w:numPr>
        <w:tabs>
          <w:tab w:val="left" w:pos="6020"/>
        </w:tabs>
        <w:spacing w:line="360" w:lineRule="auto"/>
        <w:ind w:left="1058" w:leftChars="334" w:hanging="357" w:hangingChars="170"/>
        <w:rPr>
          <w:rFonts w:ascii="Times New Roman" w:hAnsi="Times New Roman"/>
          <w:bCs/>
          <w:szCs w:val="20"/>
        </w:rPr>
      </w:pPr>
      <w:r>
        <w:rPr>
          <w:rFonts w:hint="eastAsia" w:ascii="Times New Roman" w:hAnsi="Times New Roman"/>
          <w:bCs/>
          <w:szCs w:val="20"/>
        </w:rPr>
        <w:t>布置超声测点时，换能器中心与构件边缘的距离</w:t>
      </w:r>
      <m:oMath>
        <m:sSub>
          <m:sSubPr>
            <m:ctrlPr>
              <w:rPr>
                <w:rFonts w:ascii="Cambria Math" w:hAnsi="Cambria Math" w:cs="Times New Roman"/>
                <w:i/>
                <w:kern w:val="0"/>
                <w:szCs w:val="21"/>
              </w:rPr>
            </m:ctrlPr>
          </m:sSubPr>
          <m:e>
            <m:r>
              <m:rPr/>
              <w:rPr>
                <w:rFonts w:hint="eastAsia" w:ascii="Cambria Math" w:hAnsi="Cambria Math" w:cs="Times New Roman"/>
                <w:kern w:val="0"/>
                <w:szCs w:val="21"/>
              </w:rPr>
              <m:t>l</m:t>
            </m:r>
            <m:ctrlPr>
              <w:rPr>
                <w:rFonts w:ascii="Cambria Math" w:hAnsi="Cambria Math" w:cs="Times New Roman"/>
                <w:i/>
                <w:kern w:val="0"/>
                <w:szCs w:val="21"/>
              </w:rPr>
            </m:ctrlPr>
          </m:e>
          <m:sub>
            <m:r>
              <m:rPr/>
              <w:rPr>
                <w:rFonts w:ascii="Cambria Math" w:hAnsi="Cambria Math" w:cs="Times New Roman"/>
                <w:kern w:val="0"/>
                <w:szCs w:val="21"/>
              </w:rPr>
              <m:t>1</m:t>
            </m:r>
            <m:r>
              <m:rPr/>
              <w:rPr>
                <w:rFonts w:hint="eastAsia" w:ascii="Cambria Math" w:hAnsi="Cambria Math" w:cs="Times New Roman"/>
                <w:kern w:val="0"/>
                <w:szCs w:val="21"/>
              </w:rPr>
              <m:t>i</m:t>
            </m:r>
            <m:ctrlPr>
              <w:rPr>
                <w:rFonts w:ascii="Cambria Math" w:hAnsi="Cambria Math" w:cs="Times New Roman"/>
                <w:i/>
                <w:kern w:val="0"/>
                <w:szCs w:val="21"/>
              </w:rPr>
            </m:ctrlPr>
          </m:sub>
        </m:sSub>
      </m:oMath>
      <w:r>
        <w:rPr>
          <w:rFonts w:hint="eastAsia" w:ascii="Times New Roman" w:hAnsi="Times New Roman"/>
          <w:bCs/>
          <w:szCs w:val="20"/>
        </w:rPr>
        <w:t xml:space="preserve"> 、</w:t>
      </w:r>
      <m:oMath>
        <m:sSub>
          <m:sSubPr>
            <m:ctrlPr>
              <w:rPr>
                <w:rFonts w:ascii="Cambria Math" w:hAnsi="Cambria Math" w:cs="Times New Roman"/>
                <w:i/>
                <w:kern w:val="0"/>
                <w:szCs w:val="21"/>
              </w:rPr>
            </m:ctrlPr>
          </m:sSubPr>
          <m:e>
            <m:r>
              <m:rPr/>
              <w:rPr>
                <w:rFonts w:hint="eastAsia" w:ascii="Cambria Math" w:hAnsi="Cambria Math" w:cs="Times New Roman"/>
                <w:kern w:val="0"/>
                <w:szCs w:val="21"/>
              </w:rPr>
              <m:t>l</m:t>
            </m:r>
            <m:ctrlPr>
              <w:rPr>
                <w:rFonts w:ascii="Cambria Math" w:hAnsi="Cambria Math" w:cs="Times New Roman"/>
                <w:i/>
                <w:kern w:val="0"/>
                <w:szCs w:val="21"/>
              </w:rPr>
            </m:ctrlPr>
          </m:e>
          <m:sub>
            <m:r>
              <m:rPr/>
              <w:rPr>
                <w:rFonts w:ascii="Cambria Math" w:hAnsi="Cambria Math" w:cs="Times New Roman"/>
                <w:kern w:val="0"/>
                <w:szCs w:val="21"/>
              </w:rPr>
              <m:t>2</m:t>
            </m:r>
            <m:r>
              <m:rPr/>
              <w:rPr>
                <w:rFonts w:hint="eastAsia" w:ascii="Cambria Math" w:hAnsi="Cambria Math" w:cs="Times New Roman"/>
                <w:kern w:val="0"/>
                <w:szCs w:val="21"/>
              </w:rPr>
              <m:t>i</m:t>
            </m:r>
            <m:ctrlPr>
              <w:rPr>
                <w:rFonts w:ascii="Cambria Math" w:hAnsi="Cambria Math" w:cs="Times New Roman"/>
                <w:i/>
                <w:kern w:val="0"/>
                <w:szCs w:val="21"/>
              </w:rPr>
            </m:ctrlPr>
          </m:sub>
        </m:sSub>
      </m:oMath>
      <w:r>
        <w:rPr>
          <w:rFonts w:hint="eastAsia" w:ascii="Times New Roman" w:hAnsi="Times New Roman"/>
          <w:kern w:val="0"/>
          <w:szCs w:val="21"/>
        </w:rPr>
        <w:t>不宜小</w:t>
      </w:r>
      <w:r>
        <w:rPr>
          <w:rFonts w:hint="eastAsia" w:ascii="Times New Roman" w:hAnsi="Times New Roman"/>
          <w:bCs/>
          <w:szCs w:val="20"/>
        </w:rPr>
        <w:t>于300mm，且两者相差不宜大于1.5倍。</w:t>
      </w:r>
    </w:p>
    <w:p>
      <w:pPr>
        <w:numPr>
          <w:ilvl w:val="0"/>
          <w:numId w:val="31"/>
        </w:numPr>
        <w:tabs>
          <w:tab w:val="left" w:pos="6020"/>
        </w:tabs>
        <w:spacing w:line="360" w:lineRule="auto"/>
        <w:ind w:left="1058" w:leftChars="334" w:hanging="357" w:hangingChars="170"/>
        <w:rPr>
          <w:rFonts w:hint="eastAsia" w:ascii="宋体" w:hAnsi="宋体" w:eastAsia="宋体" w:cs="宋体"/>
        </w:rPr>
      </w:pPr>
      <w:r>
        <w:rPr>
          <w:rFonts w:hint="eastAsia" w:ascii="Times New Roman" w:hAnsi="Times New Roman"/>
          <w:bCs/>
          <w:szCs w:val="20"/>
        </w:rPr>
        <w:t>超声测距应按下式计算：</w:t>
      </w:r>
    </w:p>
    <w:tbl>
      <w:tblPr>
        <w:tblStyle w:val="20"/>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808"/>
        <w:gridCol w:w="4679"/>
        <w:gridCol w:w="202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4" w:hRule="atLeast"/>
        </w:trPr>
        <w:tc>
          <w:tcPr>
            <w:tcW w:w="1062" w:type="pct"/>
            <w:vAlign w:val="center"/>
          </w:tcPr>
          <w:p>
            <w:pPr>
              <w:spacing w:line="360" w:lineRule="auto"/>
              <w:rPr>
                <w:rFonts w:hint="eastAsia" w:ascii="宋体" w:hAnsi="宋体" w:eastAsia="宋体" w:cs="宋体"/>
              </w:rPr>
            </w:pPr>
          </w:p>
        </w:tc>
        <w:tc>
          <w:tcPr>
            <w:tcW w:w="2747" w:type="pct"/>
            <w:vAlign w:val="center"/>
          </w:tcPr>
          <w:p>
            <w:pPr>
              <w:spacing w:line="360" w:lineRule="auto"/>
              <w:rPr>
                <w:rFonts w:hint="eastAsia" w:ascii="宋体" w:hAnsi="宋体" w:eastAsia="宋体" w:cs="宋体"/>
              </w:rPr>
            </w:pPr>
            <m:oMathPara>
              <m:oMath>
                <m:sSub>
                  <m:sSubPr>
                    <m:ctrlPr>
                      <w:rPr>
                        <w:rFonts w:ascii="Cambria Math" w:hAnsi="Cambria Math" w:cs="Times New Roman"/>
                        <w:i/>
                        <w:kern w:val="0"/>
                        <w:szCs w:val="21"/>
                      </w:rPr>
                    </m:ctrlPr>
                  </m:sSubPr>
                  <m:e>
                    <m:r>
                      <m:rPr/>
                      <w:rPr>
                        <w:rFonts w:hint="eastAsia" w:ascii="Cambria Math" w:hAnsi="Cambria Math" w:cs="Times New Roman"/>
                        <w:kern w:val="0"/>
                        <w:szCs w:val="21"/>
                      </w:rPr>
                      <m:t>l</m:t>
                    </m:r>
                    <m:ctrlPr>
                      <w:rPr>
                        <w:rFonts w:ascii="Cambria Math" w:hAnsi="Cambria Math" w:cs="Times New Roman"/>
                        <w:i/>
                        <w:kern w:val="0"/>
                        <w:szCs w:val="21"/>
                      </w:rPr>
                    </m:ctrlPr>
                  </m:e>
                  <m:sub>
                    <m:r>
                      <m:rPr/>
                      <w:rPr>
                        <w:rFonts w:hint="eastAsia" w:ascii="Cambria Math" w:hAnsi="Cambria Math" w:cs="Times New Roman"/>
                        <w:kern w:val="0"/>
                        <w:szCs w:val="21"/>
                      </w:rPr>
                      <m:t>i</m:t>
                    </m:r>
                    <m:ctrlPr>
                      <w:rPr>
                        <w:rFonts w:ascii="Cambria Math" w:hAnsi="Cambria Math" w:cs="Times New Roman"/>
                        <w:i/>
                        <w:kern w:val="0"/>
                        <w:szCs w:val="21"/>
                      </w:rPr>
                    </m:ctrlPr>
                  </m:sub>
                </m:sSub>
                <m:r>
                  <m:rPr/>
                  <w:rPr>
                    <w:rFonts w:ascii="Cambria Math" w:hAnsi="Cambria Math" w:cs="Times New Roman"/>
                    <w:kern w:val="0"/>
                    <w:szCs w:val="21"/>
                  </w:rPr>
                  <m:t>=</m:t>
                </m:r>
                <m:rad>
                  <m:radPr>
                    <m:degHide m:val="1"/>
                    <m:ctrlPr>
                      <w:rPr>
                        <w:rFonts w:ascii="Cambria Math" w:hAnsi="Cambria Math" w:cs="Times New Roman"/>
                        <w:i/>
                        <w:kern w:val="0"/>
                        <w:szCs w:val="21"/>
                      </w:rPr>
                    </m:ctrlPr>
                  </m:radPr>
                  <m:deg>
                    <m:ctrlPr>
                      <w:rPr>
                        <w:rFonts w:ascii="Cambria Math" w:hAnsi="Cambria Math" w:cs="Times New Roman"/>
                        <w:i/>
                        <w:kern w:val="0"/>
                        <w:szCs w:val="21"/>
                      </w:rPr>
                    </m:ctrlPr>
                  </m:deg>
                  <m:e>
                    <m:sSubSup>
                      <m:sSubSupPr>
                        <m:ctrlPr>
                          <w:rPr>
                            <w:rFonts w:ascii="Cambria Math" w:hAnsi="Cambria Math" w:cs="Times New Roman"/>
                            <w:i/>
                            <w:kern w:val="0"/>
                            <w:szCs w:val="21"/>
                          </w:rPr>
                        </m:ctrlPr>
                      </m:sSubSupPr>
                      <m:e>
                        <m:r>
                          <m:rPr/>
                          <w:rPr>
                            <w:rFonts w:hint="eastAsia" w:ascii="Cambria Math" w:hAnsi="Cambria Math" w:cs="Times New Roman"/>
                            <w:kern w:val="0"/>
                            <w:szCs w:val="21"/>
                          </w:rPr>
                          <m:t>l</m:t>
                        </m:r>
                        <m:ctrlPr>
                          <w:rPr>
                            <w:rFonts w:ascii="Cambria Math" w:hAnsi="Cambria Math" w:cs="Times New Roman"/>
                            <w:i/>
                            <w:kern w:val="0"/>
                            <w:szCs w:val="21"/>
                          </w:rPr>
                        </m:ctrlPr>
                      </m:e>
                      <m:sub>
                        <m:r>
                          <m:rPr/>
                          <w:rPr>
                            <w:rFonts w:ascii="Cambria Math" w:hAnsi="Cambria Math" w:cs="Times New Roman"/>
                            <w:kern w:val="0"/>
                            <w:szCs w:val="21"/>
                          </w:rPr>
                          <m:t>1i</m:t>
                        </m:r>
                        <m:ctrlPr>
                          <w:rPr>
                            <w:rFonts w:ascii="Cambria Math" w:hAnsi="Cambria Math" w:cs="Times New Roman"/>
                            <w:i/>
                            <w:kern w:val="0"/>
                            <w:szCs w:val="21"/>
                          </w:rPr>
                        </m:ctrlPr>
                      </m:sub>
                      <m:sup>
                        <m:r>
                          <m:rPr/>
                          <w:rPr>
                            <w:rFonts w:ascii="Cambria Math" w:hAnsi="Cambria Math" w:cs="Times New Roman"/>
                            <w:kern w:val="0"/>
                            <w:szCs w:val="21"/>
                          </w:rPr>
                          <m:t>2</m:t>
                        </m:r>
                        <m:ctrlPr>
                          <w:rPr>
                            <w:rFonts w:ascii="Cambria Math" w:hAnsi="Cambria Math" w:cs="Times New Roman"/>
                            <w:i/>
                            <w:kern w:val="0"/>
                            <w:szCs w:val="21"/>
                          </w:rPr>
                        </m:ctrlPr>
                      </m:sup>
                    </m:sSubSup>
                    <m:r>
                      <m:rPr/>
                      <w:rPr>
                        <w:rFonts w:ascii="Cambria Math" w:hAnsi="Cambria Math" w:cs="Times New Roman"/>
                        <w:kern w:val="0"/>
                        <w:szCs w:val="21"/>
                      </w:rPr>
                      <m:t>+</m:t>
                    </m:r>
                    <m:sSubSup>
                      <m:sSubSupPr>
                        <m:ctrlPr>
                          <w:rPr>
                            <w:rFonts w:ascii="Cambria Math" w:hAnsi="Cambria Math" w:cs="Times New Roman"/>
                            <w:i/>
                            <w:kern w:val="0"/>
                            <w:szCs w:val="21"/>
                          </w:rPr>
                        </m:ctrlPr>
                      </m:sSubSupPr>
                      <m:e>
                        <m:r>
                          <m:rPr/>
                          <w:rPr>
                            <w:rFonts w:ascii="Cambria Math" w:hAnsi="Cambria Math" w:cs="Times New Roman"/>
                            <w:kern w:val="0"/>
                            <w:szCs w:val="21"/>
                          </w:rPr>
                          <m:t>l</m:t>
                        </m:r>
                        <m:ctrlPr>
                          <w:rPr>
                            <w:rFonts w:ascii="Cambria Math" w:hAnsi="Cambria Math" w:cs="Times New Roman"/>
                            <w:i/>
                            <w:kern w:val="0"/>
                            <w:szCs w:val="21"/>
                          </w:rPr>
                        </m:ctrlPr>
                      </m:e>
                      <m:sub>
                        <m:r>
                          <m:rPr/>
                          <w:rPr>
                            <w:rFonts w:ascii="Cambria Math" w:hAnsi="Cambria Math" w:cs="Times New Roman"/>
                            <w:kern w:val="0"/>
                            <w:szCs w:val="21"/>
                          </w:rPr>
                          <m:t>2i</m:t>
                        </m:r>
                        <m:ctrlPr>
                          <w:rPr>
                            <w:rFonts w:ascii="Cambria Math" w:hAnsi="Cambria Math" w:cs="Times New Roman"/>
                            <w:i/>
                            <w:kern w:val="0"/>
                            <w:szCs w:val="21"/>
                          </w:rPr>
                        </m:ctrlPr>
                      </m:sub>
                      <m:sup>
                        <m:r>
                          <m:rPr/>
                          <w:rPr>
                            <w:rFonts w:ascii="Cambria Math" w:hAnsi="Cambria Math" w:cs="Times New Roman"/>
                            <w:kern w:val="0"/>
                            <w:szCs w:val="21"/>
                          </w:rPr>
                          <m:t>2</m:t>
                        </m:r>
                        <m:ctrlPr>
                          <w:rPr>
                            <w:rFonts w:ascii="Cambria Math" w:hAnsi="Cambria Math" w:cs="Times New Roman"/>
                            <w:i/>
                            <w:kern w:val="0"/>
                            <w:szCs w:val="21"/>
                          </w:rPr>
                        </m:ctrlPr>
                      </m:sup>
                    </m:sSubSup>
                    <m:ctrlPr>
                      <w:rPr>
                        <w:rFonts w:ascii="Cambria Math" w:hAnsi="Cambria Math" w:cs="Times New Roman"/>
                        <w:i/>
                        <w:kern w:val="0"/>
                        <w:szCs w:val="21"/>
                      </w:rPr>
                    </m:ctrlPr>
                  </m:e>
                </m:rad>
              </m:oMath>
            </m:oMathPara>
          </w:p>
        </w:tc>
        <w:tc>
          <w:tcPr>
            <w:tcW w:w="1191" w:type="pct"/>
            <w:vAlign w:val="center"/>
          </w:tcPr>
          <w:p>
            <w:pPr>
              <w:spacing w:line="360" w:lineRule="auto"/>
              <w:rPr>
                <w:rFonts w:hint="eastAsia" w:ascii="宋体" w:hAnsi="宋体" w:eastAsia="宋体" w:cs="宋体"/>
              </w:rPr>
            </w:pPr>
            <w:r>
              <w:rPr>
                <w:rFonts w:hint="eastAsia" w:ascii="Times New Roman" w:hAnsi="Times New Roman"/>
                <w:bCs/>
                <w:szCs w:val="20"/>
              </w:rPr>
              <w:t>（</w:t>
            </w:r>
            <w:r>
              <w:rPr>
                <w:rFonts w:ascii="黑体" w:hAnsi="黑体" w:eastAsia="黑体" w:cs="黑体"/>
              </w:rPr>
              <w:t>C</w:t>
            </w:r>
            <w:r>
              <w:rPr>
                <w:rFonts w:hint="eastAsia" w:ascii="黑体" w:hAnsi="黑体" w:eastAsia="黑体" w:cs="黑体"/>
              </w:rPr>
              <w:t>.0.</w:t>
            </w:r>
            <w:r>
              <w:rPr>
                <w:rFonts w:ascii="黑体" w:hAnsi="黑体" w:eastAsia="黑体" w:cs="黑体"/>
              </w:rPr>
              <w:t>3-1</w:t>
            </w:r>
            <w:r>
              <w:rPr>
                <w:rFonts w:hint="eastAsia" w:ascii="Times New Roman" w:hAnsi="Times New Roman"/>
                <w:bCs/>
                <w:szCs w:val="20"/>
              </w:rPr>
              <w:t>）</w:t>
            </w:r>
          </w:p>
        </w:tc>
      </w:tr>
    </w:tbl>
    <w:p>
      <w:pPr>
        <w:tabs>
          <w:tab w:val="left" w:pos="6020"/>
        </w:tabs>
        <w:spacing w:line="360" w:lineRule="auto"/>
        <w:ind w:firstLine="1058" w:firstLineChars="504"/>
        <w:rPr>
          <w:rFonts w:ascii="Times New Roman" w:hAnsi="Times New Roman"/>
          <w:bCs/>
          <w:szCs w:val="20"/>
        </w:rPr>
      </w:pPr>
      <w:r>
        <w:rPr>
          <w:rFonts w:hint="eastAsia" w:ascii="Times New Roman" w:hAnsi="Times New Roman"/>
          <w:bCs/>
          <w:szCs w:val="20"/>
        </w:rPr>
        <w:t>式中：</w:t>
      </w:r>
      <m:oMath>
        <m:sSub>
          <m:sSubPr>
            <m:ctrlPr>
              <w:rPr>
                <w:rFonts w:ascii="Cambria Math" w:hAnsi="Cambria Math" w:cs="Times New Roman"/>
                <w:i/>
                <w:kern w:val="0"/>
                <w:szCs w:val="21"/>
              </w:rPr>
            </m:ctrlPr>
          </m:sSubPr>
          <m:e>
            <m:r>
              <m:rPr/>
              <w:rPr>
                <w:rFonts w:hint="eastAsia" w:ascii="Cambria Math" w:hAnsi="Cambria Math" w:cs="Times New Roman"/>
                <w:kern w:val="0"/>
                <w:szCs w:val="21"/>
              </w:rPr>
              <m:t>l</m:t>
            </m:r>
            <m:ctrlPr>
              <w:rPr>
                <w:rFonts w:ascii="Cambria Math" w:hAnsi="Cambria Math" w:cs="Times New Roman"/>
                <w:i/>
                <w:kern w:val="0"/>
                <w:szCs w:val="21"/>
              </w:rPr>
            </m:ctrlPr>
          </m:e>
          <m:sub>
            <m:r>
              <m:rPr/>
              <w:rPr>
                <w:rFonts w:hint="eastAsia" w:ascii="Cambria Math" w:hAnsi="Cambria Math" w:cs="Times New Roman"/>
                <w:kern w:val="0"/>
                <w:szCs w:val="21"/>
              </w:rPr>
              <m:t>i</m:t>
            </m:r>
            <m:ctrlPr>
              <w:rPr>
                <w:rFonts w:ascii="Cambria Math" w:hAnsi="Cambria Math" w:cs="Times New Roman"/>
                <w:i/>
                <w:kern w:val="0"/>
                <w:szCs w:val="21"/>
              </w:rPr>
            </m:ctrlPr>
          </m:sub>
        </m:sSub>
      </m:oMath>
      <w:r>
        <w:rPr>
          <w:rFonts w:hint="eastAsia" w:ascii="Times New Roman" w:hAnsi="Times New Roman"/>
          <w:bCs/>
          <w:szCs w:val="20"/>
        </w:rPr>
        <w:t>——第i个测点的超声测距 （mm）；</w:t>
      </w:r>
    </w:p>
    <w:p>
      <w:pPr>
        <w:pStyle w:val="26"/>
        <w:tabs>
          <w:tab w:val="left" w:pos="712"/>
          <w:tab w:val="left" w:pos="990"/>
          <w:tab w:val="left" w:pos="6020"/>
        </w:tabs>
        <w:spacing w:line="360" w:lineRule="auto"/>
        <w:ind w:left="1050" w:leftChars="500" w:firstLine="8" w:firstLineChars="0"/>
        <w:rPr>
          <w:rFonts w:ascii="Times New Roman" w:hAnsi="Times New Roman"/>
          <w:bCs/>
          <w:szCs w:val="20"/>
        </w:rPr>
      </w:pPr>
      <m:oMath>
        <m:sSub>
          <m:sSubPr>
            <m:ctrlPr>
              <w:rPr>
                <w:rFonts w:ascii="Cambria Math" w:hAnsi="Cambria Math" w:cs="Times New Roman"/>
                <w:i/>
                <w:kern w:val="0"/>
                <w:szCs w:val="21"/>
              </w:rPr>
            </m:ctrlPr>
          </m:sSubPr>
          <m:e>
            <m:r>
              <m:rPr/>
              <w:rPr>
                <w:rFonts w:hint="eastAsia" w:ascii="Cambria Math" w:hAnsi="Cambria Math" w:cs="Times New Roman"/>
                <w:kern w:val="0"/>
                <w:szCs w:val="21"/>
              </w:rPr>
              <m:t>l</m:t>
            </m:r>
            <m:ctrlPr>
              <w:rPr>
                <w:rFonts w:ascii="Cambria Math" w:hAnsi="Cambria Math" w:cs="Times New Roman"/>
                <w:i/>
                <w:kern w:val="0"/>
                <w:szCs w:val="21"/>
              </w:rPr>
            </m:ctrlPr>
          </m:e>
          <m:sub>
            <m:r>
              <m:rPr/>
              <w:rPr>
                <w:rFonts w:ascii="Cambria Math" w:hAnsi="Cambria Math" w:cs="Times New Roman"/>
                <w:kern w:val="0"/>
                <w:szCs w:val="21"/>
              </w:rPr>
              <m:t>1</m:t>
            </m:r>
            <m:r>
              <m:rPr/>
              <w:rPr>
                <w:rFonts w:hint="eastAsia" w:ascii="Cambria Math" w:hAnsi="Cambria Math" w:cs="Times New Roman"/>
                <w:kern w:val="0"/>
                <w:szCs w:val="21"/>
              </w:rPr>
              <m:t>i</m:t>
            </m:r>
            <m:ctrlPr>
              <w:rPr>
                <w:rFonts w:ascii="Cambria Math" w:hAnsi="Cambria Math" w:cs="Times New Roman"/>
                <w:i/>
                <w:kern w:val="0"/>
                <w:szCs w:val="21"/>
              </w:rPr>
            </m:ctrlPr>
          </m:sub>
        </m:sSub>
      </m:oMath>
      <w:r>
        <w:rPr>
          <w:rFonts w:hint="eastAsia" w:ascii="Times New Roman" w:hAnsi="Times New Roman"/>
          <w:bCs/>
          <w:szCs w:val="20"/>
        </w:rPr>
        <w:t xml:space="preserve"> 、</w:t>
      </w:r>
      <m:oMath>
        <m:sSub>
          <m:sSubPr>
            <m:ctrlPr>
              <w:rPr>
                <w:rFonts w:ascii="Cambria Math" w:hAnsi="Cambria Math" w:cs="Times New Roman"/>
                <w:i/>
                <w:kern w:val="0"/>
                <w:szCs w:val="21"/>
              </w:rPr>
            </m:ctrlPr>
          </m:sSubPr>
          <m:e>
            <m:r>
              <m:rPr/>
              <w:rPr>
                <w:rFonts w:hint="eastAsia" w:ascii="Cambria Math" w:hAnsi="Cambria Math" w:cs="Times New Roman"/>
                <w:kern w:val="0"/>
                <w:szCs w:val="21"/>
              </w:rPr>
              <m:t>l</m:t>
            </m:r>
            <m:ctrlPr>
              <w:rPr>
                <w:rFonts w:ascii="Cambria Math" w:hAnsi="Cambria Math" w:cs="Times New Roman"/>
                <w:i/>
                <w:kern w:val="0"/>
                <w:szCs w:val="21"/>
              </w:rPr>
            </m:ctrlPr>
          </m:e>
          <m:sub>
            <m:r>
              <m:rPr/>
              <w:rPr>
                <w:rFonts w:ascii="Cambria Math" w:hAnsi="Cambria Math" w:cs="Times New Roman"/>
                <w:kern w:val="0"/>
                <w:szCs w:val="21"/>
              </w:rPr>
              <m:t>2</m:t>
            </m:r>
            <m:r>
              <m:rPr/>
              <w:rPr>
                <w:rFonts w:hint="eastAsia" w:ascii="Cambria Math" w:hAnsi="Cambria Math" w:cs="Times New Roman"/>
                <w:kern w:val="0"/>
                <w:szCs w:val="21"/>
              </w:rPr>
              <m:t>i</m:t>
            </m:r>
            <m:ctrlPr>
              <w:rPr>
                <w:rFonts w:ascii="Cambria Math" w:hAnsi="Cambria Math" w:cs="Times New Roman"/>
                <w:i/>
                <w:kern w:val="0"/>
                <w:szCs w:val="21"/>
              </w:rPr>
            </m:ctrlPr>
          </m:sub>
        </m:sSub>
      </m:oMath>
      <w:r>
        <w:rPr>
          <w:rFonts w:hint="eastAsia" w:ascii="Times New Roman" w:hAnsi="Times New Roman"/>
          <w:bCs/>
          <w:szCs w:val="20"/>
        </w:rPr>
        <w:t>——第i个测点换能器与构件边缘的距离（mm）。</w:t>
      </w:r>
    </w:p>
    <w:p>
      <w:pPr>
        <w:numPr>
          <w:ilvl w:val="0"/>
          <w:numId w:val="31"/>
        </w:numPr>
        <w:tabs>
          <w:tab w:val="left" w:pos="6020"/>
        </w:tabs>
        <w:spacing w:line="360" w:lineRule="auto"/>
        <w:ind w:left="1058" w:leftChars="334" w:hanging="357" w:hangingChars="170"/>
        <w:rPr>
          <w:rFonts w:hint="eastAsia" w:ascii="宋体" w:hAnsi="宋体" w:eastAsia="宋体" w:cs="宋体"/>
        </w:rPr>
      </w:pPr>
      <w:r>
        <w:rPr>
          <w:rFonts w:hint="eastAsia" w:ascii="Times New Roman" w:hAnsi="Times New Roman"/>
          <w:bCs/>
          <w:szCs w:val="20"/>
        </w:rPr>
        <w:t>角测测区混凝土中声速代表值应按下式计算：：</w:t>
      </w:r>
    </w:p>
    <w:tbl>
      <w:tblPr>
        <w:tblStyle w:val="20"/>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808"/>
        <w:gridCol w:w="4679"/>
        <w:gridCol w:w="202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4" w:hRule="atLeast"/>
        </w:trPr>
        <w:tc>
          <w:tcPr>
            <w:tcW w:w="1062" w:type="pct"/>
            <w:vAlign w:val="center"/>
          </w:tcPr>
          <w:p>
            <w:pPr>
              <w:spacing w:line="360" w:lineRule="auto"/>
              <w:rPr>
                <w:rFonts w:hint="eastAsia" w:ascii="宋体" w:hAnsi="宋体" w:eastAsia="宋体" w:cs="宋体"/>
              </w:rPr>
            </w:pPr>
          </w:p>
        </w:tc>
        <w:tc>
          <w:tcPr>
            <w:tcW w:w="2747" w:type="pct"/>
            <w:vAlign w:val="center"/>
          </w:tcPr>
          <w:p>
            <w:pPr>
              <w:spacing w:line="360" w:lineRule="auto"/>
              <w:rPr>
                <w:rFonts w:hint="eastAsia" w:ascii="宋体" w:hAnsi="宋体" w:eastAsia="宋体" w:cs="宋体"/>
              </w:rPr>
            </w:pPr>
            <m:oMathPara>
              <m:oMath>
                <m:sSub>
                  <m:sSubPr>
                    <m:ctrlPr>
                      <w:rPr>
                        <w:rFonts w:ascii="Cambria Math" w:hAnsi="Cambria Math" w:cs="Times New Roman"/>
                        <w:i/>
                        <w:kern w:val="0"/>
                        <w:szCs w:val="21"/>
                      </w:rPr>
                    </m:ctrlPr>
                  </m:sSubPr>
                  <m:e>
                    <m:r>
                      <m:rPr/>
                      <w:rPr>
                        <w:rFonts w:ascii="Cambria Math" w:hAnsi="Cambria Math" w:cs="Times New Roman"/>
                        <w:kern w:val="0"/>
                        <w:szCs w:val="21"/>
                      </w:rPr>
                      <m:t>v</m:t>
                    </m:r>
                    <m:ctrlPr>
                      <w:rPr>
                        <w:rFonts w:ascii="Cambria Math" w:hAnsi="Cambria Math" w:cs="Times New Roman"/>
                        <w:i/>
                        <w:kern w:val="0"/>
                        <w:szCs w:val="21"/>
                      </w:rPr>
                    </m:ctrlPr>
                  </m:e>
                  <m:sub>
                    <m:r>
                      <m:rPr/>
                      <w:rPr>
                        <w:rFonts w:ascii="Cambria Math" w:hAnsi="Cambria Math" w:cs="Times New Roman"/>
                        <w:kern w:val="0"/>
                        <w:szCs w:val="21"/>
                      </w:rPr>
                      <m:t>j</m:t>
                    </m:r>
                    <m:ctrlPr>
                      <w:rPr>
                        <w:rFonts w:ascii="Cambria Math" w:hAnsi="Cambria Math" w:cs="Times New Roman"/>
                        <w:i/>
                        <w:kern w:val="0"/>
                        <w:szCs w:val="21"/>
                      </w:rPr>
                    </m:ctrlPr>
                  </m:sub>
                </m:sSub>
                <m:r>
                  <m:rPr/>
                  <w:rPr>
                    <w:rFonts w:ascii="Cambria Math" w:hAnsi="Cambria Math" w:cs="Times New Roman"/>
                    <w:kern w:val="0"/>
                    <w:szCs w:val="21"/>
                  </w:rPr>
                  <m:t>=</m:t>
                </m:r>
                <m:f>
                  <m:fPr>
                    <m:ctrlPr>
                      <w:rPr>
                        <w:rFonts w:ascii="Cambria Math" w:hAnsi="Cambria Math" w:cs="Times New Roman"/>
                        <w:i/>
                        <w:kern w:val="0"/>
                        <w:szCs w:val="21"/>
                      </w:rPr>
                    </m:ctrlPr>
                  </m:fPr>
                  <m:num>
                    <m:r>
                      <m:rPr/>
                      <w:rPr>
                        <w:rFonts w:ascii="Cambria Math" w:hAnsi="Cambria Math" w:cs="Times New Roman"/>
                        <w:kern w:val="0"/>
                        <w:szCs w:val="21"/>
                      </w:rPr>
                      <m:t>1</m:t>
                    </m:r>
                    <m:ctrlPr>
                      <w:rPr>
                        <w:rFonts w:ascii="Cambria Math" w:hAnsi="Cambria Math" w:cs="Times New Roman"/>
                        <w:i/>
                        <w:kern w:val="0"/>
                        <w:szCs w:val="21"/>
                      </w:rPr>
                    </m:ctrlPr>
                  </m:num>
                  <m:den>
                    <m:r>
                      <m:rPr/>
                      <w:rPr>
                        <w:rFonts w:ascii="Cambria Math" w:hAnsi="Cambria Math" w:cs="Times New Roman"/>
                        <w:kern w:val="0"/>
                        <w:szCs w:val="21"/>
                      </w:rPr>
                      <m:t>3</m:t>
                    </m:r>
                    <m:ctrlPr>
                      <w:rPr>
                        <w:rFonts w:ascii="Cambria Math" w:hAnsi="Cambria Math" w:cs="Times New Roman"/>
                        <w:i/>
                        <w:kern w:val="0"/>
                        <w:szCs w:val="21"/>
                      </w:rPr>
                    </m:ctrlPr>
                  </m:den>
                </m:f>
                <m:nary>
                  <m:naryPr>
                    <m:chr m:val="∑"/>
                    <m:limLoc m:val="undOvr"/>
                    <m:ctrlPr>
                      <w:rPr>
                        <w:rFonts w:ascii="Cambria Math" w:hAnsi="Cambria Math" w:cs="Times New Roman"/>
                        <w:i/>
                        <w:kern w:val="0"/>
                        <w:szCs w:val="21"/>
                      </w:rPr>
                    </m:ctrlPr>
                  </m:naryPr>
                  <m:sub>
                    <m:r>
                      <m:rPr/>
                      <w:rPr>
                        <w:rFonts w:ascii="Cambria Math" w:hAnsi="Cambria Math" w:cs="Times New Roman"/>
                        <w:kern w:val="0"/>
                        <w:szCs w:val="21"/>
                      </w:rPr>
                      <m:t>i=1</m:t>
                    </m:r>
                    <m:ctrlPr>
                      <w:rPr>
                        <w:rFonts w:ascii="Cambria Math" w:hAnsi="Cambria Math" w:cs="Times New Roman"/>
                        <w:i/>
                        <w:kern w:val="0"/>
                        <w:szCs w:val="21"/>
                      </w:rPr>
                    </m:ctrlPr>
                  </m:sub>
                  <m:sup>
                    <m:r>
                      <m:rPr/>
                      <w:rPr>
                        <w:rFonts w:ascii="Cambria Math" w:hAnsi="Cambria Math" w:cs="Times New Roman"/>
                        <w:kern w:val="0"/>
                        <w:szCs w:val="21"/>
                      </w:rPr>
                      <m:t>3</m:t>
                    </m:r>
                    <m:ctrlPr>
                      <w:rPr>
                        <w:rFonts w:ascii="Cambria Math" w:hAnsi="Cambria Math" w:cs="Times New Roman"/>
                        <w:i/>
                        <w:kern w:val="0"/>
                        <w:szCs w:val="21"/>
                      </w:rPr>
                    </m:ctrlPr>
                  </m:sup>
                  <m:e>
                    <m:f>
                      <m:fPr>
                        <m:ctrlPr>
                          <w:rPr>
                            <w:rFonts w:ascii="Cambria Math" w:hAnsi="Cambria Math" w:cs="Times New Roman"/>
                            <w:i/>
                            <w:kern w:val="0"/>
                            <w:szCs w:val="21"/>
                          </w:rPr>
                        </m:ctrlPr>
                      </m:fPr>
                      <m:num>
                        <m:sSub>
                          <m:sSubPr>
                            <m:ctrlPr>
                              <w:rPr>
                                <w:rFonts w:ascii="Cambria Math" w:hAnsi="Cambria Math" w:cs="Times New Roman"/>
                                <w:i/>
                                <w:kern w:val="0"/>
                                <w:szCs w:val="21"/>
                              </w:rPr>
                            </m:ctrlPr>
                          </m:sSubPr>
                          <m:e>
                            <m:r>
                              <m:rPr/>
                              <w:rPr>
                                <w:rFonts w:hint="eastAsia" w:ascii="Cambria Math" w:hAnsi="Cambria Math" w:cs="Times New Roman"/>
                                <w:kern w:val="0"/>
                                <w:szCs w:val="21"/>
                              </w:rPr>
                              <m:t>l</m:t>
                            </m:r>
                            <m:ctrlPr>
                              <w:rPr>
                                <w:rFonts w:ascii="Cambria Math" w:hAnsi="Cambria Math" w:cs="Times New Roman"/>
                                <w:i/>
                                <w:kern w:val="0"/>
                                <w:szCs w:val="21"/>
                              </w:rPr>
                            </m:ctrlPr>
                          </m:e>
                          <m:sub>
                            <m:r>
                              <m:rPr/>
                              <w:rPr>
                                <w:rFonts w:hint="eastAsia" w:ascii="Cambria Math" w:hAnsi="Cambria Math" w:cs="Times New Roman"/>
                                <w:kern w:val="0"/>
                                <w:szCs w:val="21"/>
                              </w:rPr>
                              <m:t>i</m:t>
                            </m:r>
                            <m:ctrlPr>
                              <w:rPr>
                                <w:rFonts w:ascii="Cambria Math" w:hAnsi="Cambria Math" w:cs="Times New Roman"/>
                                <w:i/>
                                <w:kern w:val="0"/>
                                <w:szCs w:val="21"/>
                              </w:rPr>
                            </m:ctrlPr>
                          </m:sub>
                        </m:sSub>
                        <m:ctrlPr>
                          <w:rPr>
                            <w:rFonts w:ascii="Cambria Math" w:hAnsi="Cambria Math" w:cs="Times New Roman"/>
                            <w:i/>
                            <w:kern w:val="0"/>
                            <w:szCs w:val="21"/>
                          </w:rPr>
                        </m:ctrlPr>
                      </m:num>
                      <m:den>
                        <m:sSub>
                          <m:sSubPr>
                            <m:ctrlPr>
                              <w:rPr>
                                <w:rFonts w:ascii="Cambria Math" w:hAnsi="Cambria Math" w:cs="Times New Roman"/>
                                <w:i/>
                                <w:kern w:val="0"/>
                                <w:szCs w:val="21"/>
                              </w:rPr>
                            </m:ctrlPr>
                          </m:sSubPr>
                          <m:e>
                            <m:r>
                              <m:rPr/>
                              <w:rPr>
                                <w:rFonts w:ascii="Cambria Math" w:hAnsi="Cambria Math" w:cs="Times New Roman"/>
                                <w:kern w:val="0"/>
                                <w:szCs w:val="21"/>
                              </w:rPr>
                              <m:t>t</m:t>
                            </m:r>
                            <m:ctrlPr>
                              <w:rPr>
                                <w:rFonts w:ascii="Cambria Math" w:hAnsi="Cambria Math" w:cs="Times New Roman"/>
                                <w:i/>
                                <w:kern w:val="0"/>
                                <w:szCs w:val="21"/>
                              </w:rPr>
                            </m:ctrlPr>
                          </m:e>
                          <m:sub>
                            <m:r>
                              <m:rPr/>
                              <w:rPr>
                                <w:rFonts w:hint="eastAsia" w:ascii="Cambria Math" w:hAnsi="Cambria Math" w:cs="Times New Roman"/>
                                <w:kern w:val="0"/>
                                <w:szCs w:val="21"/>
                              </w:rPr>
                              <m:t>i</m:t>
                            </m:r>
                            <m:ctrlPr>
                              <w:rPr>
                                <w:rFonts w:ascii="Cambria Math" w:hAnsi="Cambria Math" w:cs="Times New Roman"/>
                                <w:i/>
                                <w:kern w:val="0"/>
                                <w:szCs w:val="21"/>
                              </w:rPr>
                            </m:ctrlPr>
                          </m:sub>
                        </m:sSub>
                        <m:r>
                          <m:rPr/>
                          <w:rPr>
                            <w:rFonts w:ascii="Cambria Math" w:hAnsi="Cambria Math" w:cs="Times New Roman"/>
                            <w:kern w:val="0"/>
                            <w:szCs w:val="21"/>
                          </w:rPr>
                          <m:t>−</m:t>
                        </m:r>
                        <m:sSub>
                          <m:sSubPr>
                            <m:ctrlPr>
                              <w:rPr>
                                <w:rFonts w:ascii="Cambria Math" w:hAnsi="Cambria Math" w:cs="Times New Roman"/>
                                <w:i/>
                                <w:kern w:val="0"/>
                                <w:szCs w:val="21"/>
                              </w:rPr>
                            </m:ctrlPr>
                          </m:sSubPr>
                          <m:e>
                            <m:r>
                              <m:rPr/>
                              <w:rPr>
                                <w:rFonts w:ascii="Cambria Math" w:hAnsi="Cambria Math" w:cs="Times New Roman"/>
                                <w:kern w:val="0"/>
                                <w:szCs w:val="21"/>
                              </w:rPr>
                              <m:t>t</m:t>
                            </m:r>
                            <m:ctrlPr>
                              <w:rPr>
                                <w:rFonts w:ascii="Cambria Math" w:hAnsi="Cambria Math" w:cs="Times New Roman"/>
                                <w:i/>
                                <w:kern w:val="0"/>
                                <w:szCs w:val="21"/>
                              </w:rPr>
                            </m:ctrlPr>
                          </m:e>
                          <m:sub>
                            <m:r>
                              <m:rPr/>
                              <w:rPr>
                                <w:rFonts w:ascii="Cambria Math" w:hAnsi="Cambria Math" w:cs="Times New Roman"/>
                                <w:kern w:val="0"/>
                                <w:szCs w:val="21"/>
                              </w:rPr>
                              <m:t>0</m:t>
                            </m:r>
                            <m:ctrlPr>
                              <w:rPr>
                                <w:rFonts w:ascii="Cambria Math" w:hAnsi="Cambria Math" w:cs="Times New Roman"/>
                                <w:i/>
                                <w:kern w:val="0"/>
                                <w:szCs w:val="21"/>
                              </w:rPr>
                            </m:ctrlPr>
                          </m:sub>
                        </m:sSub>
                        <m:ctrlPr>
                          <w:rPr>
                            <w:rFonts w:ascii="Cambria Math" w:hAnsi="Cambria Math" w:cs="Times New Roman"/>
                            <w:i/>
                            <w:kern w:val="0"/>
                            <w:szCs w:val="21"/>
                          </w:rPr>
                        </m:ctrlPr>
                      </m:den>
                    </m:f>
                    <m:ctrlPr>
                      <w:rPr>
                        <w:rFonts w:ascii="Cambria Math" w:hAnsi="Cambria Math" w:cs="Times New Roman"/>
                        <w:i/>
                        <w:kern w:val="0"/>
                        <w:szCs w:val="21"/>
                      </w:rPr>
                    </m:ctrlPr>
                  </m:e>
                </m:nary>
              </m:oMath>
            </m:oMathPara>
          </w:p>
        </w:tc>
        <w:tc>
          <w:tcPr>
            <w:tcW w:w="1191" w:type="pct"/>
            <w:vAlign w:val="center"/>
          </w:tcPr>
          <w:p>
            <w:pPr>
              <w:spacing w:line="360" w:lineRule="auto"/>
              <w:rPr>
                <w:rFonts w:hint="eastAsia" w:ascii="宋体" w:hAnsi="宋体" w:eastAsia="宋体" w:cs="宋体"/>
              </w:rPr>
            </w:pPr>
            <w:r>
              <w:rPr>
                <w:rFonts w:hint="eastAsia" w:ascii="Times New Roman" w:hAnsi="Times New Roman"/>
                <w:bCs/>
                <w:szCs w:val="20"/>
              </w:rPr>
              <w:t>（</w:t>
            </w:r>
            <w:r>
              <w:rPr>
                <w:rFonts w:ascii="黑体" w:hAnsi="黑体" w:eastAsia="黑体" w:cs="黑体"/>
              </w:rPr>
              <w:t>C</w:t>
            </w:r>
            <w:r>
              <w:rPr>
                <w:rFonts w:hint="eastAsia" w:ascii="黑体" w:hAnsi="黑体" w:eastAsia="黑体" w:cs="黑体"/>
              </w:rPr>
              <w:t>.0.</w:t>
            </w:r>
            <w:r>
              <w:rPr>
                <w:rFonts w:ascii="黑体" w:hAnsi="黑体" w:eastAsia="黑体" w:cs="黑体"/>
              </w:rPr>
              <w:t>3-2</w:t>
            </w:r>
            <w:r>
              <w:rPr>
                <w:rFonts w:hint="eastAsia" w:ascii="Times New Roman" w:hAnsi="Times New Roman"/>
                <w:bCs/>
                <w:szCs w:val="20"/>
              </w:rPr>
              <w:t>）</w:t>
            </w:r>
          </w:p>
        </w:tc>
      </w:tr>
    </w:tbl>
    <w:p>
      <w:pPr>
        <w:tabs>
          <w:tab w:val="left" w:pos="6020"/>
        </w:tabs>
        <w:spacing w:line="360" w:lineRule="auto"/>
        <w:ind w:firstLine="1058" w:firstLineChars="504"/>
        <w:rPr>
          <w:rFonts w:ascii="Times New Roman" w:hAnsi="Times New Roman"/>
          <w:bCs/>
          <w:szCs w:val="20"/>
        </w:rPr>
      </w:pPr>
      <w:r>
        <w:rPr>
          <w:rFonts w:hint="eastAsia" w:ascii="Times New Roman" w:hAnsi="Times New Roman"/>
          <w:bCs/>
          <w:szCs w:val="20"/>
        </w:rPr>
        <w:t>式中：</w:t>
      </w:r>
      <m:oMath>
        <m:sSub>
          <m:sSubPr>
            <m:ctrlPr>
              <w:rPr>
                <w:rFonts w:ascii="Cambria Math" w:hAnsi="Cambria Math" w:cs="Times New Roman"/>
                <w:i/>
                <w:kern w:val="0"/>
                <w:szCs w:val="21"/>
              </w:rPr>
            </m:ctrlPr>
          </m:sSubPr>
          <m:e>
            <m:r>
              <m:rPr/>
              <w:rPr>
                <w:rFonts w:ascii="Cambria Math" w:hAnsi="Cambria Math" w:cs="Times New Roman"/>
                <w:kern w:val="0"/>
                <w:szCs w:val="21"/>
              </w:rPr>
              <m:t>v</m:t>
            </m:r>
            <m:ctrlPr>
              <w:rPr>
                <w:rFonts w:ascii="Cambria Math" w:hAnsi="Cambria Math" w:cs="Times New Roman"/>
                <w:i/>
                <w:kern w:val="0"/>
                <w:szCs w:val="21"/>
              </w:rPr>
            </m:ctrlPr>
          </m:e>
          <m:sub>
            <m:r>
              <m:rPr/>
              <w:rPr>
                <w:rFonts w:ascii="Cambria Math" w:hAnsi="Cambria Math" w:cs="Times New Roman"/>
                <w:kern w:val="0"/>
                <w:szCs w:val="21"/>
              </w:rPr>
              <m:t>j</m:t>
            </m:r>
            <m:ctrlPr>
              <w:rPr>
                <w:rFonts w:ascii="Cambria Math" w:hAnsi="Cambria Math" w:cs="Times New Roman"/>
                <w:i/>
                <w:kern w:val="0"/>
                <w:szCs w:val="21"/>
              </w:rPr>
            </m:ctrlPr>
          </m:sub>
        </m:sSub>
      </m:oMath>
      <w:r>
        <w:rPr>
          <w:rFonts w:hint="eastAsia" w:ascii="Times New Roman" w:hAnsi="Times New Roman"/>
          <w:bCs/>
          <w:szCs w:val="20"/>
        </w:rPr>
        <w:t>——</w:t>
      </w:r>
      <w:r>
        <w:rPr>
          <w:rFonts w:ascii="Times New Roman" w:hAnsi="Times New Roman"/>
          <w:bCs/>
          <w:szCs w:val="20"/>
        </w:rPr>
        <w:t xml:space="preserve"> </w:t>
      </w:r>
      <w:r>
        <w:rPr>
          <w:rFonts w:hint="eastAsia" w:ascii="Times New Roman" w:hAnsi="Times New Roman"/>
          <w:bCs/>
          <w:szCs w:val="20"/>
        </w:rPr>
        <w:t>角测测区混凝土中声速代表值（km/s）；</w:t>
      </w:r>
    </w:p>
    <w:p>
      <w:pPr>
        <w:pStyle w:val="26"/>
        <w:tabs>
          <w:tab w:val="left" w:pos="712"/>
          <w:tab w:val="left" w:pos="990"/>
          <w:tab w:val="left" w:pos="6020"/>
        </w:tabs>
        <w:spacing w:line="360" w:lineRule="auto"/>
        <w:ind w:firstLine="1680" w:firstLineChars="800"/>
        <w:rPr>
          <w:rFonts w:ascii="Times New Roman" w:hAnsi="Times New Roman"/>
          <w:bCs/>
          <w:szCs w:val="20"/>
        </w:rPr>
      </w:pPr>
      <m:oMath>
        <m:sSub>
          <m:sSubPr>
            <m:ctrlPr>
              <w:rPr>
                <w:rFonts w:ascii="Cambria Math" w:hAnsi="Cambria Math" w:cs="Times New Roman"/>
                <w:i/>
                <w:kern w:val="0"/>
                <w:szCs w:val="21"/>
              </w:rPr>
            </m:ctrlPr>
          </m:sSubPr>
          <m:e>
            <m:r>
              <m:rPr/>
              <w:rPr>
                <w:rFonts w:ascii="Cambria Math" w:hAnsi="Cambria Math" w:cs="Times New Roman"/>
                <w:kern w:val="0"/>
                <w:szCs w:val="21"/>
              </w:rPr>
              <m:t>t</m:t>
            </m:r>
            <m:ctrlPr>
              <w:rPr>
                <w:rFonts w:ascii="Cambria Math" w:hAnsi="Cambria Math" w:cs="Times New Roman"/>
                <w:i/>
                <w:kern w:val="0"/>
                <w:szCs w:val="21"/>
              </w:rPr>
            </m:ctrlPr>
          </m:e>
          <m:sub>
            <m:r>
              <m:rPr/>
              <w:rPr>
                <w:rFonts w:hint="eastAsia" w:ascii="Cambria Math" w:hAnsi="Cambria Math" w:cs="Times New Roman"/>
                <w:kern w:val="0"/>
                <w:szCs w:val="21"/>
              </w:rPr>
              <m:t>i</m:t>
            </m:r>
            <m:ctrlPr>
              <w:rPr>
                <w:rFonts w:ascii="Cambria Math" w:hAnsi="Cambria Math" w:cs="Times New Roman"/>
                <w:i/>
                <w:kern w:val="0"/>
                <w:szCs w:val="21"/>
              </w:rPr>
            </m:ctrlPr>
          </m:sub>
        </m:sSub>
      </m:oMath>
      <w:r>
        <w:rPr>
          <w:rFonts w:hint="eastAsia" w:ascii="Times New Roman" w:hAnsi="Times New Roman"/>
          <w:bCs/>
          <w:szCs w:val="20"/>
        </w:rPr>
        <w:t>——</w:t>
      </w:r>
      <w:r>
        <w:rPr>
          <w:rFonts w:ascii="Times New Roman" w:hAnsi="Times New Roman"/>
          <w:bCs/>
          <w:szCs w:val="20"/>
        </w:rPr>
        <w:t xml:space="preserve"> </w:t>
      </w:r>
      <w:r>
        <w:rPr>
          <w:rFonts w:hint="eastAsia" w:ascii="Times New Roman" w:hAnsi="Times New Roman"/>
          <w:bCs/>
          <w:szCs w:val="20"/>
        </w:rPr>
        <w:t>第</w:t>
      </w:r>
      <w:r>
        <w:rPr>
          <w:rFonts w:ascii="Times New Roman" w:hAnsi="Times New Roman"/>
          <w:bCs/>
          <w:szCs w:val="20"/>
        </w:rPr>
        <w:t>i</w:t>
      </w:r>
      <w:r>
        <w:rPr>
          <w:rFonts w:hint="eastAsia" w:ascii="Times New Roman" w:hAnsi="Times New Roman"/>
          <w:bCs/>
          <w:szCs w:val="20"/>
        </w:rPr>
        <w:t>个测点的声时读数（</w:t>
      </w:r>
      <w:r>
        <w:rPr>
          <w:rFonts w:ascii="Times New Roman" w:hAnsi="Times New Roman" w:cs="Times New Roman"/>
          <w:bCs/>
          <w:szCs w:val="20"/>
        </w:rPr>
        <w:t>μ</w:t>
      </w:r>
      <w:r>
        <w:rPr>
          <w:rFonts w:ascii="Times New Roman" w:hAnsi="Times New Roman"/>
          <w:bCs/>
          <w:szCs w:val="20"/>
        </w:rPr>
        <w:t>s</w:t>
      </w:r>
      <w:r>
        <w:rPr>
          <w:rFonts w:hint="eastAsia" w:ascii="Times New Roman" w:hAnsi="Times New Roman"/>
          <w:bCs/>
          <w:szCs w:val="20"/>
        </w:rPr>
        <w:t>）；</w:t>
      </w:r>
    </w:p>
    <w:p>
      <w:pPr>
        <w:pStyle w:val="26"/>
        <w:tabs>
          <w:tab w:val="left" w:pos="0"/>
          <w:tab w:val="left" w:pos="990"/>
          <w:tab w:val="left" w:pos="6020"/>
        </w:tabs>
        <w:spacing w:line="360" w:lineRule="auto"/>
        <w:ind w:firstLine="1680" w:firstLineChars="800"/>
        <w:rPr>
          <w:rFonts w:ascii="Times New Roman" w:hAnsi="Times New Roman"/>
          <w:bCs/>
          <w:szCs w:val="20"/>
        </w:rPr>
      </w:pPr>
      <m:oMath>
        <m:sSub>
          <m:sSubPr>
            <m:ctrlPr>
              <w:rPr>
                <w:rFonts w:ascii="Cambria Math" w:hAnsi="Cambria Math" w:cs="Times New Roman"/>
                <w:i/>
                <w:kern w:val="0"/>
                <w:szCs w:val="21"/>
              </w:rPr>
            </m:ctrlPr>
          </m:sSubPr>
          <m:e>
            <m:r>
              <m:rPr/>
              <w:rPr>
                <w:rFonts w:ascii="Cambria Math" w:hAnsi="Cambria Math" w:cs="Times New Roman"/>
                <w:kern w:val="0"/>
                <w:szCs w:val="21"/>
              </w:rPr>
              <m:t>t</m:t>
            </m:r>
            <m:ctrlPr>
              <w:rPr>
                <w:rFonts w:ascii="Cambria Math" w:hAnsi="Cambria Math" w:cs="Times New Roman"/>
                <w:i/>
                <w:kern w:val="0"/>
                <w:szCs w:val="21"/>
              </w:rPr>
            </m:ctrlPr>
          </m:e>
          <m:sub>
            <m:r>
              <m:rPr/>
              <w:rPr>
                <w:rFonts w:ascii="Cambria Math" w:hAnsi="Cambria Math" w:cs="Times New Roman"/>
                <w:kern w:val="0"/>
                <w:szCs w:val="21"/>
              </w:rPr>
              <m:t>0</m:t>
            </m:r>
            <m:ctrlPr>
              <w:rPr>
                <w:rFonts w:ascii="Cambria Math" w:hAnsi="Cambria Math" w:cs="Times New Roman"/>
                <w:i/>
                <w:kern w:val="0"/>
                <w:szCs w:val="21"/>
              </w:rPr>
            </m:ctrlPr>
          </m:sub>
        </m:sSub>
      </m:oMath>
      <w:r>
        <w:rPr>
          <w:rFonts w:hint="eastAsia" w:ascii="Times New Roman" w:hAnsi="Times New Roman"/>
          <w:bCs/>
          <w:szCs w:val="20"/>
        </w:rPr>
        <w:t>——</w:t>
      </w:r>
      <w:r>
        <w:rPr>
          <w:rFonts w:ascii="Times New Roman" w:hAnsi="Times New Roman"/>
          <w:bCs/>
          <w:szCs w:val="20"/>
        </w:rPr>
        <w:t xml:space="preserve"> </w:t>
      </w:r>
      <w:r>
        <w:rPr>
          <w:rFonts w:hint="eastAsia" w:ascii="Times New Roman" w:hAnsi="Times New Roman"/>
          <w:bCs/>
          <w:szCs w:val="20"/>
        </w:rPr>
        <w:t>声时初读数（</w:t>
      </w:r>
      <w:r>
        <w:rPr>
          <w:rFonts w:ascii="Times New Roman" w:hAnsi="Times New Roman" w:cs="Times New Roman"/>
          <w:bCs/>
          <w:szCs w:val="20"/>
        </w:rPr>
        <w:t>μ</w:t>
      </w:r>
      <w:r>
        <w:rPr>
          <w:rFonts w:ascii="Times New Roman" w:hAnsi="Times New Roman"/>
          <w:bCs/>
          <w:szCs w:val="20"/>
        </w:rPr>
        <w:t>s</w:t>
      </w:r>
      <w:r>
        <w:rPr>
          <w:rFonts w:hint="eastAsia" w:ascii="Times New Roman" w:hAnsi="Times New Roman"/>
          <w:bCs/>
          <w:szCs w:val="20"/>
        </w:rPr>
        <w:t>）。</w:t>
      </w:r>
    </w:p>
    <w:p>
      <w:pPr>
        <w:pStyle w:val="26"/>
        <w:tabs>
          <w:tab w:val="left" w:pos="0"/>
          <w:tab w:val="left" w:pos="712"/>
          <w:tab w:val="left" w:pos="990"/>
          <w:tab w:val="left" w:pos="6020"/>
        </w:tabs>
        <w:spacing w:line="360" w:lineRule="auto"/>
        <w:rPr>
          <w:rFonts w:hint="eastAsia" w:ascii="宋体" w:hAnsi="宋体" w:eastAsia="宋体" w:cs="宋体"/>
        </w:rPr>
      </w:pPr>
      <w:r>
        <w:rPr>
          <w:rFonts w:hint="eastAsia" w:ascii="黑体" w:hAnsi="黑体" w:eastAsia="黑体" w:cs="黑体"/>
        </w:rPr>
        <w:t xml:space="preserve">3 </w:t>
      </w:r>
      <w:r>
        <w:rPr>
          <w:rFonts w:ascii="宋体" w:hAnsi="宋体" w:eastAsia="宋体" w:cs="宋体"/>
        </w:rPr>
        <w:t xml:space="preserve"> </w:t>
      </w:r>
      <w:r>
        <w:rPr>
          <w:rFonts w:hint="eastAsia" w:ascii="宋体" w:hAnsi="宋体" w:eastAsia="宋体" w:cs="宋体"/>
        </w:rPr>
        <w:t>超声平测和计算方法应符合下列要求：</w:t>
      </w:r>
    </w:p>
    <w:p>
      <w:pPr>
        <w:numPr>
          <w:ilvl w:val="0"/>
          <w:numId w:val="32"/>
        </w:numPr>
        <w:tabs>
          <w:tab w:val="left" w:pos="6020"/>
        </w:tabs>
        <w:spacing w:line="360" w:lineRule="auto"/>
        <w:ind w:firstLine="703" w:firstLineChars="335"/>
        <w:rPr>
          <w:rFonts w:hint="eastAsia" w:ascii="宋体" w:hAnsi="宋体" w:eastAsia="宋体" w:cs="宋体"/>
        </w:rPr>
      </w:pPr>
      <w:r>
        <w:rPr>
          <w:rFonts w:hint="eastAsia" w:ascii="Times New Roman" w:hAnsi="Times New Roman"/>
          <w:bCs/>
          <w:szCs w:val="20"/>
        </w:rPr>
        <w:t>当构件只有一个测试面可供检测时，可采用平测法测量混凝土中的声速。</w:t>
      </w:r>
    </w:p>
    <w:p>
      <w:pPr>
        <w:numPr>
          <w:ilvl w:val="0"/>
          <w:numId w:val="32"/>
        </w:numPr>
        <w:tabs>
          <w:tab w:val="left" w:pos="6020"/>
        </w:tabs>
        <w:spacing w:line="360" w:lineRule="auto"/>
        <w:ind w:left="1058" w:leftChars="334" w:hanging="357" w:hangingChars="170"/>
        <w:rPr>
          <w:rFonts w:hint="eastAsia" w:asciiTheme="minorEastAsia" w:hAnsiTheme="minorEastAsia"/>
          <w:bCs/>
          <w:szCs w:val="20"/>
        </w:rPr>
      </w:pPr>
      <w:r>
        <w:rPr>
          <w:rFonts w:hint="eastAsia" w:asciiTheme="minorEastAsia" w:hAnsiTheme="minorEastAsia"/>
          <w:bCs/>
          <w:szCs w:val="20"/>
        </w:rPr>
        <w:t>布置平测测点时，每个测区应布置一排超声测点，发射和接收换能器的连线与 附近钢筋轴线宜呈40º～50º（</w:t>
      </w:r>
      <w:r>
        <w:rPr>
          <w:rFonts w:hint="eastAsia" w:asciiTheme="minorEastAsia" w:hAnsiTheme="minorEastAsia"/>
          <w:bCs/>
          <w:szCs w:val="21"/>
        </w:rPr>
        <w:t>图</w:t>
      </w:r>
      <w:r>
        <w:rPr>
          <w:rFonts w:cs="黑体" w:asciiTheme="minorEastAsia" w:hAnsiTheme="minorEastAsia"/>
          <w:szCs w:val="21"/>
        </w:rPr>
        <w:t>C</w:t>
      </w:r>
      <w:r>
        <w:rPr>
          <w:rFonts w:hint="eastAsia" w:cs="黑体" w:asciiTheme="minorEastAsia" w:hAnsiTheme="minorEastAsia"/>
          <w:szCs w:val="21"/>
        </w:rPr>
        <w:t>.0.</w:t>
      </w:r>
      <w:r>
        <w:rPr>
          <w:rFonts w:cs="黑体" w:asciiTheme="minorEastAsia" w:hAnsiTheme="minorEastAsia"/>
          <w:szCs w:val="21"/>
        </w:rPr>
        <w:t>3-2</w:t>
      </w:r>
      <w:r>
        <w:rPr>
          <w:rFonts w:hint="eastAsia" w:asciiTheme="minorEastAsia" w:hAnsiTheme="minorEastAsia"/>
          <w:bCs/>
          <w:szCs w:val="21"/>
        </w:rPr>
        <w:t>）</w:t>
      </w:r>
      <w:r>
        <w:rPr>
          <w:rFonts w:hint="eastAsia" w:asciiTheme="minorEastAsia" w:hAnsiTheme="minorEastAsia"/>
          <w:bCs/>
          <w:szCs w:val="20"/>
        </w:rPr>
        <w:t>。应以两个换能器内边距分别为200mm、250mm、300mm、350mm、400mm、450mm、500mm 进行平测，逐点测读相应声时值（t），并用回归分析方法求出下列直线方程：</w:t>
      </w:r>
    </w:p>
    <w:tbl>
      <w:tblPr>
        <w:tblStyle w:val="20"/>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808"/>
        <w:gridCol w:w="4679"/>
        <w:gridCol w:w="202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4" w:hRule="atLeast"/>
        </w:trPr>
        <w:tc>
          <w:tcPr>
            <w:tcW w:w="1062" w:type="pct"/>
            <w:vAlign w:val="center"/>
          </w:tcPr>
          <w:p>
            <w:pPr>
              <w:spacing w:line="360" w:lineRule="auto"/>
              <w:rPr>
                <w:rFonts w:hint="eastAsia" w:ascii="宋体" w:hAnsi="宋体" w:eastAsia="宋体" w:cs="宋体"/>
              </w:rPr>
            </w:pPr>
          </w:p>
        </w:tc>
        <w:tc>
          <w:tcPr>
            <w:tcW w:w="2747" w:type="pct"/>
            <w:vAlign w:val="center"/>
          </w:tcPr>
          <w:p>
            <w:pPr>
              <w:spacing w:line="360" w:lineRule="auto"/>
              <w:rPr>
                <w:rFonts w:hint="eastAsia" w:ascii="宋体" w:hAnsi="宋体" w:eastAsia="宋体" w:cs="宋体"/>
              </w:rPr>
            </w:pPr>
            <m:oMathPara>
              <m:oMath>
                <m:r>
                  <m:rPr/>
                  <w:rPr>
                    <w:rFonts w:hint="eastAsia" w:ascii="Cambria Math" w:hAnsi="Cambria Math" w:cs="Times New Roman"/>
                    <w:kern w:val="0"/>
                    <w:szCs w:val="21"/>
                  </w:rPr>
                  <m:t>l</m:t>
                </m:r>
                <m:r>
                  <m:rPr/>
                  <w:rPr>
                    <w:rFonts w:ascii="Cambria Math" w:hAnsi="Cambria Math" w:cs="Times New Roman"/>
                    <w:kern w:val="0"/>
                    <w:szCs w:val="21"/>
                  </w:rPr>
                  <m:t>=a+ct</m:t>
                </m:r>
              </m:oMath>
            </m:oMathPara>
          </w:p>
        </w:tc>
        <w:tc>
          <w:tcPr>
            <w:tcW w:w="1191" w:type="pct"/>
            <w:vAlign w:val="center"/>
          </w:tcPr>
          <w:p>
            <w:pPr>
              <w:spacing w:line="360" w:lineRule="auto"/>
              <w:rPr>
                <w:rFonts w:hint="eastAsia" w:ascii="宋体" w:hAnsi="宋体" w:eastAsia="宋体" w:cs="宋体"/>
              </w:rPr>
            </w:pPr>
            <w:r>
              <w:rPr>
                <w:rFonts w:hint="eastAsia" w:ascii="Times New Roman" w:hAnsi="Times New Roman"/>
                <w:bCs/>
                <w:szCs w:val="20"/>
              </w:rPr>
              <w:t>（</w:t>
            </w:r>
            <w:r>
              <w:rPr>
                <w:rFonts w:ascii="黑体" w:hAnsi="黑体" w:eastAsia="黑体" w:cs="黑体"/>
              </w:rPr>
              <w:t>C</w:t>
            </w:r>
            <w:r>
              <w:rPr>
                <w:rFonts w:hint="eastAsia" w:ascii="黑体" w:hAnsi="黑体" w:eastAsia="黑体" w:cs="黑体"/>
              </w:rPr>
              <w:t>.0.</w:t>
            </w:r>
            <w:r>
              <w:rPr>
                <w:rFonts w:ascii="黑体" w:hAnsi="黑体" w:eastAsia="黑体" w:cs="黑体"/>
              </w:rPr>
              <w:t>3-3</w:t>
            </w:r>
            <w:r>
              <w:rPr>
                <w:rFonts w:hint="eastAsia" w:ascii="Times New Roman" w:hAnsi="Times New Roman"/>
                <w:bCs/>
                <w:szCs w:val="20"/>
              </w:rPr>
              <w:t>）</w:t>
            </w:r>
          </w:p>
        </w:tc>
      </w:tr>
    </w:tbl>
    <w:p>
      <w:pPr>
        <w:tabs>
          <w:tab w:val="left" w:pos="6020"/>
        </w:tabs>
        <w:spacing w:line="360" w:lineRule="auto"/>
        <w:ind w:left="15" w:leftChars="7" w:firstLine="1043" w:firstLineChars="497"/>
        <w:rPr>
          <w:rFonts w:ascii="Times New Roman" w:hAnsi="Times New Roman"/>
          <w:bCs/>
          <w:szCs w:val="20"/>
        </w:rPr>
      </w:pPr>
      <w:r>
        <w:rPr>
          <w:rFonts w:hint="eastAsia" w:ascii="Times New Roman" w:hAnsi="Times New Roman"/>
          <w:bCs/>
          <w:szCs w:val="20"/>
        </w:rPr>
        <w:t>式中：</w:t>
      </w:r>
      <m:oMath>
        <m:r>
          <m:rPr/>
          <w:rPr>
            <w:rFonts w:ascii="Cambria Math" w:hAnsi="Cambria Math" w:cs="Times New Roman"/>
            <w:kern w:val="0"/>
            <w:szCs w:val="21"/>
          </w:rPr>
          <m:t>c</m:t>
        </m:r>
      </m:oMath>
      <w:r>
        <w:rPr>
          <w:rFonts w:hint="eastAsia" w:ascii="Times New Roman" w:hAnsi="Times New Roman"/>
          <w:bCs/>
          <w:szCs w:val="20"/>
        </w:rPr>
        <w:t>——</w:t>
      </w:r>
      <w:r>
        <w:rPr>
          <w:rFonts w:ascii="Times New Roman" w:hAnsi="Times New Roman"/>
          <w:bCs/>
          <w:szCs w:val="20"/>
        </w:rPr>
        <w:t xml:space="preserve"> </w:t>
      </w:r>
      <w:r>
        <w:rPr>
          <w:rFonts w:hint="eastAsia" w:ascii="Times New Roman" w:hAnsi="Times New Roman"/>
          <w:bCs/>
          <w:szCs w:val="20"/>
        </w:rPr>
        <w:t>平测测区混凝土中声速代表值（</w:t>
      </w:r>
      <m:oMath>
        <m:sSub>
          <m:sSubPr>
            <m:ctrlPr>
              <w:rPr>
                <w:rFonts w:ascii="Cambria Math" w:hAnsi="Cambria Math" w:cs="Times New Roman"/>
                <w:i/>
                <w:kern w:val="0"/>
                <w:szCs w:val="21"/>
              </w:rPr>
            </m:ctrlPr>
          </m:sSubPr>
          <m:e>
            <m:r>
              <m:rPr/>
              <w:rPr>
                <w:rFonts w:ascii="Cambria Math" w:hAnsi="Cambria Math" w:cs="Times New Roman"/>
                <w:kern w:val="0"/>
                <w:szCs w:val="21"/>
              </w:rPr>
              <m:t>v</m:t>
            </m:r>
            <m:ctrlPr>
              <w:rPr>
                <w:rFonts w:ascii="Cambria Math" w:hAnsi="Cambria Math" w:cs="Times New Roman"/>
                <w:i/>
                <w:kern w:val="0"/>
                <w:szCs w:val="21"/>
              </w:rPr>
            </m:ctrlPr>
          </m:e>
          <m:sub>
            <m:r>
              <m:rPr/>
              <w:rPr>
                <w:rFonts w:ascii="Cambria Math" w:hAnsi="Cambria Math" w:cs="Times New Roman"/>
                <w:kern w:val="0"/>
                <w:szCs w:val="21"/>
              </w:rPr>
              <m:t>p</m:t>
            </m:r>
            <m:ctrlPr>
              <w:rPr>
                <w:rFonts w:ascii="Cambria Math" w:hAnsi="Cambria Math" w:cs="Times New Roman"/>
                <w:i/>
                <w:kern w:val="0"/>
                <w:szCs w:val="21"/>
              </w:rPr>
            </m:ctrlPr>
          </m:sub>
        </m:sSub>
      </m:oMath>
      <w:r>
        <w:rPr>
          <w:rFonts w:hint="eastAsia" w:ascii="Times New Roman" w:hAnsi="Times New Roman"/>
          <w:bCs/>
          <w:szCs w:val="20"/>
        </w:rPr>
        <w:t>）。</w:t>
      </w:r>
    </w:p>
    <w:p>
      <w:pPr>
        <w:tabs>
          <w:tab w:val="left" w:pos="6020"/>
        </w:tabs>
        <w:jc w:val="center"/>
        <w:rPr>
          <w:rFonts w:ascii="Times New Roman" w:hAnsi="Times New Roman"/>
          <w:bCs/>
          <w:szCs w:val="20"/>
        </w:rPr>
      </w:pPr>
      <w:r>
        <w:drawing>
          <wp:inline distT="0" distB="0" distL="0" distR="0">
            <wp:extent cx="2148205" cy="1779905"/>
            <wp:effectExtent l="0" t="0" r="444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6"/>
                    <a:stretch>
                      <a:fillRect/>
                    </a:stretch>
                  </pic:blipFill>
                  <pic:spPr>
                    <a:xfrm>
                      <a:off x="0" y="0"/>
                      <a:ext cx="2159761" cy="1789740"/>
                    </a:xfrm>
                    <a:prstGeom prst="rect">
                      <a:avLst/>
                    </a:prstGeom>
                  </pic:spPr>
                </pic:pic>
              </a:graphicData>
            </a:graphic>
          </wp:inline>
        </w:drawing>
      </w:r>
    </w:p>
    <w:p>
      <w:pPr>
        <w:tabs>
          <w:tab w:val="left" w:pos="6020"/>
        </w:tabs>
        <w:jc w:val="center"/>
        <w:rPr>
          <w:rFonts w:hint="eastAsia" w:ascii="黑体" w:hAnsi="黑体" w:eastAsia="黑体" w:cs="黑体"/>
          <w:sz w:val="18"/>
          <w:szCs w:val="18"/>
        </w:rPr>
      </w:pPr>
      <w:r>
        <w:rPr>
          <w:rFonts w:hint="eastAsia" w:ascii="Times New Roman" w:hAnsi="Times New Roman"/>
          <w:bCs/>
          <w:sz w:val="18"/>
          <w:szCs w:val="18"/>
        </w:rPr>
        <w:t>图</w:t>
      </w:r>
      <w:r>
        <w:rPr>
          <w:rFonts w:ascii="黑体" w:hAnsi="黑体" w:eastAsia="黑体" w:cs="黑体"/>
          <w:sz w:val="18"/>
          <w:szCs w:val="18"/>
        </w:rPr>
        <w:t>C</w:t>
      </w:r>
      <w:r>
        <w:rPr>
          <w:rFonts w:hint="eastAsia" w:ascii="黑体" w:hAnsi="黑体" w:eastAsia="黑体" w:cs="黑体"/>
          <w:sz w:val="18"/>
          <w:szCs w:val="18"/>
        </w:rPr>
        <w:t>.0.</w:t>
      </w:r>
      <w:r>
        <w:rPr>
          <w:rFonts w:ascii="黑体" w:hAnsi="黑体" w:eastAsia="黑体" w:cs="黑体"/>
          <w:sz w:val="18"/>
          <w:szCs w:val="18"/>
        </w:rPr>
        <w:t xml:space="preserve">3-2 </w:t>
      </w:r>
      <w:r>
        <w:rPr>
          <w:rFonts w:hint="eastAsia" w:ascii="黑体" w:hAnsi="黑体" w:eastAsia="黑体" w:cs="黑体"/>
          <w:sz w:val="18"/>
          <w:szCs w:val="18"/>
        </w:rPr>
        <w:t>平测示意图</w:t>
      </w:r>
    </w:p>
    <w:p>
      <w:pPr>
        <w:tabs>
          <w:tab w:val="left" w:pos="6020"/>
        </w:tabs>
        <w:jc w:val="center"/>
        <w:rPr>
          <w:rFonts w:hint="eastAsia" w:ascii="黑体" w:hAnsi="黑体" w:eastAsia="黑体" w:cs="黑体"/>
          <w:sz w:val="18"/>
          <w:szCs w:val="18"/>
        </w:rPr>
      </w:pPr>
      <w:r>
        <w:rPr>
          <w:rFonts w:hint="eastAsia" w:ascii="黑体" w:hAnsi="黑体" w:eastAsia="黑体" w:cs="黑体"/>
          <w:sz w:val="18"/>
          <w:szCs w:val="18"/>
        </w:rPr>
        <w:t>F——发射换能器；S——接收换能器；G——钢筋轴线</w:t>
      </w:r>
    </w:p>
    <w:p>
      <w:pPr>
        <w:tabs>
          <w:tab w:val="left" w:pos="6020"/>
        </w:tabs>
        <w:jc w:val="center"/>
        <w:rPr>
          <w:rFonts w:hint="eastAsia" w:ascii="黑体" w:hAnsi="黑体" w:eastAsia="黑体" w:cs="黑体"/>
          <w:sz w:val="18"/>
          <w:szCs w:val="18"/>
        </w:rPr>
      </w:pPr>
    </w:p>
    <w:p>
      <w:pPr>
        <w:numPr>
          <w:ilvl w:val="0"/>
          <w:numId w:val="32"/>
        </w:numPr>
        <w:tabs>
          <w:tab w:val="left" w:pos="6020"/>
        </w:tabs>
        <w:spacing w:line="360" w:lineRule="auto"/>
        <w:ind w:left="1058" w:leftChars="334" w:hanging="357" w:hangingChars="170"/>
        <w:rPr>
          <w:rFonts w:ascii="Times New Roman" w:hAnsi="Times New Roman"/>
          <w:bCs/>
          <w:szCs w:val="20"/>
        </w:rPr>
      </w:pPr>
      <w:r>
        <w:rPr>
          <w:rFonts w:hint="eastAsia" w:ascii="Times New Roman" w:hAnsi="Times New Roman"/>
          <w:bCs/>
          <w:szCs w:val="20"/>
        </w:rPr>
        <w:t>应选取有代表性且具有对测条件的构件，将平测测区混凝土中声速代表值（</w:t>
      </w:r>
      <m:oMath>
        <m:sSub>
          <m:sSubPr>
            <m:ctrlPr>
              <w:rPr>
                <w:rFonts w:ascii="Cambria Math" w:hAnsi="Cambria Math" w:cs="Times New Roman"/>
                <w:i/>
                <w:kern w:val="0"/>
                <w:szCs w:val="21"/>
              </w:rPr>
            </m:ctrlPr>
          </m:sSubPr>
          <m:e>
            <m:r>
              <m:rPr/>
              <w:rPr>
                <w:rFonts w:ascii="Cambria Math" w:hAnsi="Cambria Math" w:cs="Times New Roman"/>
                <w:kern w:val="0"/>
                <w:szCs w:val="21"/>
              </w:rPr>
              <m:t>v</m:t>
            </m:r>
            <m:ctrlPr>
              <w:rPr>
                <w:rFonts w:ascii="Cambria Math" w:hAnsi="Cambria Math" w:cs="Times New Roman"/>
                <w:i/>
                <w:kern w:val="0"/>
                <w:szCs w:val="21"/>
              </w:rPr>
            </m:ctrlPr>
          </m:e>
          <m:sub>
            <m:r>
              <m:rPr/>
              <w:rPr>
                <w:rFonts w:ascii="Cambria Math" w:hAnsi="Cambria Math" w:cs="Times New Roman"/>
                <w:kern w:val="0"/>
                <w:szCs w:val="21"/>
              </w:rPr>
              <m:t>p</m:t>
            </m:r>
            <m:ctrlPr>
              <w:rPr>
                <w:rFonts w:ascii="Cambria Math" w:hAnsi="Cambria Math" w:cs="Times New Roman"/>
                <w:i/>
                <w:kern w:val="0"/>
                <w:szCs w:val="21"/>
              </w:rPr>
            </m:ctrlPr>
          </m:sub>
        </m:sSub>
      </m:oMath>
      <w:r>
        <w:rPr>
          <w:rFonts w:hint="eastAsia" w:ascii="Times New Roman" w:hAnsi="Times New Roman"/>
          <w:bCs/>
          <w:szCs w:val="20"/>
        </w:rPr>
        <w:t>）修正为对测测区混凝土中声速代表值（</w:t>
      </w:r>
      <m:oMath>
        <m:sSub>
          <m:sSubPr>
            <m:ctrlPr>
              <w:rPr>
                <w:rFonts w:ascii="Cambria Math" w:hAnsi="Cambria Math" w:cs="Times New Roman"/>
                <w:i/>
                <w:kern w:val="0"/>
                <w:szCs w:val="21"/>
              </w:rPr>
            </m:ctrlPr>
          </m:sSubPr>
          <m:e>
            <m:r>
              <m:rPr/>
              <w:rPr>
                <w:rFonts w:ascii="Cambria Math" w:hAnsi="Cambria Math" w:cs="Times New Roman"/>
                <w:kern w:val="0"/>
                <w:szCs w:val="21"/>
              </w:rPr>
              <m:t>v</m:t>
            </m:r>
            <m:ctrlPr>
              <w:rPr>
                <w:rFonts w:ascii="Cambria Math" w:hAnsi="Cambria Math" w:cs="Times New Roman"/>
                <w:i/>
                <w:kern w:val="0"/>
                <w:szCs w:val="21"/>
              </w:rPr>
            </m:ctrlPr>
          </m:e>
          <m:sub>
            <m:r>
              <m:rPr/>
              <w:rPr>
                <w:rFonts w:hint="eastAsia" w:ascii="Cambria Math" w:hAnsi="Cambria Math" w:cs="Times New Roman"/>
                <w:kern w:val="0"/>
                <w:szCs w:val="21"/>
              </w:rPr>
              <m:t>d</m:t>
            </m:r>
            <m:ctrlPr>
              <w:rPr>
                <w:rFonts w:ascii="Cambria Math" w:hAnsi="Cambria Math" w:cs="Times New Roman"/>
                <w:i/>
                <w:kern w:val="0"/>
                <w:szCs w:val="21"/>
              </w:rPr>
            </m:ctrlPr>
          </m:sub>
        </m:sSub>
      </m:oMath>
      <w:r>
        <w:rPr>
          <w:rFonts w:hint="eastAsia" w:ascii="Times New Roman" w:hAnsi="Times New Roman"/>
          <w:bCs/>
          <w:szCs w:val="20"/>
        </w:rPr>
        <w:t>）。在构件上采用对测法得到对测测区混凝土中声速代表值（</w:t>
      </w:r>
      <m:oMath>
        <m:sSub>
          <m:sSubPr>
            <m:ctrlPr>
              <w:rPr>
                <w:rFonts w:ascii="Cambria Math" w:hAnsi="Cambria Math" w:cs="Times New Roman"/>
                <w:i/>
                <w:kern w:val="0"/>
                <w:szCs w:val="21"/>
              </w:rPr>
            </m:ctrlPr>
          </m:sSubPr>
          <m:e>
            <m:r>
              <m:rPr/>
              <w:rPr>
                <w:rFonts w:ascii="Cambria Math" w:hAnsi="Cambria Math" w:cs="Times New Roman"/>
                <w:kern w:val="0"/>
                <w:szCs w:val="21"/>
              </w:rPr>
              <m:t>v</m:t>
            </m:r>
            <m:ctrlPr>
              <w:rPr>
                <w:rFonts w:ascii="Cambria Math" w:hAnsi="Cambria Math" w:cs="Times New Roman"/>
                <w:i/>
                <w:kern w:val="0"/>
                <w:szCs w:val="21"/>
              </w:rPr>
            </m:ctrlPr>
          </m:e>
          <m:sub>
            <m:r>
              <m:rPr/>
              <w:rPr>
                <w:rFonts w:ascii="Cambria Math" w:hAnsi="Cambria Math" w:cs="Times New Roman"/>
                <w:kern w:val="0"/>
                <w:szCs w:val="21"/>
              </w:rPr>
              <m:t>d</m:t>
            </m:r>
            <m:ctrlPr>
              <w:rPr>
                <w:rFonts w:ascii="Cambria Math" w:hAnsi="Cambria Math" w:cs="Times New Roman"/>
                <w:i/>
                <w:kern w:val="0"/>
                <w:szCs w:val="21"/>
              </w:rPr>
            </m:ctrlPr>
          </m:sub>
        </m:sSub>
      </m:oMath>
      <w:r>
        <w:rPr>
          <w:rFonts w:hint="eastAsia" w:ascii="Times New Roman" w:hAnsi="Times New Roman"/>
          <w:bCs/>
          <w:szCs w:val="20"/>
        </w:rPr>
        <w:t>），并采用平测法得到平测时代表性构件混凝土中平测声速（</w:t>
      </w:r>
      <m:oMath>
        <m:sSub>
          <m:sSubPr>
            <m:ctrlPr>
              <w:rPr>
                <w:rFonts w:ascii="Cambria Math" w:hAnsi="Cambria Math" w:cs="Times New Roman"/>
                <w:i/>
                <w:kern w:val="0"/>
                <w:szCs w:val="21"/>
              </w:rPr>
            </m:ctrlPr>
          </m:sSubPr>
          <m:e>
            <m:r>
              <m:rPr/>
              <w:rPr>
                <w:rFonts w:ascii="Cambria Math" w:hAnsi="Cambria Math" w:cs="Times New Roman"/>
                <w:kern w:val="0"/>
                <w:szCs w:val="21"/>
              </w:rPr>
              <m:t>v</m:t>
            </m:r>
            <m:ctrlPr>
              <w:rPr>
                <w:rFonts w:ascii="Cambria Math" w:hAnsi="Cambria Math" w:cs="Times New Roman"/>
                <w:i/>
                <w:kern w:val="0"/>
                <w:szCs w:val="21"/>
              </w:rPr>
            </m:ctrlPr>
          </m:e>
          <m:sub>
            <m:r>
              <m:rPr/>
              <w:rPr>
                <w:rFonts w:ascii="Cambria Math" w:hAnsi="Cambria Math" w:cs="Times New Roman"/>
                <w:kern w:val="0"/>
                <w:szCs w:val="21"/>
              </w:rPr>
              <m:t>pp</m:t>
            </m:r>
            <m:ctrlPr>
              <w:rPr>
                <w:rFonts w:ascii="Cambria Math" w:hAnsi="Cambria Math" w:cs="Times New Roman"/>
                <w:i/>
                <w:kern w:val="0"/>
                <w:szCs w:val="21"/>
              </w:rPr>
            </m:ctrlPr>
          </m:sub>
        </m:sSub>
      </m:oMath>
      <w:r>
        <w:rPr>
          <w:rFonts w:hint="eastAsia" w:ascii="Times New Roman" w:hAnsi="Times New Roman"/>
          <w:bCs/>
          <w:szCs w:val="20"/>
        </w:rPr>
        <w:t>），按下式计算平测声速修正系数：</w:t>
      </w:r>
    </w:p>
    <w:tbl>
      <w:tblPr>
        <w:tblStyle w:val="20"/>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808"/>
        <w:gridCol w:w="4679"/>
        <w:gridCol w:w="202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4" w:hRule="atLeast"/>
        </w:trPr>
        <w:tc>
          <w:tcPr>
            <w:tcW w:w="1062" w:type="pct"/>
            <w:vAlign w:val="center"/>
          </w:tcPr>
          <w:p>
            <w:pPr>
              <w:spacing w:line="360" w:lineRule="auto"/>
              <w:rPr>
                <w:rFonts w:hint="eastAsia" w:ascii="宋体" w:hAnsi="宋体" w:eastAsia="宋体" w:cs="宋体"/>
              </w:rPr>
            </w:pPr>
          </w:p>
        </w:tc>
        <w:tc>
          <w:tcPr>
            <w:tcW w:w="2747" w:type="pct"/>
            <w:vAlign w:val="center"/>
          </w:tcPr>
          <w:p>
            <w:pPr>
              <w:spacing w:line="360" w:lineRule="auto"/>
              <w:rPr>
                <w:rFonts w:hint="eastAsia" w:ascii="宋体" w:hAnsi="宋体" w:eastAsia="宋体" w:cs="宋体"/>
              </w:rPr>
            </w:pPr>
            <m:oMathPara>
              <m:oMath>
                <m:r>
                  <m:rPr/>
                  <w:rPr>
                    <w:rFonts w:hint="eastAsia" w:ascii="Cambria Math" w:hAnsi="Cambria Math" w:cs="Times New Roman"/>
                    <w:kern w:val="0"/>
                    <w:szCs w:val="21"/>
                  </w:rPr>
                  <m:t>λ</m:t>
                </m:r>
                <m:r>
                  <m:rPr/>
                  <w:rPr>
                    <w:rFonts w:ascii="Cambria Math" w:hAnsi="Cambria Math" w:cs="Times New Roman"/>
                    <w:kern w:val="0"/>
                    <w:szCs w:val="21"/>
                  </w:rPr>
                  <m:t>=</m:t>
                </m:r>
                <m:sSub>
                  <m:sSubPr>
                    <m:ctrlPr>
                      <w:rPr>
                        <w:rFonts w:ascii="Cambria Math" w:hAnsi="Cambria Math" w:cs="Times New Roman"/>
                        <w:i/>
                        <w:kern w:val="0"/>
                        <w:szCs w:val="21"/>
                      </w:rPr>
                    </m:ctrlPr>
                  </m:sSubPr>
                  <m:e>
                    <m:r>
                      <m:rPr/>
                      <w:rPr>
                        <w:rFonts w:ascii="Cambria Math" w:hAnsi="Cambria Math" w:cs="Times New Roman"/>
                        <w:kern w:val="0"/>
                        <w:szCs w:val="21"/>
                      </w:rPr>
                      <m:t>v</m:t>
                    </m:r>
                    <m:ctrlPr>
                      <w:rPr>
                        <w:rFonts w:ascii="Cambria Math" w:hAnsi="Cambria Math" w:cs="Times New Roman"/>
                        <w:i/>
                        <w:kern w:val="0"/>
                        <w:szCs w:val="21"/>
                      </w:rPr>
                    </m:ctrlPr>
                  </m:e>
                  <m:sub>
                    <m:r>
                      <m:rPr/>
                      <w:rPr>
                        <w:rFonts w:hint="eastAsia" w:ascii="Cambria Math" w:hAnsi="Cambria Math" w:cs="Times New Roman"/>
                        <w:kern w:val="0"/>
                        <w:szCs w:val="21"/>
                      </w:rPr>
                      <m:t>d</m:t>
                    </m:r>
                    <m:ctrlPr>
                      <w:rPr>
                        <w:rFonts w:ascii="Cambria Math" w:hAnsi="Cambria Math" w:cs="Times New Roman"/>
                        <w:i/>
                        <w:kern w:val="0"/>
                        <w:szCs w:val="21"/>
                      </w:rPr>
                    </m:ctrlPr>
                  </m:sub>
                </m:sSub>
                <m:r>
                  <m:rPr/>
                  <w:rPr>
                    <w:rFonts w:ascii="Cambria Math" w:hAnsi="Cambria Math" w:cs="Times New Roman"/>
                    <w:kern w:val="0"/>
                    <w:szCs w:val="21"/>
                  </w:rPr>
                  <m:t>/</m:t>
                </m:r>
                <m:sSub>
                  <m:sSubPr>
                    <m:ctrlPr>
                      <w:rPr>
                        <w:rFonts w:ascii="Cambria Math" w:hAnsi="Cambria Math" w:cs="Times New Roman"/>
                        <w:i/>
                        <w:kern w:val="0"/>
                        <w:szCs w:val="21"/>
                      </w:rPr>
                    </m:ctrlPr>
                  </m:sSubPr>
                  <m:e>
                    <m:r>
                      <m:rPr/>
                      <w:rPr>
                        <w:rFonts w:ascii="Cambria Math" w:hAnsi="Cambria Math" w:cs="Times New Roman"/>
                        <w:kern w:val="0"/>
                        <w:szCs w:val="21"/>
                      </w:rPr>
                      <m:t>v</m:t>
                    </m:r>
                    <m:ctrlPr>
                      <w:rPr>
                        <w:rFonts w:ascii="Cambria Math" w:hAnsi="Cambria Math" w:cs="Times New Roman"/>
                        <w:i/>
                        <w:kern w:val="0"/>
                        <w:szCs w:val="21"/>
                      </w:rPr>
                    </m:ctrlPr>
                  </m:e>
                  <m:sub>
                    <m:r>
                      <m:rPr/>
                      <w:rPr>
                        <w:rFonts w:hint="eastAsia" w:ascii="Cambria Math" w:hAnsi="Cambria Math" w:cs="Times New Roman"/>
                        <w:kern w:val="0"/>
                        <w:szCs w:val="21"/>
                      </w:rPr>
                      <m:t>pp</m:t>
                    </m:r>
                    <m:ctrlPr>
                      <w:rPr>
                        <w:rFonts w:ascii="Cambria Math" w:hAnsi="Cambria Math" w:cs="Times New Roman"/>
                        <w:i/>
                        <w:kern w:val="0"/>
                        <w:szCs w:val="21"/>
                      </w:rPr>
                    </m:ctrlPr>
                  </m:sub>
                </m:sSub>
              </m:oMath>
            </m:oMathPara>
          </w:p>
        </w:tc>
        <w:tc>
          <w:tcPr>
            <w:tcW w:w="1191" w:type="pct"/>
            <w:vAlign w:val="center"/>
          </w:tcPr>
          <w:p>
            <w:pPr>
              <w:spacing w:line="360" w:lineRule="auto"/>
              <w:rPr>
                <w:rFonts w:hint="eastAsia" w:ascii="宋体" w:hAnsi="宋体" w:eastAsia="宋体" w:cs="宋体"/>
              </w:rPr>
            </w:pPr>
            <w:r>
              <w:rPr>
                <w:rFonts w:hint="eastAsia" w:ascii="Times New Roman" w:hAnsi="Times New Roman"/>
                <w:bCs/>
                <w:szCs w:val="20"/>
              </w:rPr>
              <w:t>（</w:t>
            </w:r>
            <w:r>
              <w:rPr>
                <w:rFonts w:ascii="黑体" w:hAnsi="黑体" w:eastAsia="黑体" w:cs="黑体"/>
              </w:rPr>
              <w:t>C</w:t>
            </w:r>
            <w:r>
              <w:rPr>
                <w:rFonts w:hint="eastAsia" w:ascii="黑体" w:hAnsi="黑体" w:eastAsia="黑体" w:cs="黑体"/>
              </w:rPr>
              <w:t>.0.</w:t>
            </w:r>
            <w:r>
              <w:rPr>
                <w:rFonts w:ascii="黑体" w:hAnsi="黑体" w:eastAsia="黑体" w:cs="黑体"/>
              </w:rPr>
              <w:t>3-4</w:t>
            </w:r>
            <w:r>
              <w:rPr>
                <w:rFonts w:hint="eastAsia" w:ascii="Times New Roman" w:hAnsi="Times New Roman"/>
                <w:bCs/>
                <w:szCs w:val="20"/>
              </w:rPr>
              <w:t>）</w:t>
            </w:r>
          </w:p>
        </w:tc>
      </w:tr>
    </w:tbl>
    <w:p>
      <w:pPr>
        <w:tabs>
          <w:tab w:val="left" w:pos="6020"/>
        </w:tabs>
        <w:spacing w:line="360" w:lineRule="auto"/>
        <w:ind w:firstLine="1058" w:firstLineChars="504"/>
        <w:rPr>
          <w:rFonts w:ascii="Times New Roman" w:hAnsi="Times New Roman"/>
          <w:bCs/>
          <w:szCs w:val="20"/>
        </w:rPr>
      </w:pPr>
      <w:r>
        <w:rPr>
          <w:rFonts w:hint="eastAsia" w:ascii="Times New Roman" w:hAnsi="Times New Roman"/>
          <w:bCs/>
          <w:szCs w:val="20"/>
        </w:rPr>
        <w:t>式中：</w:t>
      </w:r>
      <m:oMath>
        <m:sSub>
          <m:sSubPr>
            <m:ctrlPr>
              <w:rPr>
                <w:rFonts w:ascii="Cambria Math" w:hAnsi="Cambria Math" w:cs="Times New Roman"/>
                <w:i/>
                <w:kern w:val="0"/>
                <w:szCs w:val="21"/>
              </w:rPr>
            </m:ctrlPr>
          </m:sSubPr>
          <m:e>
            <m:r>
              <m:rPr/>
              <w:rPr>
                <w:rFonts w:ascii="Cambria Math" w:hAnsi="Cambria Math" w:cs="Times New Roman"/>
                <w:kern w:val="0"/>
                <w:szCs w:val="21"/>
              </w:rPr>
              <m:t>v</m:t>
            </m:r>
            <m:ctrlPr>
              <w:rPr>
                <w:rFonts w:ascii="Cambria Math" w:hAnsi="Cambria Math" w:cs="Times New Roman"/>
                <w:i/>
                <w:kern w:val="0"/>
                <w:szCs w:val="21"/>
              </w:rPr>
            </m:ctrlPr>
          </m:e>
          <m:sub>
            <m:r>
              <m:rPr/>
              <w:rPr>
                <w:rFonts w:hint="eastAsia" w:ascii="Cambria Math" w:hAnsi="Cambria Math" w:cs="Times New Roman"/>
                <w:kern w:val="0"/>
                <w:szCs w:val="21"/>
              </w:rPr>
              <m:t>d</m:t>
            </m:r>
            <m:ctrlPr>
              <w:rPr>
                <w:rFonts w:ascii="Cambria Math" w:hAnsi="Cambria Math" w:cs="Times New Roman"/>
                <w:i/>
                <w:kern w:val="0"/>
                <w:szCs w:val="21"/>
              </w:rPr>
            </m:ctrlPr>
          </m:sub>
        </m:sSub>
      </m:oMath>
      <w:r>
        <w:rPr>
          <w:rFonts w:hint="eastAsia" w:ascii="Times New Roman" w:hAnsi="Times New Roman"/>
          <w:bCs/>
          <w:szCs w:val="20"/>
        </w:rPr>
        <w:t>——</w:t>
      </w:r>
      <w:r>
        <w:rPr>
          <w:rFonts w:ascii="Times New Roman" w:hAnsi="Times New Roman"/>
          <w:bCs/>
          <w:szCs w:val="20"/>
        </w:rPr>
        <w:t xml:space="preserve"> </w:t>
      </w:r>
      <w:r>
        <w:rPr>
          <w:rFonts w:hint="eastAsia" w:ascii="Times New Roman" w:hAnsi="Times New Roman"/>
          <w:bCs/>
          <w:szCs w:val="20"/>
        </w:rPr>
        <w:t>对测测区混凝土中声速代表值（km/s）；</w:t>
      </w:r>
    </w:p>
    <w:p>
      <w:pPr>
        <w:pStyle w:val="26"/>
        <w:tabs>
          <w:tab w:val="left" w:pos="0"/>
          <w:tab w:val="left" w:pos="712"/>
          <w:tab w:val="left" w:pos="990"/>
          <w:tab w:val="left" w:pos="6020"/>
        </w:tabs>
        <w:spacing w:line="360" w:lineRule="auto"/>
        <w:ind w:firstLine="1680" w:firstLineChars="800"/>
        <w:rPr>
          <w:rFonts w:ascii="Times New Roman" w:hAnsi="Times New Roman"/>
          <w:bCs/>
          <w:szCs w:val="20"/>
        </w:rPr>
      </w:pPr>
      <m:oMath>
        <m:sSub>
          <m:sSubPr>
            <m:ctrlPr>
              <w:rPr>
                <w:rFonts w:ascii="Cambria Math" w:hAnsi="Cambria Math" w:cs="Times New Roman"/>
                <w:i/>
                <w:kern w:val="0"/>
                <w:szCs w:val="21"/>
              </w:rPr>
            </m:ctrlPr>
          </m:sSubPr>
          <m:e>
            <m:r>
              <m:rPr/>
              <w:rPr>
                <w:rFonts w:ascii="Cambria Math" w:hAnsi="Cambria Math" w:cs="Times New Roman"/>
                <w:kern w:val="0"/>
                <w:szCs w:val="21"/>
              </w:rPr>
              <m:t>v</m:t>
            </m:r>
            <m:ctrlPr>
              <w:rPr>
                <w:rFonts w:ascii="Cambria Math" w:hAnsi="Cambria Math" w:cs="Times New Roman"/>
                <w:i/>
                <w:kern w:val="0"/>
                <w:szCs w:val="21"/>
              </w:rPr>
            </m:ctrlPr>
          </m:e>
          <m:sub>
            <m:r>
              <m:rPr/>
              <w:rPr>
                <w:rFonts w:hint="eastAsia" w:ascii="Cambria Math" w:hAnsi="Cambria Math" w:cs="Times New Roman"/>
                <w:kern w:val="0"/>
                <w:szCs w:val="21"/>
              </w:rPr>
              <m:t>pp</m:t>
            </m:r>
            <m:ctrlPr>
              <w:rPr>
                <w:rFonts w:ascii="Cambria Math" w:hAnsi="Cambria Math" w:cs="Times New Roman"/>
                <w:i/>
                <w:kern w:val="0"/>
                <w:szCs w:val="21"/>
              </w:rPr>
            </m:ctrlPr>
          </m:sub>
        </m:sSub>
      </m:oMath>
      <w:r>
        <w:rPr>
          <w:rFonts w:hint="eastAsia" w:ascii="Times New Roman" w:hAnsi="Times New Roman"/>
          <w:bCs/>
          <w:szCs w:val="20"/>
        </w:rPr>
        <w:t>——</w:t>
      </w:r>
      <w:r>
        <w:rPr>
          <w:rFonts w:ascii="Times New Roman" w:hAnsi="Times New Roman"/>
          <w:bCs/>
          <w:szCs w:val="20"/>
        </w:rPr>
        <w:t xml:space="preserve"> </w:t>
      </w:r>
      <w:r>
        <w:rPr>
          <w:rFonts w:hint="eastAsia" w:ascii="Times New Roman" w:hAnsi="Times New Roman"/>
          <w:bCs/>
          <w:szCs w:val="20"/>
        </w:rPr>
        <w:t>平测时代表性构件混凝土中平测声速（km/s）；</w:t>
      </w:r>
    </w:p>
    <w:p>
      <w:pPr>
        <w:pStyle w:val="26"/>
        <w:tabs>
          <w:tab w:val="left" w:pos="0"/>
          <w:tab w:val="left" w:pos="712"/>
          <w:tab w:val="left" w:pos="990"/>
          <w:tab w:val="left" w:pos="6020"/>
        </w:tabs>
        <w:spacing w:line="360" w:lineRule="auto"/>
        <w:ind w:firstLine="1680" w:firstLineChars="800"/>
        <w:rPr>
          <w:rFonts w:ascii="Times New Roman" w:hAnsi="Times New Roman"/>
          <w:bCs/>
          <w:szCs w:val="20"/>
        </w:rPr>
      </w:pPr>
      <m:oMath>
        <m:r>
          <m:rPr/>
          <w:rPr>
            <w:rFonts w:hint="eastAsia" w:ascii="Cambria Math" w:hAnsi="Cambria Math" w:cs="Times New Roman"/>
            <w:kern w:val="0"/>
            <w:szCs w:val="21"/>
          </w:rPr>
          <m:t>λ</m:t>
        </m:r>
      </m:oMath>
      <w:r>
        <w:rPr>
          <w:rFonts w:hint="eastAsia" w:ascii="Times New Roman" w:hAnsi="Times New Roman"/>
          <w:bCs/>
          <w:szCs w:val="20"/>
        </w:rPr>
        <w:t>——</w:t>
      </w:r>
      <w:r>
        <w:rPr>
          <w:rFonts w:ascii="Times New Roman" w:hAnsi="Times New Roman"/>
          <w:bCs/>
          <w:szCs w:val="20"/>
        </w:rPr>
        <w:t xml:space="preserve"> </w:t>
      </w:r>
      <w:r>
        <w:rPr>
          <w:rFonts w:hint="eastAsia" w:ascii="Times New Roman" w:hAnsi="Times New Roman"/>
          <w:bCs/>
          <w:szCs w:val="20"/>
        </w:rPr>
        <w:t>平测声速修正系数。</w:t>
      </w:r>
    </w:p>
    <w:p>
      <w:pPr>
        <w:numPr>
          <w:ilvl w:val="0"/>
          <w:numId w:val="32"/>
        </w:numPr>
        <w:tabs>
          <w:tab w:val="left" w:pos="6020"/>
        </w:tabs>
        <w:spacing w:line="360" w:lineRule="auto"/>
        <w:ind w:left="1058" w:leftChars="334" w:hanging="357" w:hangingChars="170"/>
        <w:rPr>
          <w:rFonts w:hint="eastAsia" w:ascii="宋体" w:hAnsi="宋体" w:eastAsia="宋体" w:cs="宋体"/>
        </w:rPr>
      </w:pPr>
      <w:r>
        <w:rPr>
          <w:rFonts w:hint="eastAsia" w:ascii="Times New Roman" w:hAnsi="Times New Roman"/>
          <w:bCs/>
          <w:szCs w:val="20"/>
        </w:rPr>
        <w:t>平测法修正后的测区混凝土中声速代表值应按下式计算：</w:t>
      </w:r>
    </w:p>
    <w:tbl>
      <w:tblPr>
        <w:tblStyle w:val="20"/>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808"/>
        <w:gridCol w:w="4679"/>
        <w:gridCol w:w="202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4" w:hRule="atLeast"/>
        </w:trPr>
        <w:tc>
          <w:tcPr>
            <w:tcW w:w="1062" w:type="pct"/>
            <w:vAlign w:val="center"/>
          </w:tcPr>
          <w:p>
            <w:pPr>
              <w:spacing w:line="360" w:lineRule="auto"/>
              <w:rPr>
                <w:rFonts w:hint="eastAsia" w:ascii="宋体" w:hAnsi="宋体" w:eastAsia="宋体" w:cs="宋体"/>
              </w:rPr>
            </w:pPr>
          </w:p>
        </w:tc>
        <w:tc>
          <w:tcPr>
            <w:tcW w:w="2747" w:type="pct"/>
            <w:vAlign w:val="center"/>
          </w:tcPr>
          <w:p>
            <w:pPr>
              <w:spacing w:line="360" w:lineRule="auto"/>
              <w:rPr>
                <w:rFonts w:hint="eastAsia" w:ascii="宋体" w:hAnsi="宋体" w:eastAsia="宋体" w:cs="宋体"/>
              </w:rPr>
            </w:pPr>
            <m:oMathPara>
              <m:oMath>
                <m:sSub>
                  <m:sSubPr>
                    <m:ctrlPr>
                      <w:rPr>
                        <w:rFonts w:ascii="Cambria Math" w:hAnsi="Cambria Math" w:cs="Times New Roman"/>
                        <w:i/>
                        <w:kern w:val="0"/>
                        <w:szCs w:val="21"/>
                      </w:rPr>
                    </m:ctrlPr>
                  </m:sSubPr>
                  <m:e>
                    <m:r>
                      <m:rPr/>
                      <w:rPr>
                        <w:rFonts w:ascii="Cambria Math" w:hAnsi="Cambria Math" w:cs="Times New Roman"/>
                        <w:kern w:val="0"/>
                        <w:szCs w:val="21"/>
                      </w:rPr>
                      <m:t>v</m:t>
                    </m:r>
                    <m:ctrlPr>
                      <w:rPr>
                        <w:rFonts w:ascii="Cambria Math" w:hAnsi="Cambria Math" w:cs="Times New Roman"/>
                        <w:i/>
                        <w:kern w:val="0"/>
                        <w:szCs w:val="21"/>
                      </w:rPr>
                    </m:ctrlPr>
                  </m:e>
                  <m:sub>
                    <m:r>
                      <m:rPr/>
                      <w:rPr>
                        <w:rFonts w:ascii="Cambria Math" w:hAnsi="Cambria Math" w:cs="Times New Roman"/>
                        <w:kern w:val="0"/>
                        <w:szCs w:val="21"/>
                      </w:rPr>
                      <m:t>a</m:t>
                    </m:r>
                    <m:ctrlPr>
                      <w:rPr>
                        <w:rFonts w:ascii="Cambria Math" w:hAnsi="Cambria Math" w:cs="Times New Roman"/>
                        <w:i/>
                        <w:kern w:val="0"/>
                        <w:szCs w:val="21"/>
                      </w:rPr>
                    </m:ctrlPr>
                  </m:sub>
                </m:sSub>
                <m:r>
                  <m:rPr/>
                  <w:rPr>
                    <w:rFonts w:ascii="Cambria Math" w:hAnsi="Cambria Math" w:cs="Times New Roman"/>
                    <w:kern w:val="0"/>
                    <w:szCs w:val="21"/>
                  </w:rPr>
                  <m:t>=</m:t>
                </m:r>
                <m:r>
                  <m:rPr/>
                  <w:rPr>
                    <w:rFonts w:hint="eastAsia" w:ascii="Cambria Math" w:hAnsi="Cambria Math" w:cs="Times New Roman"/>
                    <w:kern w:val="0"/>
                    <w:szCs w:val="21"/>
                  </w:rPr>
                  <m:t>λ</m:t>
                </m:r>
                <m:sSub>
                  <m:sSubPr>
                    <m:ctrlPr>
                      <w:rPr>
                        <w:rFonts w:ascii="Cambria Math" w:hAnsi="Cambria Math" w:cs="Times New Roman"/>
                        <w:i/>
                        <w:kern w:val="0"/>
                        <w:szCs w:val="21"/>
                      </w:rPr>
                    </m:ctrlPr>
                  </m:sSubPr>
                  <m:e>
                    <m:r>
                      <m:rPr/>
                      <w:rPr>
                        <w:rFonts w:ascii="Cambria Math" w:hAnsi="Cambria Math" w:cs="Times New Roman"/>
                        <w:kern w:val="0"/>
                        <w:szCs w:val="21"/>
                      </w:rPr>
                      <m:t>v</m:t>
                    </m:r>
                    <m:ctrlPr>
                      <w:rPr>
                        <w:rFonts w:ascii="Cambria Math" w:hAnsi="Cambria Math" w:cs="Times New Roman"/>
                        <w:i/>
                        <w:kern w:val="0"/>
                        <w:szCs w:val="21"/>
                      </w:rPr>
                    </m:ctrlPr>
                  </m:e>
                  <m:sub>
                    <m:r>
                      <m:rPr/>
                      <w:rPr>
                        <w:rFonts w:hint="eastAsia" w:ascii="Cambria Math" w:hAnsi="Cambria Math" w:cs="Times New Roman"/>
                        <w:kern w:val="0"/>
                        <w:szCs w:val="21"/>
                      </w:rPr>
                      <m:t>p</m:t>
                    </m:r>
                    <m:ctrlPr>
                      <w:rPr>
                        <w:rFonts w:ascii="Cambria Math" w:hAnsi="Cambria Math" w:cs="Times New Roman"/>
                        <w:i/>
                        <w:kern w:val="0"/>
                        <w:szCs w:val="21"/>
                      </w:rPr>
                    </m:ctrlPr>
                  </m:sub>
                </m:sSub>
              </m:oMath>
            </m:oMathPara>
          </w:p>
        </w:tc>
        <w:tc>
          <w:tcPr>
            <w:tcW w:w="1191" w:type="pct"/>
            <w:vAlign w:val="center"/>
          </w:tcPr>
          <w:p>
            <w:pPr>
              <w:spacing w:line="360" w:lineRule="auto"/>
              <w:rPr>
                <w:rFonts w:hint="eastAsia" w:ascii="宋体" w:hAnsi="宋体" w:eastAsia="宋体" w:cs="宋体"/>
              </w:rPr>
            </w:pPr>
            <w:r>
              <w:rPr>
                <w:rFonts w:hint="eastAsia" w:ascii="Times New Roman" w:hAnsi="Times New Roman"/>
                <w:bCs/>
                <w:szCs w:val="20"/>
              </w:rPr>
              <w:t>（</w:t>
            </w:r>
            <w:r>
              <w:rPr>
                <w:rFonts w:ascii="黑体" w:hAnsi="黑体" w:eastAsia="黑体" w:cs="黑体"/>
              </w:rPr>
              <w:t>C</w:t>
            </w:r>
            <w:r>
              <w:rPr>
                <w:rFonts w:hint="eastAsia" w:ascii="黑体" w:hAnsi="黑体" w:eastAsia="黑体" w:cs="黑体"/>
              </w:rPr>
              <w:t>.0.</w:t>
            </w:r>
            <w:r>
              <w:rPr>
                <w:rFonts w:ascii="黑体" w:hAnsi="黑体" w:eastAsia="黑体" w:cs="黑体"/>
              </w:rPr>
              <w:t>3-5</w:t>
            </w:r>
            <w:r>
              <w:rPr>
                <w:rFonts w:hint="eastAsia" w:ascii="Times New Roman" w:hAnsi="Times New Roman"/>
                <w:bCs/>
                <w:szCs w:val="20"/>
              </w:rPr>
              <w:t>）</w:t>
            </w:r>
          </w:p>
        </w:tc>
      </w:tr>
    </w:tbl>
    <w:p>
      <w:pPr>
        <w:tabs>
          <w:tab w:val="left" w:pos="6020"/>
        </w:tabs>
        <w:spacing w:line="360" w:lineRule="auto"/>
        <w:ind w:firstLine="1058" w:firstLineChars="504"/>
        <w:rPr>
          <w:rFonts w:ascii="Times New Roman" w:hAnsi="Times New Roman"/>
          <w:bCs/>
          <w:szCs w:val="20"/>
        </w:rPr>
      </w:pPr>
      <w:r>
        <w:rPr>
          <w:rFonts w:hint="eastAsia" w:ascii="Times New Roman" w:hAnsi="Times New Roman"/>
          <w:bCs/>
          <w:szCs w:val="20"/>
        </w:rPr>
        <w:t>式中：</w:t>
      </w:r>
      <m:oMath>
        <m:sSub>
          <m:sSubPr>
            <m:ctrlPr>
              <w:rPr>
                <w:rFonts w:ascii="Cambria Math" w:hAnsi="Cambria Math" w:cs="Times New Roman"/>
                <w:i/>
                <w:kern w:val="0"/>
                <w:szCs w:val="21"/>
              </w:rPr>
            </m:ctrlPr>
          </m:sSubPr>
          <m:e>
            <m:r>
              <m:rPr/>
              <w:rPr>
                <w:rFonts w:ascii="Cambria Math" w:hAnsi="Cambria Math" w:cs="Times New Roman"/>
                <w:kern w:val="0"/>
                <w:szCs w:val="21"/>
              </w:rPr>
              <m:t>v</m:t>
            </m:r>
            <m:ctrlPr>
              <w:rPr>
                <w:rFonts w:ascii="Cambria Math" w:hAnsi="Cambria Math" w:cs="Times New Roman"/>
                <w:i/>
                <w:kern w:val="0"/>
                <w:szCs w:val="21"/>
              </w:rPr>
            </m:ctrlPr>
          </m:e>
          <m:sub>
            <m:r>
              <m:rPr/>
              <w:rPr>
                <w:rFonts w:ascii="Cambria Math" w:hAnsi="Cambria Math" w:cs="Times New Roman"/>
                <w:kern w:val="0"/>
                <w:szCs w:val="21"/>
              </w:rPr>
              <m:t>a</m:t>
            </m:r>
            <m:ctrlPr>
              <w:rPr>
                <w:rFonts w:ascii="Cambria Math" w:hAnsi="Cambria Math" w:cs="Times New Roman"/>
                <w:i/>
                <w:kern w:val="0"/>
                <w:szCs w:val="21"/>
              </w:rPr>
            </m:ctrlPr>
          </m:sub>
        </m:sSub>
      </m:oMath>
      <w:r>
        <w:rPr>
          <w:rFonts w:hint="eastAsia" w:ascii="Times New Roman" w:hAnsi="Times New Roman"/>
          <w:bCs/>
          <w:szCs w:val="20"/>
        </w:rPr>
        <w:t>——</w:t>
      </w:r>
      <w:r>
        <w:rPr>
          <w:rFonts w:ascii="Times New Roman" w:hAnsi="Times New Roman"/>
          <w:bCs/>
          <w:szCs w:val="20"/>
        </w:rPr>
        <w:t xml:space="preserve"> </w:t>
      </w:r>
      <w:r>
        <w:rPr>
          <w:rFonts w:hint="eastAsia" w:ascii="Times New Roman" w:hAnsi="Times New Roman"/>
          <w:bCs/>
          <w:szCs w:val="20"/>
        </w:rPr>
        <w:t>修正后的测区混凝土中声速代表值（km/s）；</w:t>
      </w:r>
    </w:p>
    <w:p>
      <w:pPr>
        <w:pStyle w:val="26"/>
        <w:tabs>
          <w:tab w:val="left" w:pos="0"/>
          <w:tab w:val="left" w:pos="712"/>
          <w:tab w:val="left" w:pos="990"/>
          <w:tab w:val="left" w:pos="6020"/>
        </w:tabs>
        <w:spacing w:line="360" w:lineRule="auto"/>
        <w:ind w:firstLine="1680" w:firstLineChars="800"/>
        <w:rPr>
          <w:rFonts w:ascii="Times New Roman" w:hAnsi="Times New Roman"/>
          <w:bCs/>
          <w:szCs w:val="20"/>
        </w:rPr>
      </w:pPr>
      <m:oMath>
        <m:sSub>
          <m:sSubPr>
            <m:ctrlPr>
              <w:rPr>
                <w:rFonts w:ascii="Cambria Math" w:hAnsi="Cambria Math" w:cs="Times New Roman"/>
                <w:i/>
                <w:kern w:val="0"/>
                <w:szCs w:val="21"/>
              </w:rPr>
            </m:ctrlPr>
          </m:sSubPr>
          <m:e>
            <m:r>
              <m:rPr/>
              <w:rPr>
                <w:rFonts w:ascii="Cambria Math" w:hAnsi="Cambria Math" w:cs="Times New Roman"/>
                <w:kern w:val="0"/>
                <w:szCs w:val="21"/>
              </w:rPr>
              <m:t>v</m:t>
            </m:r>
            <m:ctrlPr>
              <w:rPr>
                <w:rFonts w:ascii="Cambria Math" w:hAnsi="Cambria Math" w:cs="Times New Roman"/>
                <w:i/>
                <w:kern w:val="0"/>
                <w:szCs w:val="21"/>
              </w:rPr>
            </m:ctrlPr>
          </m:e>
          <m:sub>
            <m:r>
              <m:rPr/>
              <w:rPr>
                <w:rFonts w:hint="eastAsia" w:ascii="Cambria Math" w:hAnsi="Cambria Math" w:cs="Times New Roman"/>
                <w:kern w:val="0"/>
                <w:szCs w:val="21"/>
              </w:rPr>
              <m:t>p</m:t>
            </m:r>
            <m:ctrlPr>
              <w:rPr>
                <w:rFonts w:ascii="Cambria Math" w:hAnsi="Cambria Math" w:cs="Times New Roman"/>
                <w:i/>
                <w:kern w:val="0"/>
                <w:szCs w:val="21"/>
              </w:rPr>
            </m:ctrlPr>
          </m:sub>
        </m:sSub>
      </m:oMath>
      <w:r>
        <w:rPr>
          <w:rFonts w:hint="eastAsia" w:ascii="Times New Roman" w:hAnsi="Times New Roman"/>
          <w:bCs/>
          <w:szCs w:val="20"/>
        </w:rPr>
        <w:t>——</w:t>
      </w:r>
      <w:r>
        <w:rPr>
          <w:rFonts w:ascii="Times New Roman" w:hAnsi="Times New Roman"/>
          <w:bCs/>
          <w:szCs w:val="20"/>
        </w:rPr>
        <w:t xml:space="preserve"> </w:t>
      </w:r>
      <w:r>
        <w:rPr>
          <w:rFonts w:hint="eastAsia" w:ascii="Times New Roman" w:hAnsi="Times New Roman"/>
          <w:bCs/>
          <w:szCs w:val="20"/>
        </w:rPr>
        <w:t>平测测区混凝土中声速代表值（km/s）；</w:t>
      </w:r>
    </w:p>
    <w:p>
      <w:pPr>
        <w:pStyle w:val="26"/>
        <w:tabs>
          <w:tab w:val="left" w:pos="0"/>
          <w:tab w:val="left" w:pos="712"/>
          <w:tab w:val="left" w:pos="990"/>
          <w:tab w:val="left" w:pos="6020"/>
        </w:tabs>
        <w:spacing w:line="360" w:lineRule="auto"/>
        <w:ind w:firstLine="1680" w:firstLineChars="800"/>
        <w:rPr>
          <w:rFonts w:ascii="Times New Roman" w:hAnsi="Times New Roman"/>
          <w:bCs/>
          <w:szCs w:val="20"/>
        </w:rPr>
      </w:pPr>
      <m:oMath>
        <m:r>
          <m:rPr/>
          <w:rPr>
            <w:rFonts w:hint="eastAsia" w:ascii="Cambria Math" w:hAnsi="Cambria Math" w:cs="Times New Roman"/>
            <w:kern w:val="0"/>
            <w:szCs w:val="21"/>
          </w:rPr>
          <m:t>λ</m:t>
        </m:r>
      </m:oMath>
      <w:r>
        <w:rPr>
          <w:rFonts w:hint="eastAsia" w:ascii="Times New Roman" w:hAnsi="Times New Roman"/>
          <w:bCs/>
          <w:szCs w:val="20"/>
        </w:rPr>
        <w:t>——</w:t>
      </w:r>
      <w:r>
        <w:rPr>
          <w:rFonts w:ascii="Times New Roman" w:hAnsi="Times New Roman"/>
          <w:bCs/>
          <w:szCs w:val="20"/>
        </w:rPr>
        <w:t xml:space="preserve"> </w:t>
      </w:r>
      <w:r>
        <w:rPr>
          <w:rFonts w:hint="eastAsia" w:ascii="Times New Roman" w:hAnsi="Times New Roman"/>
          <w:bCs/>
          <w:szCs w:val="20"/>
        </w:rPr>
        <w:t>平测声速修正系数。</w:t>
      </w:r>
    </w:p>
    <w:p>
      <w:pPr>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r>
        <w:rPr>
          <w:rFonts w:hint="eastAsia" w:ascii="黑体" w:hAnsi="黑体" w:eastAsia="黑体" w:cs="黑体"/>
        </w:rPr>
        <w:t xml:space="preserve">4 </w:t>
      </w:r>
      <w:r>
        <w:rPr>
          <w:rFonts w:ascii="黑体" w:hAnsi="黑体" w:eastAsia="黑体" w:cs="黑体"/>
        </w:rPr>
        <w:t xml:space="preserve"> </w:t>
      </w:r>
      <w:r>
        <w:rPr>
          <w:rFonts w:hint="eastAsia" w:ascii="宋体" w:hAnsi="宋体" w:eastAsia="宋体" w:cs="宋体"/>
        </w:rPr>
        <w:t>超声测试还应符合下列要求：</w:t>
      </w:r>
    </w:p>
    <w:p>
      <w:pPr>
        <w:numPr>
          <w:ilvl w:val="0"/>
          <w:numId w:val="33"/>
        </w:numPr>
        <w:tabs>
          <w:tab w:val="left" w:pos="6020"/>
        </w:tabs>
        <w:spacing w:line="360" w:lineRule="auto"/>
        <w:ind w:firstLine="703" w:firstLineChars="335"/>
        <w:rPr>
          <w:rFonts w:hint="eastAsia" w:ascii="宋体" w:hAnsi="宋体" w:eastAsia="宋体" w:cs="宋体"/>
        </w:rPr>
      </w:pPr>
      <w:r>
        <w:rPr>
          <w:rFonts w:hint="eastAsia" w:ascii="Times New Roman" w:hAnsi="Times New Roman"/>
          <w:bCs/>
          <w:szCs w:val="20"/>
        </w:rPr>
        <w:t>应在混凝土超声波检测仪上配置满足要求的换能器和高频电缆；</w:t>
      </w:r>
    </w:p>
    <w:p>
      <w:pPr>
        <w:numPr>
          <w:ilvl w:val="0"/>
          <w:numId w:val="33"/>
        </w:numPr>
        <w:tabs>
          <w:tab w:val="left" w:pos="6020"/>
        </w:tabs>
        <w:spacing w:line="360" w:lineRule="auto"/>
        <w:ind w:firstLine="703" w:firstLineChars="335"/>
        <w:rPr>
          <w:rFonts w:hint="eastAsia" w:ascii="宋体" w:hAnsi="宋体" w:eastAsia="宋体" w:cs="宋体"/>
        </w:rPr>
      </w:pPr>
      <w:r>
        <w:rPr>
          <w:rFonts w:hint="eastAsia" w:ascii="Times New Roman" w:hAnsi="Times New Roman"/>
          <w:bCs/>
          <w:szCs w:val="20"/>
        </w:rPr>
        <w:t>换能器辐射面应与混凝土测试面耦合；</w:t>
      </w:r>
    </w:p>
    <w:p>
      <w:pPr>
        <w:numPr>
          <w:ilvl w:val="0"/>
          <w:numId w:val="33"/>
        </w:numPr>
        <w:tabs>
          <w:tab w:val="left" w:pos="6020"/>
        </w:tabs>
        <w:spacing w:line="360" w:lineRule="auto"/>
        <w:ind w:firstLine="703" w:firstLineChars="335"/>
        <w:rPr>
          <w:rFonts w:hint="eastAsia" w:ascii="宋体" w:hAnsi="宋体" w:eastAsia="宋体" w:cs="宋体"/>
        </w:rPr>
      </w:pPr>
      <w:r>
        <w:rPr>
          <w:rFonts w:hint="eastAsia" w:ascii="Times New Roman" w:hAnsi="Times New Roman"/>
          <w:bCs/>
          <w:szCs w:val="20"/>
        </w:rPr>
        <w:t>应先测定声时初读数（</w:t>
      </w:r>
      <m:oMath>
        <m:sSub>
          <m:sSubPr>
            <m:ctrlPr>
              <w:rPr>
                <w:rFonts w:ascii="Cambria Math" w:hAnsi="Cambria Math" w:cs="Times New Roman"/>
                <w:i/>
                <w:kern w:val="0"/>
                <w:szCs w:val="21"/>
              </w:rPr>
            </m:ctrlPr>
          </m:sSubPr>
          <m:e>
            <m:r>
              <m:rPr/>
              <w:rPr>
                <w:rFonts w:ascii="Cambria Math" w:hAnsi="Cambria Math" w:cs="Times New Roman"/>
                <w:kern w:val="0"/>
                <w:szCs w:val="21"/>
              </w:rPr>
              <m:t>t</m:t>
            </m:r>
            <m:ctrlPr>
              <w:rPr>
                <w:rFonts w:ascii="Cambria Math" w:hAnsi="Cambria Math" w:cs="Times New Roman"/>
                <w:i/>
                <w:kern w:val="0"/>
                <w:szCs w:val="21"/>
              </w:rPr>
            </m:ctrlPr>
          </m:e>
          <m:sub>
            <m:r>
              <m:rPr/>
              <w:rPr>
                <w:rFonts w:ascii="Cambria Math" w:hAnsi="Cambria Math" w:cs="Times New Roman"/>
                <w:kern w:val="0"/>
                <w:szCs w:val="21"/>
              </w:rPr>
              <m:t>0</m:t>
            </m:r>
            <m:ctrlPr>
              <w:rPr>
                <w:rFonts w:ascii="Cambria Math" w:hAnsi="Cambria Math" w:cs="Times New Roman"/>
                <w:i/>
                <w:kern w:val="0"/>
                <w:szCs w:val="21"/>
              </w:rPr>
            </m:ctrlPr>
          </m:sub>
        </m:sSub>
      </m:oMath>
      <w:r>
        <w:rPr>
          <w:rFonts w:hint="eastAsia" w:ascii="Times New Roman" w:hAnsi="Times New Roman"/>
          <w:bCs/>
          <w:szCs w:val="20"/>
        </w:rPr>
        <w:t>），再进行声时测量，读数应精确至</w:t>
      </w:r>
      <w:r>
        <w:rPr>
          <w:rFonts w:ascii="Times New Roman" w:hAnsi="Times New Roman"/>
          <w:bCs/>
          <w:szCs w:val="20"/>
        </w:rPr>
        <w:t>0.1</w:t>
      </w:r>
      <w:r>
        <w:rPr>
          <w:rFonts w:ascii="Times New Roman" w:hAnsi="Times New Roman" w:cs="Times New Roman"/>
          <w:bCs/>
          <w:szCs w:val="20"/>
        </w:rPr>
        <w:t>μ</w:t>
      </w:r>
      <w:r>
        <w:rPr>
          <w:rFonts w:ascii="Times New Roman" w:hAnsi="Times New Roman"/>
          <w:bCs/>
          <w:szCs w:val="20"/>
        </w:rPr>
        <w:t>s</w:t>
      </w:r>
      <w:r>
        <w:rPr>
          <w:rFonts w:hint="eastAsia" w:ascii="Times New Roman" w:hAnsi="Times New Roman"/>
          <w:bCs/>
          <w:szCs w:val="20"/>
        </w:rPr>
        <w:t>；</w:t>
      </w:r>
    </w:p>
    <w:p>
      <w:pPr>
        <w:numPr>
          <w:ilvl w:val="0"/>
          <w:numId w:val="33"/>
        </w:numPr>
        <w:tabs>
          <w:tab w:val="left" w:pos="6020"/>
        </w:tabs>
        <w:spacing w:line="360" w:lineRule="auto"/>
        <w:ind w:firstLine="703" w:firstLineChars="335"/>
        <w:rPr>
          <w:rFonts w:hint="eastAsia" w:ascii="宋体" w:hAnsi="宋体" w:eastAsia="宋体" w:cs="宋体"/>
        </w:rPr>
      </w:pPr>
      <w:r>
        <w:rPr>
          <w:rFonts w:hint="eastAsia" w:ascii="Times New Roman" w:hAnsi="Times New Roman"/>
          <w:bCs/>
          <w:szCs w:val="20"/>
        </w:rPr>
        <w:t>超声测距（</w:t>
      </w:r>
      <w:r>
        <w:rPr>
          <w:rFonts w:hint="eastAsia" w:ascii="Times New Roman" w:hAnsi="Times New Roman"/>
          <w:bCs/>
          <w:i/>
          <w:szCs w:val="20"/>
        </w:rPr>
        <w:t>l</w:t>
      </w:r>
      <w:r>
        <w:rPr>
          <w:rFonts w:hint="eastAsia" w:ascii="Times New Roman" w:hAnsi="Times New Roman"/>
          <w:bCs/>
          <w:szCs w:val="20"/>
        </w:rPr>
        <w:t>）测量应精确至1mm，且测量允许误差应在±1%；</w:t>
      </w:r>
    </w:p>
    <w:p>
      <w:pPr>
        <w:numPr>
          <w:ilvl w:val="0"/>
          <w:numId w:val="33"/>
        </w:numPr>
        <w:tabs>
          <w:tab w:val="left" w:pos="6020"/>
        </w:tabs>
        <w:spacing w:line="360" w:lineRule="auto"/>
        <w:ind w:firstLine="703" w:firstLineChars="335"/>
        <w:rPr>
          <w:rFonts w:hint="eastAsia" w:ascii="宋体" w:hAnsi="宋体" w:eastAsia="宋体" w:cs="宋体"/>
        </w:rPr>
      </w:pPr>
      <w:r>
        <w:rPr>
          <w:rFonts w:hint="eastAsia" w:ascii="Times New Roman" w:hAnsi="Times New Roman"/>
          <w:bCs/>
          <w:szCs w:val="20"/>
        </w:rPr>
        <w:t>检测过程中若更换换能器或高频电缆，应重新测定声时初读数（</w:t>
      </w:r>
      <m:oMath>
        <m:sSub>
          <m:sSubPr>
            <m:ctrlPr>
              <w:rPr>
                <w:rFonts w:ascii="Cambria Math" w:hAnsi="Cambria Math" w:cs="Times New Roman"/>
                <w:i/>
                <w:kern w:val="0"/>
                <w:szCs w:val="21"/>
              </w:rPr>
            </m:ctrlPr>
          </m:sSubPr>
          <m:e>
            <m:r>
              <m:rPr/>
              <w:rPr>
                <w:rFonts w:ascii="Cambria Math" w:hAnsi="Cambria Math" w:cs="Times New Roman"/>
                <w:kern w:val="0"/>
                <w:szCs w:val="21"/>
              </w:rPr>
              <m:t>t</m:t>
            </m:r>
            <m:ctrlPr>
              <w:rPr>
                <w:rFonts w:ascii="Cambria Math" w:hAnsi="Cambria Math" w:cs="Times New Roman"/>
                <w:i/>
                <w:kern w:val="0"/>
                <w:szCs w:val="21"/>
              </w:rPr>
            </m:ctrlPr>
          </m:e>
          <m:sub>
            <m:r>
              <m:rPr/>
              <w:rPr>
                <w:rFonts w:ascii="Cambria Math" w:hAnsi="Cambria Math" w:cs="Times New Roman"/>
                <w:kern w:val="0"/>
                <w:szCs w:val="21"/>
              </w:rPr>
              <m:t>0</m:t>
            </m:r>
            <m:ctrlPr>
              <w:rPr>
                <w:rFonts w:ascii="Cambria Math" w:hAnsi="Cambria Math" w:cs="Times New Roman"/>
                <w:i/>
                <w:kern w:val="0"/>
                <w:szCs w:val="21"/>
              </w:rPr>
            </m:ctrlPr>
          </m:sub>
        </m:sSub>
      </m:oMath>
      <w:r>
        <w:rPr>
          <w:rFonts w:hint="eastAsia" w:ascii="Times New Roman" w:hAnsi="Times New Roman"/>
          <w:bCs/>
          <w:szCs w:val="20"/>
        </w:rPr>
        <w:t>）；</w:t>
      </w:r>
    </w:p>
    <w:p>
      <w:pPr>
        <w:numPr>
          <w:ilvl w:val="0"/>
          <w:numId w:val="33"/>
        </w:numPr>
        <w:tabs>
          <w:tab w:val="left" w:pos="6020"/>
        </w:tabs>
        <w:spacing w:line="360" w:lineRule="auto"/>
        <w:ind w:firstLine="703" w:firstLineChars="335"/>
        <w:rPr>
          <w:rFonts w:hint="eastAsia" w:ascii="宋体" w:hAnsi="宋体" w:eastAsia="宋体" w:cs="宋体"/>
        </w:rPr>
      </w:pPr>
      <w:r>
        <w:rPr>
          <w:rFonts w:hint="eastAsia" w:ascii="Times New Roman" w:hAnsi="Times New Roman"/>
          <w:bCs/>
          <w:szCs w:val="20"/>
        </w:rPr>
        <w:t>声速计算值应精确至0.01km/s。</w:t>
      </w:r>
    </w:p>
    <w:p>
      <w:pPr>
        <w:pStyle w:val="26"/>
        <w:tabs>
          <w:tab w:val="left" w:pos="0"/>
          <w:tab w:val="left" w:pos="712"/>
          <w:tab w:val="left" w:pos="990"/>
          <w:tab w:val="left" w:pos="6020"/>
        </w:tabs>
        <w:spacing w:line="360" w:lineRule="auto"/>
        <w:rPr>
          <w:rFonts w:hint="eastAsia" w:ascii="宋体" w:hAnsi="宋体" w:eastAsia="宋体" w:cs="宋体"/>
        </w:rPr>
      </w:pPr>
      <w:r>
        <w:rPr>
          <w:rFonts w:hint="eastAsia" w:ascii="黑体" w:hAnsi="黑体" w:eastAsia="黑体" w:cs="黑体"/>
        </w:rPr>
        <w:t xml:space="preserve">5 </w:t>
      </w:r>
      <w:r>
        <w:rPr>
          <w:rFonts w:ascii="黑体" w:hAnsi="黑体" w:eastAsia="黑体" w:cs="黑体"/>
        </w:rPr>
        <w:t xml:space="preserve"> </w:t>
      </w:r>
      <w:r>
        <w:rPr>
          <w:rFonts w:hint="eastAsia" w:ascii="宋体" w:hAnsi="宋体" w:eastAsia="宋体" w:cs="宋体"/>
        </w:rPr>
        <w:t>当在混凝土浇筑方向的侧面对测时，测区混凝土中声速代表值应按下式计算：</w:t>
      </w:r>
    </w:p>
    <w:tbl>
      <w:tblPr>
        <w:tblStyle w:val="20"/>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808"/>
        <w:gridCol w:w="4679"/>
        <w:gridCol w:w="202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4" w:hRule="atLeast"/>
        </w:trPr>
        <w:tc>
          <w:tcPr>
            <w:tcW w:w="1062" w:type="pct"/>
            <w:vAlign w:val="center"/>
          </w:tcPr>
          <w:p>
            <w:pPr>
              <w:spacing w:line="360" w:lineRule="auto"/>
              <w:rPr>
                <w:rFonts w:hint="eastAsia" w:ascii="宋体" w:hAnsi="宋体" w:eastAsia="宋体" w:cs="宋体"/>
              </w:rPr>
            </w:pPr>
          </w:p>
        </w:tc>
        <w:tc>
          <w:tcPr>
            <w:tcW w:w="2747" w:type="pct"/>
            <w:vAlign w:val="center"/>
          </w:tcPr>
          <w:p>
            <w:pPr>
              <w:spacing w:line="360" w:lineRule="auto"/>
              <w:rPr>
                <w:rFonts w:hint="eastAsia" w:ascii="宋体" w:hAnsi="宋体" w:eastAsia="宋体" w:cs="宋体"/>
              </w:rPr>
            </w:pPr>
            <m:oMathPara>
              <m:oMath>
                <m:sSub>
                  <m:sSubPr>
                    <m:ctrlPr>
                      <w:rPr>
                        <w:rFonts w:ascii="Cambria Math" w:hAnsi="Cambria Math" w:cs="Times New Roman"/>
                        <w:i/>
                        <w:kern w:val="0"/>
                        <w:szCs w:val="21"/>
                      </w:rPr>
                    </m:ctrlPr>
                  </m:sSubPr>
                  <m:e>
                    <m:r>
                      <m:rPr/>
                      <w:rPr>
                        <w:rFonts w:ascii="Cambria Math" w:hAnsi="Cambria Math" w:cs="Times New Roman"/>
                        <w:kern w:val="0"/>
                        <w:szCs w:val="21"/>
                      </w:rPr>
                      <m:t>v</m:t>
                    </m:r>
                    <m:ctrlPr>
                      <w:rPr>
                        <w:rFonts w:ascii="Cambria Math" w:hAnsi="Cambria Math" w:cs="Times New Roman"/>
                        <w:i/>
                        <w:kern w:val="0"/>
                        <w:szCs w:val="21"/>
                      </w:rPr>
                    </m:ctrlPr>
                  </m:e>
                  <m:sub>
                    <m:r>
                      <m:rPr/>
                      <w:rPr>
                        <w:rFonts w:hint="eastAsia" w:ascii="Cambria Math" w:hAnsi="Cambria Math" w:cs="Times New Roman"/>
                        <w:kern w:val="0"/>
                        <w:szCs w:val="21"/>
                      </w:rPr>
                      <m:t>d</m:t>
                    </m:r>
                    <m:ctrlPr>
                      <w:rPr>
                        <w:rFonts w:ascii="Cambria Math" w:hAnsi="Cambria Math" w:cs="Times New Roman"/>
                        <w:i/>
                        <w:kern w:val="0"/>
                        <w:szCs w:val="21"/>
                      </w:rPr>
                    </m:ctrlPr>
                  </m:sub>
                </m:sSub>
                <m:r>
                  <m:rPr/>
                  <w:rPr>
                    <w:rFonts w:ascii="Cambria Math" w:hAnsi="Cambria Math" w:cs="Times New Roman"/>
                    <w:kern w:val="0"/>
                    <w:szCs w:val="21"/>
                  </w:rPr>
                  <m:t>=</m:t>
                </m:r>
                <m:f>
                  <m:fPr>
                    <m:ctrlPr>
                      <w:rPr>
                        <w:rFonts w:ascii="Cambria Math" w:hAnsi="Cambria Math" w:cs="Times New Roman"/>
                        <w:i/>
                        <w:kern w:val="0"/>
                        <w:szCs w:val="21"/>
                      </w:rPr>
                    </m:ctrlPr>
                  </m:fPr>
                  <m:num>
                    <m:r>
                      <m:rPr/>
                      <w:rPr>
                        <w:rFonts w:ascii="Cambria Math" w:hAnsi="Cambria Math" w:cs="Times New Roman"/>
                        <w:kern w:val="0"/>
                        <w:szCs w:val="21"/>
                      </w:rPr>
                      <m:t>1</m:t>
                    </m:r>
                    <m:ctrlPr>
                      <w:rPr>
                        <w:rFonts w:ascii="Cambria Math" w:hAnsi="Cambria Math" w:cs="Times New Roman"/>
                        <w:i/>
                        <w:kern w:val="0"/>
                        <w:szCs w:val="21"/>
                      </w:rPr>
                    </m:ctrlPr>
                  </m:num>
                  <m:den>
                    <m:r>
                      <m:rPr/>
                      <w:rPr>
                        <w:rFonts w:ascii="Cambria Math" w:hAnsi="Cambria Math" w:cs="Times New Roman"/>
                        <w:kern w:val="0"/>
                        <w:szCs w:val="21"/>
                      </w:rPr>
                      <m:t>3</m:t>
                    </m:r>
                    <m:ctrlPr>
                      <w:rPr>
                        <w:rFonts w:ascii="Cambria Math" w:hAnsi="Cambria Math" w:cs="Times New Roman"/>
                        <w:i/>
                        <w:kern w:val="0"/>
                        <w:szCs w:val="21"/>
                      </w:rPr>
                    </m:ctrlPr>
                  </m:den>
                </m:f>
                <m:nary>
                  <m:naryPr>
                    <m:chr m:val="∑"/>
                    <m:limLoc m:val="undOvr"/>
                    <m:ctrlPr>
                      <w:rPr>
                        <w:rFonts w:ascii="Cambria Math" w:hAnsi="Cambria Math" w:cs="Times New Roman"/>
                        <w:i/>
                        <w:kern w:val="0"/>
                        <w:szCs w:val="21"/>
                      </w:rPr>
                    </m:ctrlPr>
                  </m:naryPr>
                  <m:sub>
                    <m:r>
                      <m:rPr/>
                      <w:rPr>
                        <w:rFonts w:ascii="Cambria Math" w:hAnsi="Cambria Math" w:cs="Times New Roman"/>
                        <w:kern w:val="0"/>
                        <w:szCs w:val="21"/>
                      </w:rPr>
                      <m:t>i=1</m:t>
                    </m:r>
                    <m:ctrlPr>
                      <w:rPr>
                        <w:rFonts w:ascii="Cambria Math" w:hAnsi="Cambria Math" w:cs="Times New Roman"/>
                        <w:i/>
                        <w:kern w:val="0"/>
                        <w:szCs w:val="21"/>
                      </w:rPr>
                    </m:ctrlPr>
                  </m:sub>
                  <m:sup>
                    <m:r>
                      <m:rPr/>
                      <w:rPr>
                        <w:rFonts w:ascii="Cambria Math" w:hAnsi="Cambria Math" w:cs="Times New Roman"/>
                        <w:kern w:val="0"/>
                        <w:szCs w:val="21"/>
                      </w:rPr>
                      <m:t>3</m:t>
                    </m:r>
                    <m:ctrlPr>
                      <w:rPr>
                        <w:rFonts w:ascii="Cambria Math" w:hAnsi="Cambria Math" w:cs="Times New Roman"/>
                        <w:i/>
                        <w:kern w:val="0"/>
                        <w:szCs w:val="21"/>
                      </w:rPr>
                    </m:ctrlPr>
                  </m:sup>
                  <m:e>
                    <m:f>
                      <m:fPr>
                        <m:ctrlPr>
                          <w:rPr>
                            <w:rFonts w:ascii="Cambria Math" w:hAnsi="Cambria Math" w:cs="Times New Roman"/>
                            <w:i/>
                            <w:kern w:val="0"/>
                            <w:szCs w:val="21"/>
                          </w:rPr>
                        </m:ctrlPr>
                      </m:fPr>
                      <m:num>
                        <m:sSub>
                          <m:sSubPr>
                            <m:ctrlPr>
                              <w:rPr>
                                <w:rFonts w:ascii="Cambria Math" w:hAnsi="Cambria Math" w:cs="Times New Roman"/>
                                <w:i/>
                                <w:kern w:val="0"/>
                                <w:szCs w:val="21"/>
                              </w:rPr>
                            </m:ctrlPr>
                          </m:sSubPr>
                          <m:e>
                            <m:r>
                              <m:rPr/>
                              <w:rPr>
                                <w:rFonts w:hint="eastAsia" w:ascii="Cambria Math" w:hAnsi="Cambria Math" w:cs="Times New Roman"/>
                                <w:kern w:val="0"/>
                                <w:szCs w:val="21"/>
                              </w:rPr>
                              <m:t>l</m:t>
                            </m:r>
                            <m:ctrlPr>
                              <w:rPr>
                                <w:rFonts w:ascii="Cambria Math" w:hAnsi="Cambria Math" w:cs="Times New Roman"/>
                                <w:i/>
                                <w:kern w:val="0"/>
                                <w:szCs w:val="21"/>
                              </w:rPr>
                            </m:ctrlPr>
                          </m:e>
                          <m:sub>
                            <m:r>
                              <m:rPr/>
                              <w:rPr>
                                <w:rFonts w:hint="eastAsia" w:ascii="Cambria Math" w:hAnsi="Cambria Math" w:cs="Times New Roman"/>
                                <w:kern w:val="0"/>
                                <w:szCs w:val="21"/>
                              </w:rPr>
                              <m:t>i</m:t>
                            </m:r>
                            <m:ctrlPr>
                              <w:rPr>
                                <w:rFonts w:ascii="Cambria Math" w:hAnsi="Cambria Math" w:cs="Times New Roman"/>
                                <w:i/>
                                <w:kern w:val="0"/>
                                <w:szCs w:val="21"/>
                              </w:rPr>
                            </m:ctrlPr>
                          </m:sub>
                        </m:sSub>
                        <m:ctrlPr>
                          <w:rPr>
                            <w:rFonts w:ascii="Cambria Math" w:hAnsi="Cambria Math" w:cs="Times New Roman"/>
                            <w:i/>
                            <w:kern w:val="0"/>
                            <w:szCs w:val="21"/>
                          </w:rPr>
                        </m:ctrlPr>
                      </m:num>
                      <m:den>
                        <m:sSub>
                          <m:sSubPr>
                            <m:ctrlPr>
                              <w:rPr>
                                <w:rFonts w:ascii="Cambria Math" w:hAnsi="Cambria Math" w:cs="Times New Roman"/>
                                <w:i/>
                                <w:kern w:val="0"/>
                                <w:szCs w:val="21"/>
                              </w:rPr>
                            </m:ctrlPr>
                          </m:sSubPr>
                          <m:e>
                            <m:r>
                              <m:rPr/>
                              <w:rPr>
                                <w:rFonts w:ascii="Cambria Math" w:hAnsi="Cambria Math" w:cs="Times New Roman"/>
                                <w:kern w:val="0"/>
                                <w:szCs w:val="21"/>
                              </w:rPr>
                              <m:t>t</m:t>
                            </m:r>
                            <m:ctrlPr>
                              <w:rPr>
                                <w:rFonts w:ascii="Cambria Math" w:hAnsi="Cambria Math" w:cs="Times New Roman"/>
                                <w:i/>
                                <w:kern w:val="0"/>
                                <w:szCs w:val="21"/>
                              </w:rPr>
                            </m:ctrlPr>
                          </m:e>
                          <m:sub>
                            <m:r>
                              <m:rPr/>
                              <w:rPr>
                                <w:rFonts w:hint="eastAsia" w:ascii="Cambria Math" w:hAnsi="Cambria Math" w:cs="Times New Roman"/>
                                <w:kern w:val="0"/>
                                <w:szCs w:val="21"/>
                              </w:rPr>
                              <m:t>i</m:t>
                            </m:r>
                            <m:ctrlPr>
                              <w:rPr>
                                <w:rFonts w:ascii="Cambria Math" w:hAnsi="Cambria Math" w:cs="Times New Roman"/>
                                <w:i/>
                                <w:kern w:val="0"/>
                                <w:szCs w:val="21"/>
                              </w:rPr>
                            </m:ctrlPr>
                          </m:sub>
                        </m:sSub>
                        <m:r>
                          <m:rPr/>
                          <w:rPr>
                            <w:rFonts w:ascii="Cambria Math" w:hAnsi="Cambria Math" w:cs="Times New Roman"/>
                            <w:kern w:val="0"/>
                            <w:szCs w:val="21"/>
                          </w:rPr>
                          <m:t>−</m:t>
                        </m:r>
                        <m:sSub>
                          <m:sSubPr>
                            <m:ctrlPr>
                              <w:rPr>
                                <w:rFonts w:ascii="Cambria Math" w:hAnsi="Cambria Math" w:cs="Times New Roman"/>
                                <w:i/>
                                <w:kern w:val="0"/>
                                <w:szCs w:val="21"/>
                              </w:rPr>
                            </m:ctrlPr>
                          </m:sSubPr>
                          <m:e>
                            <m:r>
                              <m:rPr/>
                              <w:rPr>
                                <w:rFonts w:ascii="Cambria Math" w:hAnsi="Cambria Math" w:cs="Times New Roman"/>
                                <w:kern w:val="0"/>
                                <w:szCs w:val="21"/>
                              </w:rPr>
                              <m:t>t</m:t>
                            </m:r>
                            <m:ctrlPr>
                              <w:rPr>
                                <w:rFonts w:ascii="Cambria Math" w:hAnsi="Cambria Math" w:cs="Times New Roman"/>
                                <w:i/>
                                <w:kern w:val="0"/>
                                <w:szCs w:val="21"/>
                              </w:rPr>
                            </m:ctrlPr>
                          </m:e>
                          <m:sub>
                            <m:r>
                              <m:rPr/>
                              <w:rPr>
                                <w:rFonts w:ascii="Cambria Math" w:hAnsi="Cambria Math" w:cs="Times New Roman"/>
                                <w:kern w:val="0"/>
                                <w:szCs w:val="21"/>
                              </w:rPr>
                              <m:t>0</m:t>
                            </m:r>
                            <m:ctrlPr>
                              <w:rPr>
                                <w:rFonts w:ascii="Cambria Math" w:hAnsi="Cambria Math" w:cs="Times New Roman"/>
                                <w:i/>
                                <w:kern w:val="0"/>
                                <w:szCs w:val="21"/>
                              </w:rPr>
                            </m:ctrlPr>
                          </m:sub>
                        </m:sSub>
                        <m:ctrlPr>
                          <w:rPr>
                            <w:rFonts w:ascii="Cambria Math" w:hAnsi="Cambria Math" w:cs="Times New Roman"/>
                            <w:i/>
                            <w:kern w:val="0"/>
                            <w:szCs w:val="21"/>
                          </w:rPr>
                        </m:ctrlPr>
                      </m:den>
                    </m:f>
                    <m:ctrlPr>
                      <w:rPr>
                        <w:rFonts w:ascii="Cambria Math" w:hAnsi="Cambria Math" w:cs="Times New Roman"/>
                        <w:i/>
                        <w:kern w:val="0"/>
                        <w:szCs w:val="21"/>
                      </w:rPr>
                    </m:ctrlPr>
                  </m:e>
                </m:nary>
              </m:oMath>
            </m:oMathPara>
          </w:p>
        </w:tc>
        <w:tc>
          <w:tcPr>
            <w:tcW w:w="1191" w:type="pct"/>
            <w:vAlign w:val="center"/>
          </w:tcPr>
          <w:p>
            <w:pPr>
              <w:spacing w:line="360" w:lineRule="auto"/>
              <w:rPr>
                <w:rFonts w:hint="eastAsia" w:ascii="宋体" w:hAnsi="宋体" w:eastAsia="宋体" w:cs="宋体"/>
              </w:rPr>
            </w:pPr>
            <w:r>
              <w:rPr>
                <w:rFonts w:hint="eastAsia" w:ascii="Times New Roman" w:hAnsi="Times New Roman"/>
                <w:bCs/>
                <w:szCs w:val="20"/>
              </w:rPr>
              <w:t>（</w:t>
            </w:r>
            <w:r>
              <w:rPr>
                <w:rFonts w:ascii="黑体" w:hAnsi="黑体" w:eastAsia="黑体" w:cs="黑体"/>
              </w:rPr>
              <w:t>C</w:t>
            </w:r>
            <w:r>
              <w:rPr>
                <w:rFonts w:hint="eastAsia" w:ascii="黑体" w:hAnsi="黑体" w:eastAsia="黑体" w:cs="黑体"/>
              </w:rPr>
              <w:t>.0.</w:t>
            </w:r>
            <w:r>
              <w:rPr>
                <w:rFonts w:ascii="黑体" w:hAnsi="黑体" w:eastAsia="黑体" w:cs="黑体"/>
              </w:rPr>
              <w:t>3-6</w:t>
            </w:r>
            <w:r>
              <w:rPr>
                <w:rFonts w:hint="eastAsia" w:ascii="Times New Roman" w:hAnsi="Times New Roman"/>
                <w:bCs/>
                <w:szCs w:val="20"/>
              </w:rPr>
              <w:t>）</w:t>
            </w:r>
          </w:p>
        </w:tc>
      </w:tr>
    </w:tbl>
    <w:p>
      <w:pPr>
        <w:tabs>
          <w:tab w:val="left" w:pos="6020"/>
        </w:tabs>
        <w:spacing w:line="360" w:lineRule="auto"/>
        <w:rPr>
          <w:rFonts w:ascii="Times New Roman" w:hAnsi="Times New Roman"/>
          <w:bCs/>
          <w:szCs w:val="20"/>
        </w:rPr>
      </w:pPr>
      <w:r>
        <w:rPr>
          <w:rFonts w:hint="eastAsia" w:ascii="Times New Roman" w:hAnsi="Times New Roman"/>
          <w:bCs/>
          <w:szCs w:val="20"/>
        </w:rPr>
        <w:t>式中：</w:t>
      </w:r>
      <m:oMath>
        <m:sSub>
          <m:sSubPr>
            <m:ctrlPr>
              <w:rPr>
                <w:rFonts w:ascii="Cambria Math" w:hAnsi="Cambria Math" w:cs="Times New Roman"/>
                <w:i/>
                <w:kern w:val="0"/>
                <w:szCs w:val="21"/>
              </w:rPr>
            </m:ctrlPr>
          </m:sSubPr>
          <m:e>
            <m:r>
              <m:rPr/>
              <w:rPr>
                <w:rFonts w:ascii="Cambria Math" w:hAnsi="Cambria Math" w:cs="Times New Roman"/>
                <w:kern w:val="0"/>
                <w:szCs w:val="21"/>
              </w:rPr>
              <m:t>v</m:t>
            </m:r>
            <m:ctrlPr>
              <w:rPr>
                <w:rFonts w:ascii="Cambria Math" w:hAnsi="Cambria Math" w:cs="Times New Roman"/>
                <w:i/>
                <w:kern w:val="0"/>
                <w:szCs w:val="21"/>
              </w:rPr>
            </m:ctrlPr>
          </m:e>
          <m:sub>
            <m:r>
              <m:rPr/>
              <w:rPr>
                <w:rFonts w:ascii="Cambria Math" w:hAnsi="Cambria Math" w:cs="Times New Roman"/>
                <w:kern w:val="0"/>
                <w:szCs w:val="21"/>
              </w:rPr>
              <m:t>d</m:t>
            </m:r>
            <m:ctrlPr>
              <w:rPr>
                <w:rFonts w:ascii="Cambria Math" w:hAnsi="Cambria Math" w:cs="Times New Roman"/>
                <w:i/>
                <w:kern w:val="0"/>
                <w:szCs w:val="21"/>
              </w:rPr>
            </m:ctrlPr>
          </m:sub>
        </m:sSub>
      </m:oMath>
      <w:r>
        <w:rPr>
          <w:rFonts w:hint="eastAsia" w:ascii="Times New Roman" w:hAnsi="Times New Roman"/>
          <w:bCs/>
          <w:szCs w:val="20"/>
        </w:rPr>
        <w:t>——</w:t>
      </w:r>
      <w:r>
        <w:rPr>
          <w:rFonts w:ascii="Times New Roman" w:hAnsi="Times New Roman"/>
          <w:bCs/>
          <w:szCs w:val="20"/>
        </w:rPr>
        <w:t xml:space="preserve"> </w:t>
      </w:r>
      <w:r>
        <w:rPr>
          <w:rFonts w:hint="eastAsia" w:ascii="Times New Roman" w:hAnsi="Times New Roman"/>
          <w:bCs/>
          <w:szCs w:val="20"/>
        </w:rPr>
        <w:t>对测测区混凝土中声速代表值（km/s）;</w:t>
      </w:r>
    </w:p>
    <w:p>
      <w:pPr>
        <w:pStyle w:val="26"/>
        <w:tabs>
          <w:tab w:val="left" w:pos="0"/>
          <w:tab w:val="left" w:pos="712"/>
          <w:tab w:val="left" w:pos="990"/>
          <w:tab w:val="left" w:pos="6020"/>
        </w:tabs>
        <w:spacing w:line="360" w:lineRule="auto"/>
        <w:ind w:firstLine="630" w:firstLineChars="300"/>
        <w:rPr>
          <w:rFonts w:ascii="Times New Roman" w:hAnsi="Times New Roman"/>
          <w:bCs/>
          <w:szCs w:val="20"/>
        </w:rPr>
      </w:pPr>
      <m:oMath>
        <m:sSub>
          <m:sSubPr>
            <m:ctrlPr>
              <w:rPr>
                <w:rFonts w:ascii="Cambria Math" w:hAnsi="Cambria Math" w:cs="Times New Roman"/>
                <w:i/>
                <w:kern w:val="0"/>
                <w:szCs w:val="21"/>
              </w:rPr>
            </m:ctrlPr>
          </m:sSubPr>
          <m:e>
            <m:r>
              <m:rPr/>
              <w:rPr>
                <w:rFonts w:hint="eastAsia" w:ascii="Cambria Math" w:hAnsi="Cambria Math" w:cs="Times New Roman"/>
                <w:kern w:val="0"/>
                <w:szCs w:val="21"/>
              </w:rPr>
              <m:t>l</m:t>
            </m:r>
            <m:ctrlPr>
              <w:rPr>
                <w:rFonts w:ascii="Cambria Math" w:hAnsi="Cambria Math" w:cs="Times New Roman"/>
                <w:i/>
                <w:kern w:val="0"/>
                <w:szCs w:val="21"/>
              </w:rPr>
            </m:ctrlPr>
          </m:e>
          <m:sub>
            <m:r>
              <m:rPr/>
              <w:rPr>
                <w:rFonts w:hint="eastAsia" w:ascii="Cambria Math" w:hAnsi="Cambria Math" w:cs="Times New Roman"/>
                <w:kern w:val="0"/>
                <w:szCs w:val="21"/>
              </w:rPr>
              <m:t>i</m:t>
            </m:r>
            <m:ctrlPr>
              <w:rPr>
                <w:rFonts w:ascii="Cambria Math" w:hAnsi="Cambria Math" w:cs="Times New Roman"/>
                <w:i/>
                <w:kern w:val="0"/>
                <w:szCs w:val="21"/>
              </w:rPr>
            </m:ctrlPr>
          </m:sub>
        </m:sSub>
      </m:oMath>
      <w:r>
        <w:rPr>
          <w:rFonts w:hint="eastAsia" w:ascii="Times New Roman" w:hAnsi="Times New Roman"/>
          <w:bCs/>
          <w:szCs w:val="20"/>
        </w:rPr>
        <w:t>——</w:t>
      </w:r>
      <w:r>
        <w:rPr>
          <w:rFonts w:ascii="Times New Roman" w:hAnsi="Times New Roman"/>
          <w:bCs/>
          <w:szCs w:val="20"/>
        </w:rPr>
        <w:t xml:space="preserve"> </w:t>
      </w:r>
      <w:r>
        <w:rPr>
          <w:rFonts w:hint="eastAsia" w:ascii="Times New Roman" w:hAnsi="Times New Roman"/>
          <w:bCs/>
          <w:szCs w:val="20"/>
        </w:rPr>
        <w:t>第i个测点的超声测距 （mm）；</w:t>
      </w:r>
    </w:p>
    <w:p>
      <w:pPr>
        <w:pStyle w:val="26"/>
        <w:tabs>
          <w:tab w:val="left" w:pos="0"/>
          <w:tab w:val="left" w:pos="712"/>
          <w:tab w:val="left" w:pos="990"/>
          <w:tab w:val="left" w:pos="6020"/>
        </w:tabs>
        <w:spacing w:line="360" w:lineRule="auto"/>
        <w:ind w:firstLine="630" w:firstLineChars="300"/>
        <w:rPr>
          <w:rFonts w:ascii="Times New Roman" w:hAnsi="Times New Roman"/>
          <w:bCs/>
          <w:szCs w:val="20"/>
        </w:rPr>
      </w:pPr>
      <m:oMath>
        <m:sSub>
          <m:sSubPr>
            <m:ctrlPr>
              <w:rPr>
                <w:rFonts w:ascii="Cambria Math" w:hAnsi="Cambria Math" w:cs="Times New Roman"/>
                <w:i/>
                <w:kern w:val="0"/>
                <w:szCs w:val="21"/>
              </w:rPr>
            </m:ctrlPr>
          </m:sSubPr>
          <m:e>
            <m:r>
              <m:rPr/>
              <w:rPr>
                <w:rFonts w:ascii="Cambria Math" w:hAnsi="Cambria Math" w:cs="Times New Roman"/>
                <w:kern w:val="0"/>
                <w:szCs w:val="21"/>
              </w:rPr>
              <m:t>t</m:t>
            </m:r>
            <m:ctrlPr>
              <w:rPr>
                <w:rFonts w:ascii="Cambria Math" w:hAnsi="Cambria Math" w:cs="Times New Roman"/>
                <w:i/>
                <w:kern w:val="0"/>
                <w:szCs w:val="21"/>
              </w:rPr>
            </m:ctrlPr>
          </m:e>
          <m:sub>
            <m:r>
              <m:rPr/>
              <w:rPr>
                <w:rFonts w:hint="eastAsia" w:ascii="Cambria Math" w:hAnsi="Cambria Math" w:cs="Times New Roman"/>
                <w:kern w:val="0"/>
                <w:szCs w:val="21"/>
              </w:rPr>
              <m:t>i</m:t>
            </m:r>
            <m:ctrlPr>
              <w:rPr>
                <w:rFonts w:ascii="Cambria Math" w:hAnsi="Cambria Math" w:cs="Times New Roman"/>
                <w:i/>
                <w:kern w:val="0"/>
                <w:szCs w:val="21"/>
              </w:rPr>
            </m:ctrlPr>
          </m:sub>
        </m:sSub>
      </m:oMath>
      <w:r>
        <w:rPr>
          <w:rFonts w:hint="eastAsia" w:ascii="Times New Roman" w:hAnsi="Times New Roman"/>
          <w:bCs/>
          <w:szCs w:val="20"/>
        </w:rPr>
        <w:t>——</w:t>
      </w:r>
      <w:r>
        <w:rPr>
          <w:rFonts w:ascii="Times New Roman" w:hAnsi="Times New Roman"/>
          <w:bCs/>
          <w:szCs w:val="20"/>
        </w:rPr>
        <w:t xml:space="preserve"> </w:t>
      </w:r>
      <w:r>
        <w:rPr>
          <w:rFonts w:hint="eastAsia" w:ascii="Times New Roman" w:hAnsi="Times New Roman"/>
          <w:bCs/>
          <w:szCs w:val="20"/>
        </w:rPr>
        <w:t>第</w:t>
      </w:r>
      <w:r>
        <w:rPr>
          <w:rFonts w:ascii="Times New Roman" w:hAnsi="Times New Roman"/>
          <w:bCs/>
          <w:szCs w:val="20"/>
        </w:rPr>
        <w:t>i</w:t>
      </w:r>
      <w:r>
        <w:rPr>
          <w:rFonts w:hint="eastAsia" w:ascii="Times New Roman" w:hAnsi="Times New Roman"/>
          <w:bCs/>
          <w:szCs w:val="20"/>
        </w:rPr>
        <w:t>个测点的声时读数（</w:t>
      </w:r>
      <w:r>
        <w:rPr>
          <w:rFonts w:ascii="Times New Roman" w:hAnsi="Times New Roman" w:cs="Times New Roman"/>
          <w:bCs/>
          <w:szCs w:val="20"/>
        </w:rPr>
        <w:t>μ</w:t>
      </w:r>
      <w:r>
        <w:rPr>
          <w:rFonts w:ascii="Times New Roman" w:hAnsi="Times New Roman"/>
          <w:bCs/>
          <w:szCs w:val="20"/>
        </w:rPr>
        <w:t>s</w:t>
      </w:r>
      <w:r>
        <w:rPr>
          <w:rFonts w:hint="eastAsia" w:ascii="Times New Roman" w:hAnsi="Times New Roman"/>
          <w:bCs/>
          <w:szCs w:val="20"/>
        </w:rPr>
        <w:t>）；</w:t>
      </w:r>
    </w:p>
    <w:p>
      <w:pPr>
        <w:pStyle w:val="26"/>
        <w:tabs>
          <w:tab w:val="left" w:pos="0"/>
          <w:tab w:val="left" w:pos="712"/>
          <w:tab w:val="left" w:pos="990"/>
          <w:tab w:val="left" w:pos="6020"/>
        </w:tabs>
        <w:spacing w:line="360" w:lineRule="auto"/>
        <w:ind w:firstLine="630" w:firstLineChars="300"/>
        <w:rPr>
          <w:rFonts w:ascii="Times New Roman" w:hAnsi="Times New Roman"/>
          <w:bCs/>
          <w:szCs w:val="20"/>
        </w:rPr>
      </w:pPr>
      <m:oMath>
        <m:sSub>
          <m:sSubPr>
            <m:ctrlPr>
              <w:rPr>
                <w:rFonts w:ascii="Cambria Math" w:hAnsi="Cambria Math" w:cs="Times New Roman"/>
                <w:i/>
                <w:kern w:val="0"/>
                <w:szCs w:val="21"/>
              </w:rPr>
            </m:ctrlPr>
          </m:sSubPr>
          <m:e>
            <m:r>
              <m:rPr/>
              <w:rPr>
                <w:rFonts w:ascii="Cambria Math" w:hAnsi="Cambria Math" w:cs="Times New Roman"/>
                <w:kern w:val="0"/>
                <w:szCs w:val="21"/>
              </w:rPr>
              <m:t>t</m:t>
            </m:r>
            <m:ctrlPr>
              <w:rPr>
                <w:rFonts w:ascii="Cambria Math" w:hAnsi="Cambria Math" w:cs="Times New Roman"/>
                <w:i/>
                <w:kern w:val="0"/>
                <w:szCs w:val="21"/>
              </w:rPr>
            </m:ctrlPr>
          </m:e>
          <m:sub>
            <m:r>
              <m:rPr/>
              <w:rPr>
                <w:rFonts w:ascii="Cambria Math" w:hAnsi="Cambria Math" w:cs="Times New Roman"/>
                <w:kern w:val="0"/>
                <w:szCs w:val="21"/>
              </w:rPr>
              <m:t>0</m:t>
            </m:r>
            <m:ctrlPr>
              <w:rPr>
                <w:rFonts w:ascii="Cambria Math" w:hAnsi="Cambria Math" w:cs="Times New Roman"/>
                <w:i/>
                <w:kern w:val="0"/>
                <w:szCs w:val="21"/>
              </w:rPr>
            </m:ctrlPr>
          </m:sub>
        </m:sSub>
      </m:oMath>
      <w:r>
        <w:rPr>
          <w:rFonts w:hint="eastAsia" w:ascii="Times New Roman" w:hAnsi="Times New Roman"/>
          <w:bCs/>
          <w:szCs w:val="20"/>
        </w:rPr>
        <w:t>——</w:t>
      </w:r>
      <w:r>
        <w:rPr>
          <w:rFonts w:ascii="Times New Roman" w:hAnsi="Times New Roman"/>
          <w:bCs/>
          <w:szCs w:val="20"/>
        </w:rPr>
        <w:t xml:space="preserve"> </w:t>
      </w:r>
      <w:r>
        <w:rPr>
          <w:rFonts w:hint="eastAsia" w:ascii="Times New Roman" w:hAnsi="Times New Roman"/>
          <w:bCs/>
          <w:szCs w:val="20"/>
        </w:rPr>
        <w:t>声时初读数（</w:t>
      </w:r>
      <w:r>
        <w:rPr>
          <w:rFonts w:ascii="Times New Roman" w:hAnsi="Times New Roman" w:cs="Times New Roman"/>
          <w:bCs/>
          <w:szCs w:val="20"/>
        </w:rPr>
        <w:t>μ</w:t>
      </w:r>
      <w:r>
        <w:rPr>
          <w:rFonts w:ascii="Times New Roman" w:hAnsi="Times New Roman"/>
          <w:bCs/>
          <w:szCs w:val="20"/>
        </w:rPr>
        <w:t>s</w:t>
      </w:r>
      <w:r>
        <w:rPr>
          <w:rFonts w:hint="eastAsia" w:ascii="Times New Roman" w:hAnsi="Times New Roman"/>
          <w:bCs/>
          <w:szCs w:val="20"/>
        </w:rPr>
        <w:t>）。</w:t>
      </w:r>
    </w:p>
    <w:p>
      <w:pPr>
        <w:pStyle w:val="26"/>
        <w:tabs>
          <w:tab w:val="left" w:pos="0"/>
          <w:tab w:val="left" w:pos="712"/>
          <w:tab w:val="left" w:pos="990"/>
          <w:tab w:val="left" w:pos="6020"/>
        </w:tabs>
        <w:spacing w:line="360" w:lineRule="auto"/>
        <w:rPr>
          <w:rFonts w:hint="eastAsia" w:ascii="宋体" w:hAnsi="宋体" w:eastAsia="宋体" w:cs="宋体"/>
        </w:rPr>
      </w:pPr>
      <w:r>
        <w:rPr>
          <w:rFonts w:hint="eastAsia" w:ascii="黑体" w:hAnsi="黑体" w:eastAsia="黑体" w:cs="黑体"/>
        </w:rPr>
        <w:t xml:space="preserve">6 </w:t>
      </w:r>
      <w:r>
        <w:rPr>
          <w:rFonts w:ascii="黑体" w:hAnsi="黑体" w:eastAsia="黑体" w:cs="黑体"/>
        </w:rPr>
        <w:t xml:space="preserve"> </w:t>
      </w:r>
      <w:r>
        <w:rPr>
          <w:rFonts w:hint="eastAsia" w:ascii="宋体" w:hAnsi="宋体" w:eastAsia="宋体" w:cs="宋体"/>
        </w:rPr>
        <w:t>当在混凝土浇筑的表面或底面对测时，测区声速代表值应按下式修正：</w:t>
      </w:r>
    </w:p>
    <w:tbl>
      <w:tblPr>
        <w:tblStyle w:val="20"/>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808"/>
        <w:gridCol w:w="4679"/>
        <w:gridCol w:w="202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4" w:hRule="atLeast"/>
        </w:trPr>
        <w:tc>
          <w:tcPr>
            <w:tcW w:w="1062" w:type="pct"/>
            <w:vAlign w:val="center"/>
          </w:tcPr>
          <w:p>
            <w:pPr>
              <w:spacing w:line="360" w:lineRule="auto"/>
              <w:rPr>
                <w:rFonts w:hint="eastAsia" w:ascii="宋体" w:hAnsi="宋体" w:eastAsia="宋体" w:cs="宋体"/>
              </w:rPr>
            </w:pPr>
          </w:p>
        </w:tc>
        <w:tc>
          <w:tcPr>
            <w:tcW w:w="2747" w:type="pct"/>
            <w:vAlign w:val="center"/>
          </w:tcPr>
          <w:p>
            <w:pPr>
              <w:spacing w:line="360" w:lineRule="auto"/>
              <w:rPr>
                <w:rFonts w:hint="eastAsia" w:ascii="宋体" w:hAnsi="宋体" w:eastAsia="宋体" w:cs="宋体"/>
              </w:rPr>
            </w:pPr>
            <m:oMathPara>
              <m:oMath>
                <m:sSub>
                  <m:sSubPr>
                    <m:ctrlPr>
                      <w:rPr>
                        <w:rFonts w:ascii="Cambria Math" w:hAnsi="Cambria Math" w:cs="Times New Roman"/>
                        <w:i/>
                        <w:kern w:val="0"/>
                        <w:szCs w:val="21"/>
                      </w:rPr>
                    </m:ctrlPr>
                  </m:sSubPr>
                  <m:e>
                    <m:r>
                      <m:rPr/>
                      <w:rPr>
                        <w:rFonts w:ascii="Cambria Math" w:hAnsi="Cambria Math" w:cs="Times New Roman"/>
                        <w:kern w:val="0"/>
                        <w:szCs w:val="21"/>
                      </w:rPr>
                      <m:t>v</m:t>
                    </m:r>
                    <m:ctrlPr>
                      <w:rPr>
                        <w:rFonts w:ascii="Cambria Math" w:hAnsi="Cambria Math" w:cs="Times New Roman"/>
                        <w:i/>
                        <w:kern w:val="0"/>
                        <w:szCs w:val="21"/>
                      </w:rPr>
                    </m:ctrlPr>
                  </m:e>
                  <m:sub>
                    <m:r>
                      <m:rPr/>
                      <w:rPr>
                        <w:rFonts w:ascii="Cambria Math" w:hAnsi="Cambria Math" w:cs="Times New Roman"/>
                        <w:kern w:val="0"/>
                        <w:szCs w:val="21"/>
                      </w:rPr>
                      <m:t>a</m:t>
                    </m:r>
                    <m:ctrlPr>
                      <w:rPr>
                        <w:rFonts w:ascii="Cambria Math" w:hAnsi="Cambria Math" w:cs="Times New Roman"/>
                        <w:i/>
                        <w:kern w:val="0"/>
                        <w:szCs w:val="21"/>
                      </w:rPr>
                    </m:ctrlPr>
                  </m:sub>
                </m:sSub>
                <m:r>
                  <m:rPr/>
                  <w:rPr>
                    <w:rFonts w:ascii="Cambria Math" w:hAnsi="Cambria Math" w:cs="Times New Roman"/>
                    <w:kern w:val="0"/>
                    <w:szCs w:val="21"/>
                  </w:rPr>
                  <m:t>=</m:t>
                </m:r>
                <m:r>
                  <m:rPr/>
                  <w:rPr>
                    <w:rFonts w:hint="eastAsia" w:ascii="Cambria Math" w:hAnsi="Cambria Math" w:cs="Times New Roman"/>
                    <w:kern w:val="0"/>
                    <w:szCs w:val="21"/>
                  </w:rPr>
                  <m:t>β</m:t>
                </m:r>
                <m:sSub>
                  <m:sSubPr>
                    <m:ctrlPr>
                      <w:rPr>
                        <w:rFonts w:ascii="Cambria Math" w:hAnsi="Cambria Math" w:cs="Times New Roman"/>
                        <w:i/>
                        <w:kern w:val="0"/>
                        <w:szCs w:val="21"/>
                      </w:rPr>
                    </m:ctrlPr>
                  </m:sSubPr>
                  <m:e>
                    <m:r>
                      <m:rPr/>
                      <w:rPr>
                        <w:rFonts w:ascii="Cambria Math" w:hAnsi="Cambria Math" w:cs="Times New Roman"/>
                        <w:kern w:val="0"/>
                        <w:szCs w:val="21"/>
                      </w:rPr>
                      <m:t>v</m:t>
                    </m:r>
                    <m:ctrlPr>
                      <w:rPr>
                        <w:rFonts w:ascii="Cambria Math" w:hAnsi="Cambria Math" w:cs="Times New Roman"/>
                        <w:i/>
                        <w:kern w:val="0"/>
                        <w:szCs w:val="21"/>
                      </w:rPr>
                    </m:ctrlPr>
                  </m:e>
                  <m:sub>
                    <m:r>
                      <m:rPr/>
                      <w:rPr>
                        <w:rFonts w:hint="eastAsia" w:ascii="Cambria Math" w:hAnsi="Cambria Math" w:cs="Times New Roman"/>
                        <w:kern w:val="0"/>
                        <w:szCs w:val="21"/>
                      </w:rPr>
                      <m:t>d</m:t>
                    </m:r>
                    <m:ctrlPr>
                      <w:rPr>
                        <w:rFonts w:ascii="Cambria Math" w:hAnsi="Cambria Math" w:cs="Times New Roman"/>
                        <w:i/>
                        <w:kern w:val="0"/>
                        <w:szCs w:val="21"/>
                      </w:rPr>
                    </m:ctrlPr>
                  </m:sub>
                </m:sSub>
              </m:oMath>
            </m:oMathPara>
          </w:p>
        </w:tc>
        <w:tc>
          <w:tcPr>
            <w:tcW w:w="1191" w:type="pct"/>
            <w:vAlign w:val="center"/>
          </w:tcPr>
          <w:p>
            <w:pPr>
              <w:spacing w:line="360" w:lineRule="auto"/>
              <w:rPr>
                <w:rFonts w:hint="eastAsia" w:ascii="宋体" w:hAnsi="宋体" w:eastAsia="宋体" w:cs="宋体"/>
              </w:rPr>
            </w:pPr>
            <w:r>
              <w:rPr>
                <w:rFonts w:hint="eastAsia" w:ascii="Times New Roman" w:hAnsi="Times New Roman"/>
                <w:bCs/>
                <w:szCs w:val="20"/>
              </w:rPr>
              <w:t>（</w:t>
            </w:r>
            <w:r>
              <w:rPr>
                <w:rFonts w:ascii="黑体" w:hAnsi="黑体" w:eastAsia="黑体" w:cs="黑体"/>
              </w:rPr>
              <w:t>C</w:t>
            </w:r>
            <w:r>
              <w:rPr>
                <w:rFonts w:hint="eastAsia" w:ascii="黑体" w:hAnsi="黑体" w:eastAsia="黑体" w:cs="黑体"/>
              </w:rPr>
              <w:t>.0.</w:t>
            </w:r>
            <w:r>
              <w:rPr>
                <w:rFonts w:ascii="黑体" w:hAnsi="黑体" w:eastAsia="黑体" w:cs="黑体"/>
              </w:rPr>
              <w:t>3-7</w:t>
            </w:r>
            <w:r>
              <w:rPr>
                <w:rFonts w:hint="eastAsia" w:ascii="Times New Roman" w:hAnsi="Times New Roman"/>
                <w:bCs/>
                <w:szCs w:val="20"/>
              </w:rPr>
              <w:t>）</w:t>
            </w:r>
          </w:p>
        </w:tc>
      </w:tr>
    </w:tbl>
    <w:p>
      <w:pPr>
        <w:tabs>
          <w:tab w:val="left" w:pos="6020"/>
        </w:tabs>
        <w:spacing w:line="360" w:lineRule="auto"/>
        <w:rPr>
          <w:rFonts w:ascii="Times New Roman" w:hAnsi="Times New Roman"/>
          <w:bCs/>
          <w:szCs w:val="20"/>
        </w:rPr>
      </w:pPr>
      <w:r>
        <w:rPr>
          <w:rFonts w:hint="eastAsia" w:ascii="Times New Roman" w:hAnsi="Times New Roman"/>
          <w:bCs/>
          <w:szCs w:val="20"/>
        </w:rPr>
        <w:t>式中：</w:t>
      </w:r>
      <m:oMath>
        <m:sSub>
          <m:sSubPr>
            <m:ctrlPr>
              <w:rPr>
                <w:rFonts w:ascii="Cambria Math" w:hAnsi="Cambria Math" w:cs="Times New Roman"/>
                <w:i/>
                <w:kern w:val="0"/>
                <w:szCs w:val="21"/>
              </w:rPr>
            </m:ctrlPr>
          </m:sSubPr>
          <m:e>
            <m:r>
              <m:rPr/>
              <w:rPr>
                <w:rFonts w:ascii="Cambria Math" w:hAnsi="Cambria Math" w:cs="Times New Roman"/>
                <w:kern w:val="0"/>
                <w:szCs w:val="21"/>
              </w:rPr>
              <m:t>v</m:t>
            </m:r>
            <m:ctrlPr>
              <w:rPr>
                <w:rFonts w:ascii="Cambria Math" w:hAnsi="Cambria Math" w:cs="Times New Roman"/>
                <w:i/>
                <w:kern w:val="0"/>
                <w:szCs w:val="21"/>
              </w:rPr>
            </m:ctrlPr>
          </m:e>
          <m:sub>
            <m:r>
              <m:rPr/>
              <w:rPr>
                <w:rFonts w:ascii="Cambria Math" w:hAnsi="Cambria Math" w:cs="Times New Roman"/>
                <w:kern w:val="0"/>
                <w:szCs w:val="21"/>
              </w:rPr>
              <m:t>a</m:t>
            </m:r>
            <m:ctrlPr>
              <w:rPr>
                <w:rFonts w:ascii="Cambria Math" w:hAnsi="Cambria Math" w:cs="Times New Roman"/>
                <w:i/>
                <w:kern w:val="0"/>
                <w:szCs w:val="21"/>
              </w:rPr>
            </m:ctrlPr>
          </m:sub>
        </m:sSub>
      </m:oMath>
      <w:r>
        <w:rPr>
          <w:rFonts w:hint="eastAsia" w:ascii="Times New Roman" w:hAnsi="Times New Roman"/>
          <w:bCs/>
          <w:szCs w:val="20"/>
        </w:rPr>
        <w:t>——</w:t>
      </w:r>
      <w:r>
        <w:rPr>
          <w:rFonts w:ascii="Times New Roman" w:hAnsi="Times New Roman"/>
          <w:bCs/>
          <w:szCs w:val="20"/>
        </w:rPr>
        <w:t xml:space="preserve"> </w:t>
      </w:r>
      <w:r>
        <w:rPr>
          <w:rFonts w:hint="eastAsia" w:ascii="Times New Roman" w:hAnsi="Times New Roman"/>
          <w:bCs/>
          <w:szCs w:val="20"/>
        </w:rPr>
        <w:t>修正后的测区混凝土中声速代表值（km/s）；</w:t>
      </w:r>
    </w:p>
    <w:p>
      <w:pPr>
        <w:pStyle w:val="26"/>
        <w:tabs>
          <w:tab w:val="left" w:pos="0"/>
          <w:tab w:val="left" w:pos="712"/>
          <w:tab w:val="left" w:pos="990"/>
          <w:tab w:val="left" w:pos="6020"/>
        </w:tabs>
        <w:spacing w:line="360" w:lineRule="auto"/>
        <w:ind w:firstLine="630" w:firstLineChars="300"/>
        <w:rPr>
          <w:rFonts w:ascii="Times New Roman" w:hAnsi="Times New Roman"/>
          <w:bCs/>
          <w:szCs w:val="20"/>
        </w:rPr>
      </w:pPr>
      <m:oMath>
        <m:r>
          <m:rPr/>
          <w:rPr>
            <w:rFonts w:hint="eastAsia" w:ascii="Cambria Math" w:hAnsi="Cambria Math" w:cs="Times New Roman"/>
            <w:kern w:val="0"/>
            <w:szCs w:val="21"/>
          </w:rPr>
          <m:t>β</m:t>
        </m:r>
      </m:oMath>
      <w:r>
        <w:rPr>
          <w:rFonts w:hint="eastAsia" w:ascii="Times New Roman" w:hAnsi="Times New Roman"/>
          <w:bCs/>
          <w:szCs w:val="20"/>
        </w:rPr>
        <w:t>——</w:t>
      </w:r>
      <w:r>
        <w:rPr>
          <w:rFonts w:ascii="Times New Roman" w:hAnsi="Times New Roman"/>
          <w:bCs/>
          <w:szCs w:val="20"/>
        </w:rPr>
        <w:t xml:space="preserve"> </w:t>
      </w:r>
      <w:r>
        <w:rPr>
          <w:rFonts w:hint="eastAsia" w:ascii="Times New Roman" w:hAnsi="Times New Roman"/>
          <w:bCs/>
          <w:szCs w:val="20"/>
        </w:rPr>
        <w:t>超声测试面的声速修正系数，取1.034。</w:t>
      </w:r>
    </w:p>
    <w:p>
      <w:pPr>
        <w:spacing w:line="360" w:lineRule="auto"/>
      </w:pPr>
      <w:r>
        <w:rPr>
          <w:rFonts w:ascii="黑体" w:hAnsi="黑体" w:eastAsia="黑体" w:cs="黑体"/>
        </w:rPr>
        <w:t>C</w:t>
      </w:r>
      <w:r>
        <w:rPr>
          <w:rFonts w:hint="eastAsia" w:ascii="黑体" w:hAnsi="黑体" w:eastAsia="黑体" w:cs="黑体"/>
        </w:rPr>
        <w:t>.0.</w:t>
      </w:r>
      <w:r>
        <w:rPr>
          <w:rFonts w:ascii="黑体" w:hAnsi="黑体" w:eastAsia="黑体" w:cs="黑体"/>
        </w:rPr>
        <w:t>4</w:t>
      </w:r>
      <w:r>
        <w:rPr>
          <w:rFonts w:hint="eastAsia" w:ascii="黑体" w:hAnsi="黑体" w:eastAsia="黑体" w:cs="黑体"/>
        </w:rPr>
        <w:t xml:space="preserve">  </w:t>
      </w:r>
      <w:r>
        <w:rPr>
          <w:rFonts w:hint="eastAsia"/>
        </w:rPr>
        <w:t>混凝土抗压强度换算值可采用专用测强曲线、地区测强曲线或全国测强曲线计算。</w:t>
      </w:r>
    </w:p>
    <w:p>
      <w:pPr>
        <w:spacing w:line="360" w:lineRule="auto"/>
      </w:pPr>
      <w:r>
        <w:rPr>
          <w:rFonts w:ascii="黑体" w:hAnsi="黑体" w:eastAsia="黑体" w:cs="黑体"/>
        </w:rPr>
        <w:t>C</w:t>
      </w:r>
      <w:r>
        <w:rPr>
          <w:rFonts w:hint="eastAsia" w:ascii="黑体" w:hAnsi="黑体" w:eastAsia="黑体" w:cs="黑体"/>
        </w:rPr>
        <w:t>.0.</w:t>
      </w:r>
      <w:r>
        <w:rPr>
          <w:rFonts w:ascii="黑体" w:hAnsi="黑体" w:eastAsia="黑体" w:cs="黑体"/>
        </w:rPr>
        <w:t>5</w:t>
      </w:r>
      <w:r>
        <w:rPr>
          <w:rFonts w:hint="eastAsia" w:ascii="黑体" w:hAnsi="黑体" w:eastAsia="黑体" w:cs="黑体"/>
        </w:rPr>
        <w:t xml:space="preserve">  </w:t>
      </w:r>
      <w:r>
        <w:rPr>
          <w:rFonts w:hint="eastAsia"/>
        </w:rPr>
        <w:t>使用超声回弹综合法检测混凝土抗压强度的地区和部门，宜制定专用测强曲线或地区测强曲线，经审定和批准后实施。各检测单位应按专用测强曲线、地区测强曲线、全国测强曲线的次序选用测强曲线。</w:t>
      </w:r>
    </w:p>
    <w:p>
      <w:pPr>
        <w:spacing w:line="360" w:lineRule="auto"/>
      </w:pPr>
      <w:r>
        <w:rPr>
          <w:rFonts w:ascii="黑体" w:hAnsi="黑体" w:eastAsia="黑体" w:cs="黑体"/>
        </w:rPr>
        <w:t>C</w:t>
      </w:r>
      <w:r>
        <w:rPr>
          <w:rFonts w:hint="eastAsia" w:ascii="黑体" w:hAnsi="黑体" w:eastAsia="黑体" w:cs="黑体"/>
        </w:rPr>
        <w:t>.0.</w:t>
      </w:r>
      <w:r>
        <w:rPr>
          <w:rFonts w:ascii="黑体" w:hAnsi="黑体" w:eastAsia="黑体" w:cs="黑体"/>
        </w:rPr>
        <w:t>6</w:t>
      </w:r>
      <w:r>
        <w:rPr>
          <w:rFonts w:hint="eastAsia" w:ascii="黑体" w:hAnsi="黑体" w:eastAsia="黑体" w:cs="黑体"/>
        </w:rPr>
        <w:t xml:space="preserve">  </w:t>
      </w:r>
      <w:r>
        <w:rPr>
          <w:rFonts w:hint="eastAsia" w:cs="黑体" w:asciiTheme="minorEastAsia" w:hAnsiTheme="minorEastAsia"/>
        </w:rPr>
        <w:t>全</w:t>
      </w:r>
      <w:r>
        <w:rPr>
          <w:rFonts w:hint="eastAsia"/>
        </w:rPr>
        <w:t>国测强曲线的计算应符合下列要求：</w:t>
      </w:r>
    </w:p>
    <w:p>
      <w:pPr>
        <w:pStyle w:val="26"/>
        <w:tabs>
          <w:tab w:val="left" w:pos="0"/>
          <w:tab w:val="left" w:pos="712"/>
          <w:tab w:val="left" w:pos="990"/>
          <w:tab w:val="left" w:pos="6020"/>
        </w:tabs>
        <w:spacing w:line="360" w:lineRule="auto"/>
        <w:rPr>
          <w:rFonts w:hint="eastAsia" w:ascii="宋体" w:hAnsi="宋体" w:eastAsia="宋体" w:cs="宋体"/>
        </w:rPr>
      </w:pPr>
      <w:r>
        <w:rPr>
          <w:rFonts w:hint="eastAsia" w:ascii="黑体" w:hAnsi="黑体" w:eastAsia="黑体" w:cs="黑体"/>
        </w:rPr>
        <w:t>1</w:t>
      </w:r>
      <w:r>
        <w:rPr>
          <w:rFonts w:ascii="黑体" w:hAnsi="黑体" w:eastAsia="黑体" w:cs="黑体"/>
        </w:rPr>
        <w:t xml:space="preserve"> </w:t>
      </w:r>
      <w:r>
        <w:rPr>
          <w:rFonts w:hint="eastAsia" w:ascii="黑体" w:hAnsi="黑体" w:eastAsia="黑体" w:cs="黑体"/>
        </w:rPr>
        <w:t xml:space="preserve"> </w:t>
      </w:r>
      <w:r>
        <w:rPr>
          <w:rFonts w:hint="eastAsia" w:ascii="宋体" w:hAnsi="宋体" w:eastAsia="宋体" w:cs="宋体"/>
        </w:rPr>
        <w:t>全国统一测区混凝土抗压强度换算可按下式计算：</w:t>
      </w:r>
    </w:p>
    <w:p>
      <w:pPr>
        <w:autoSpaceDE w:val="0"/>
        <w:autoSpaceDN w:val="0"/>
        <w:spacing w:line="360" w:lineRule="auto"/>
        <w:jc w:val="right"/>
        <w:rPr>
          <w:rFonts w:ascii="Times New Roman" w:hAnsi="Times New Roman" w:eastAsia="宋体" w:cs="Times New Roman"/>
          <w:szCs w:val="21"/>
        </w:rPr>
      </w:pPr>
      <w:r>
        <w:rPr>
          <w:rFonts w:ascii="Times New Roman" w:hAnsi="Times New Roman" w:cs="Times New Roman"/>
          <w:kern w:val="0"/>
          <w:szCs w:val="21"/>
        </w:rPr>
        <w:t xml:space="preserve">  </w:t>
      </w:r>
      <m:oMath>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cu,i</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r>
          <m:rPr/>
          <w:rPr>
            <w:rFonts w:ascii="Cambria Math" w:hAnsi="Cambria Math" w:cs="Times New Roman"/>
            <w:kern w:val="0"/>
            <w:szCs w:val="21"/>
          </w:rPr>
          <m:t>=0.0286</m:t>
        </m:r>
        <m:sSubSup>
          <m:sSubSupPr>
            <m:ctrlPr>
              <w:rPr>
                <w:rFonts w:ascii="Cambria Math" w:hAnsi="Cambria Math" w:cs="Times New Roman"/>
                <w:i/>
                <w:kern w:val="0"/>
                <w:szCs w:val="21"/>
              </w:rPr>
            </m:ctrlPr>
          </m:sSubSupPr>
          <m:e>
            <m:r>
              <m:rPr/>
              <w:rPr>
                <w:rFonts w:ascii="Cambria Math" w:hAnsi="Cambria Math" w:cs="Times New Roman"/>
                <w:kern w:val="0"/>
                <w:szCs w:val="21"/>
              </w:rPr>
              <m:t>v</m:t>
            </m:r>
            <m:ctrlPr>
              <w:rPr>
                <w:rFonts w:ascii="Cambria Math" w:hAnsi="Cambria Math" w:cs="Times New Roman"/>
                <w:i/>
                <w:kern w:val="0"/>
                <w:szCs w:val="21"/>
              </w:rPr>
            </m:ctrlPr>
          </m:e>
          <m:sub>
            <m:r>
              <m:rPr/>
              <w:rPr>
                <w:rFonts w:ascii="Cambria Math" w:hAnsi="Cambria Math" w:cs="Times New Roman"/>
                <w:kern w:val="0"/>
                <w:szCs w:val="21"/>
              </w:rPr>
              <m:t>ai</m:t>
            </m:r>
            <m:ctrlPr>
              <w:rPr>
                <w:rFonts w:ascii="Cambria Math" w:hAnsi="Cambria Math" w:cs="Times New Roman"/>
                <w:i/>
                <w:kern w:val="0"/>
                <w:szCs w:val="21"/>
              </w:rPr>
            </m:ctrlPr>
          </m:sub>
          <m:sup>
            <m:r>
              <m:rPr/>
              <w:rPr>
                <w:rFonts w:ascii="Cambria Math" w:hAnsi="Cambria Math" w:cs="Times New Roman"/>
                <w:kern w:val="0"/>
                <w:szCs w:val="21"/>
              </w:rPr>
              <m:t>1.999</m:t>
            </m:r>
            <m:ctrlPr>
              <w:rPr>
                <w:rFonts w:ascii="Cambria Math" w:hAnsi="Cambria Math" w:cs="Times New Roman"/>
                <w:i/>
                <w:kern w:val="0"/>
                <w:szCs w:val="21"/>
              </w:rPr>
            </m:ctrlPr>
          </m:sup>
        </m:sSubSup>
        <m:sSubSup>
          <m:sSubSupPr>
            <m:ctrlPr>
              <w:rPr>
                <w:rFonts w:ascii="Cambria Math" w:hAnsi="Cambria Math" w:cs="Times New Roman"/>
                <w:i/>
                <w:kern w:val="0"/>
                <w:szCs w:val="21"/>
              </w:rPr>
            </m:ctrlPr>
          </m:sSubSupPr>
          <m:e>
            <m:r>
              <m:rPr/>
              <w:rPr>
                <w:rFonts w:ascii="Cambria Math" w:hAnsi="Cambria Math" w:cs="Times New Roman"/>
                <w:kern w:val="0"/>
                <w:szCs w:val="21"/>
              </w:rPr>
              <m:t>R</m:t>
            </m:r>
            <m:ctrlPr>
              <w:rPr>
                <w:rFonts w:ascii="Cambria Math" w:hAnsi="Cambria Math" w:cs="Times New Roman"/>
                <w:i/>
                <w:kern w:val="0"/>
                <w:szCs w:val="21"/>
              </w:rPr>
            </m:ctrlPr>
          </m:e>
          <m:sub>
            <m:r>
              <m:rPr/>
              <w:rPr>
                <w:rFonts w:ascii="Cambria Math" w:hAnsi="Cambria Math" w:cs="Times New Roman"/>
                <w:kern w:val="0"/>
                <w:szCs w:val="21"/>
              </w:rPr>
              <m:t>ai</m:t>
            </m:r>
            <m:ctrlPr>
              <w:rPr>
                <w:rFonts w:ascii="Cambria Math" w:hAnsi="Cambria Math" w:cs="Times New Roman"/>
                <w:i/>
                <w:kern w:val="0"/>
                <w:szCs w:val="21"/>
              </w:rPr>
            </m:ctrlPr>
          </m:sub>
          <m:sup>
            <m:r>
              <m:rPr/>
              <w:rPr>
                <w:rFonts w:ascii="Cambria Math" w:hAnsi="Cambria Math" w:cs="Times New Roman"/>
                <w:kern w:val="0"/>
                <w:szCs w:val="21"/>
              </w:rPr>
              <m:t>1.155</m:t>
            </m:r>
            <m:ctrlPr>
              <w:rPr>
                <w:rFonts w:ascii="Cambria Math" w:hAnsi="Cambria Math" w:cs="Times New Roman"/>
                <w:i/>
                <w:kern w:val="0"/>
                <w:szCs w:val="21"/>
              </w:rPr>
            </m:ctrlPr>
          </m:sup>
        </m:sSubSup>
      </m:oMath>
      <w:r>
        <w:rPr>
          <w:rFonts w:ascii="Times New Roman" w:hAnsi="Times New Roman" w:cs="Times New Roman"/>
          <w:kern w:val="0"/>
          <w:szCs w:val="21"/>
        </w:rPr>
        <w:t xml:space="preserve">                  </w:t>
      </w:r>
      <w:r>
        <w:rPr>
          <w:rFonts w:ascii="Times New Roman" w:hAnsi="Times New Roman" w:eastAsia="CIDFont+F3" w:cs="Times New Roman"/>
          <w:kern w:val="0"/>
          <w:szCs w:val="21"/>
        </w:rPr>
        <w:t>（</w:t>
      </w:r>
      <w:r>
        <w:rPr>
          <w:rFonts w:ascii="黑体" w:hAnsi="黑体" w:eastAsia="黑体" w:cs="黑体"/>
        </w:rPr>
        <w:t>C</w:t>
      </w:r>
      <w:r>
        <w:rPr>
          <w:rFonts w:hint="eastAsia" w:ascii="黑体" w:hAnsi="黑体" w:eastAsia="黑体" w:cs="黑体"/>
        </w:rPr>
        <w:t>.0.</w:t>
      </w:r>
      <w:r>
        <w:rPr>
          <w:rFonts w:ascii="黑体" w:hAnsi="黑体" w:eastAsia="黑体" w:cs="黑体"/>
        </w:rPr>
        <w:t>6-1</w:t>
      </w:r>
      <w:r>
        <w:rPr>
          <w:rFonts w:ascii="Times New Roman" w:hAnsi="Times New Roman" w:eastAsia="CIDFont+F3" w:cs="Times New Roman"/>
          <w:kern w:val="0"/>
          <w:szCs w:val="21"/>
        </w:rPr>
        <w:t>）</w:t>
      </w:r>
    </w:p>
    <w:p>
      <w:pPr>
        <w:tabs>
          <w:tab w:val="left" w:pos="6020"/>
        </w:tabs>
        <w:spacing w:line="360" w:lineRule="auto"/>
        <w:rPr>
          <w:rFonts w:ascii="Times New Roman" w:hAnsi="Times New Roman"/>
          <w:bCs/>
          <w:szCs w:val="20"/>
        </w:rPr>
      </w:pPr>
      <w:r>
        <w:rPr>
          <w:rFonts w:hint="eastAsia" w:ascii="Times New Roman" w:hAnsi="Times New Roman"/>
          <w:bCs/>
          <w:szCs w:val="20"/>
        </w:rPr>
        <w:t>式中：</w:t>
      </w:r>
      <m:oMath>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cu,i</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oMath>
      <w:r>
        <w:rPr>
          <w:rFonts w:hint="eastAsia" w:ascii="Times New Roman" w:hAnsi="Times New Roman"/>
          <w:bCs/>
          <w:szCs w:val="20"/>
        </w:rPr>
        <w:t>——</w:t>
      </w:r>
      <w:r>
        <w:rPr>
          <w:rFonts w:ascii="Times New Roman" w:hAnsi="Times New Roman"/>
          <w:bCs/>
          <w:szCs w:val="20"/>
        </w:rPr>
        <w:t xml:space="preserve"> </w:t>
      </w:r>
      <w:r>
        <w:rPr>
          <w:rFonts w:hint="eastAsia" w:ascii="Times New Roman" w:hAnsi="Times New Roman"/>
          <w:bCs/>
          <w:szCs w:val="20"/>
        </w:rPr>
        <w:t>第</w:t>
      </w:r>
      <w:r>
        <w:rPr>
          <w:rFonts w:ascii="Times New Roman" w:hAnsi="Times New Roman" w:eastAsia="宋体" w:cs="Times New Roman"/>
          <w:i/>
        </w:rPr>
        <w:t>i</w:t>
      </w:r>
      <w:r>
        <w:rPr>
          <w:rFonts w:hint="eastAsia" w:ascii="Times New Roman" w:hAnsi="Times New Roman"/>
          <w:bCs/>
          <w:szCs w:val="20"/>
        </w:rPr>
        <w:t>个测区的混凝土抗压强度换算值（</w:t>
      </w:r>
      <w:r>
        <w:rPr>
          <w:rFonts w:ascii="Times New Roman" w:hAnsi="Times New Roman"/>
          <w:bCs/>
          <w:szCs w:val="20"/>
        </w:rPr>
        <w:t>MPa</w:t>
      </w:r>
      <w:r>
        <w:rPr>
          <w:rFonts w:hint="eastAsia" w:ascii="Times New Roman" w:hAnsi="Times New Roman"/>
          <w:bCs/>
          <w:szCs w:val="20"/>
        </w:rPr>
        <w:t>），精确至</w:t>
      </w:r>
      <w:r>
        <w:rPr>
          <w:rFonts w:ascii="Times New Roman" w:hAnsi="Times New Roman"/>
          <w:bCs/>
          <w:szCs w:val="20"/>
        </w:rPr>
        <w:t>0.1MPa</w:t>
      </w:r>
      <w:r>
        <w:rPr>
          <w:rFonts w:hint="eastAsia" w:ascii="Times New Roman" w:hAnsi="Times New Roman"/>
          <w:bCs/>
          <w:szCs w:val="20"/>
        </w:rPr>
        <w:t>；</w:t>
      </w:r>
    </w:p>
    <w:p>
      <w:pPr>
        <w:pStyle w:val="26"/>
        <w:tabs>
          <w:tab w:val="left" w:pos="0"/>
          <w:tab w:val="left" w:pos="712"/>
          <w:tab w:val="left" w:pos="990"/>
          <w:tab w:val="left" w:pos="6020"/>
        </w:tabs>
        <w:spacing w:line="360" w:lineRule="auto"/>
        <w:ind w:firstLine="630" w:firstLineChars="300"/>
        <w:rPr>
          <w:rFonts w:ascii="Times New Roman" w:hAnsi="Times New Roman"/>
          <w:bCs/>
          <w:szCs w:val="20"/>
        </w:rPr>
      </w:pPr>
      <m:oMath>
        <m:sSub>
          <m:sSubPr>
            <m:ctrlPr>
              <w:rPr>
                <w:rFonts w:ascii="Cambria Math" w:hAnsi="Cambria Math" w:cs="Times New Roman"/>
                <w:i/>
                <w:kern w:val="0"/>
                <w:szCs w:val="21"/>
              </w:rPr>
            </m:ctrlPr>
          </m:sSubPr>
          <m:e>
            <m:r>
              <m:rPr/>
              <w:rPr>
                <w:rFonts w:ascii="Cambria Math" w:hAnsi="Cambria Math" w:cs="Times New Roman"/>
                <w:kern w:val="0"/>
                <w:szCs w:val="21"/>
              </w:rPr>
              <m:t>R</m:t>
            </m:r>
            <m:ctrlPr>
              <w:rPr>
                <w:rFonts w:ascii="Cambria Math" w:hAnsi="Cambria Math" w:cs="Times New Roman"/>
                <w:i/>
                <w:kern w:val="0"/>
                <w:szCs w:val="21"/>
              </w:rPr>
            </m:ctrlPr>
          </m:e>
          <m:sub>
            <m:r>
              <m:rPr/>
              <w:rPr>
                <w:rFonts w:hint="eastAsia" w:ascii="Cambria Math" w:hAnsi="Cambria Math" w:cs="Times New Roman"/>
                <w:kern w:val="0"/>
                <w:szCs w:val="21"/>
              </w:rPr>
              <m:t>ai</m:t>
            </m:r>
            <m:ctrlPr>
              <w:rPr>
                <w:rFonts w:ascii="Cambria Math" w:hAnsi="Cambria Math" w:cs="Times New Roman"/>
                <w:i/>
                <w:kern w:val="0"/>
                <w:szCs w:val="21"/>
              </w:rPr>
            </m:ctrlPr>
          </m:sub>
        </m:sSub>
      </m:oMath>
      <w:r>
        <w:rPr>
          <w:rFonts w:hint="eastAsia" w:ascii="Times New Roman" w:hAnsi="Times New Roman"/>
          <w:bCs/>
          <w:szCs w:val="20"/>
        </w:rPr>
        <w:t>——</w:t>
      </w:r>
      <w:r>
        <w:rPr>
          <w:rFonts w:ascii="Times New Roman" w:hAnsi="Times New Roman"/>
          <w:bCs/>
          <w:szCs w:val="20"/>
        </w:rPr>
        <w:t xml:space="preserve"> </w:t>
      </w:r>
      <w:r>
        <w:rPr>
          <w:rFonts w:hint="eastAsia" w:ascii="Times New Roman" w:hAnsi="Times New Roman"/>
          <w:bCs/>
          <w:szCs w:val="20"/>
        </w:rPr>
        <w:t>第</w:t>
      </w:r>
      <w:r>
        <w:rPr>
          <w:rFonts w:ascii="Times New Roman" w:hAnsi="Times New Roman" w:eastAsia="宋体" w:cs="Times New Roman"/>
          <w:i/>
        </w:rPr>
        <w:t>i</w:t>
      </w:r>
      <w:r>
        <w:rPr>
          <w:rFonts w:hint="eastAsia" w:ascii="Times New Roman" w:hAnsi="Times New Roman"/>
          <w:bCs/>
          <w:szCs w:val="20"/>
        </w:rPr>
        <w:t>个测区修正后的测区回弹代表值；</w:t>
      </w:r>
    </w:p>
    <w:p>
      <w:pPr>
        <w:pStyle w:val="26"/>
        <w:tabs>
          <w:tab w:val="left" w:pos="0"/>
          <w:tab w:val="left" w:pos="712"/>
          <w:tab w:val="left" w:pos="990"/>
          <w:tab w:val="left" w:pos="6020"/>
        </w:tabs>
        <w:spacing w:line="360" w:lineRule="auto"/>
        <w:ind w:firstLine="630" w:firstLineChars="300"/>
        <w:rPr>
          <w:rFonts w:ascii="Times New Roman" w:hAnsi="Times New Roman"/>
          <w:bCs/>
          <w:szCs w:val="20"/>
        </w:rPr>
      </w:pPr>
      <m:oMath>
        <m:sSub>
          <m:sSubPr>
            <m:ctrlPr>
              <w:rPr>
                <w:rFonts w:ascii="Cambria Math" w:hAnsi="Cambria Math" w:cs="Times New Roman"/>
                <w:i/>
                <w:kern w:val="0"/>
                <w:szCs w:val="21"/>
              </w:rPr>
            </m:ctrlPr>
          </m:sSubPr>
          <m:e>
            <m:r>
              <m:rPr/>
              <w:rPr>
                <w:rFonts w:hint="eastAsia" w:ascii="Cambria Math" w:hAnsi="Cambria Math" w:cs="Times New Roman"/>
                <w:kern w:val="0"/>
                <w:szCs w:val="21"/>
              </w:rPr>
              <m:t>v</m:t>
            </m:r>
            <m:ctrlPr>
              <w:rPr>
                <w:rFonts w:ascii="Cambria Math" w:hAnsi="Cambria Math" w:cs="Times New Roman"/>
                <w:i/>
                <w:kern w:val="0"/>
                <w:szCs w:val="21"/>
              </w:rPr>
            </m:ctrlPr>
          </m:e>
          <m:sub>
            <m:r>
              <m:rPr/>
              <w:rPr>
                <w:rFonts w:hint="eastAsia" w:ascii="Cambria Math" w:hAnsi="Cambria Math" w:cs="Times New Roman"/>
                <w:kern w:val="0"/>
                <w:szCs w:val="21"/>
              </w:rPr>
              <m:t>ai</m:t>
            </m:r>
            <m:ctrlPr>
              <w:rPr>
                <w:rFonts w:ascii="Cambria Math" w:hAnsi="Cambria Math" w:cs="Times New Roman"/>
                <w:i/>
                <w:kern w:val="0"/>
                <w:szCs w:val="21"/>
              </w:rPr>
            </m:ctrlPr>
          </m:sub>
        </m:sSub>
      </m:oMath>
      <w:r>
        <w:rPr>
          <w:rFonts w:hint="eastAsia" w:ascii="Times New Roman" w:hAnsi="Times New Roman"/>
          <w:bCs/>
          <w:szCs w:val="20"/>
        </w:rPr>
        <w:t>——</w:t>
      </w:r>
      <w:r>
        <w:rPr>
          <w:rFonts w:ascii="Times New Roman" w:hAnsi="Times New Roman"/>
          <w:bCs/>
          <w:szCs w:val="20"/>
        </w:rPr>
        <w:t xml:space="preserve"> </w:t>
      </w:r>
      <w:r>
        <w:rPr>
          <w:rFonts w:hint="eastAsia" w:ascii="Times New Roman" w:hAnsi="Times New Roman"/>
          <w:bCs/>
          <w:szCs w:val="20"/>
        </w:rPr>
        <w:t>第</w:t>
      </w:r>
      <w:r>
        <w:rPr>
          <w:rFonts w:ascii="Times New Roman" w:hAnsi="Times New Roman" w:eastAsia="宋体" w:cs="Times New Roman"/>
          <w:i/>
        </w:rPr>
        <w:t>i</w:t>
      </w:r>
      <w:r>
        <w:rPr>
          <w:rFonts w:hint="eastAsia" w:ascii="Times New Roman" w:hAnsi="Times New Roman"/>
          <w:bCs/>
          <w:szCs w:val="20"/>
        </w:rPr>
        <w:t>个测区修正后的测区声速代表值。</w:t>
      </w:r>
    </w:p>
    <w:p>
      <w:pPr>
        <w:pStyle w:val="26"/>
        <w:tabs>
          <w:tab w:val="left" w:pos="0"/>
          <w:tab w:val="left" w:pos="712"/>
          <w:tab w:val="left" w:pos="990"/>
          <w:tab w:val="left" w:pos="6020"/>
        </w:tabs>
        <w:spacing w:line="360" w:lineRule="auto"/>
        <w:rPr>
          <w:rFonts w:hint="eastAsia" w:ascii="宋体" w:hAnsi="宋体" w:eastAsia="宋体" w:cs="宋体"/>
        </w:rPr>
      </w:pPr>
      <w:r>
        <w:rPr>
          <w:rFonts w:ascii="黑体" w:hAnsi="黑体" w:eastAsia="黑体" w:cs="黑体"/>
        </w:rPr>
        <w:t>2</w:t>
      </w:r>
      <w:r>
        <w:rPr>
          <w:rFonts w:hint="eastAsia" w:ascii="黑体" w:hAnsi="黑体" w:eastAsia="黑体" w:cs="黑体"/>
        </w:rPr>
        <w:t xml:space="preserve">  </w:t>
      </w:r>
      <w:r>
        <w:rPr>
          <w:rFonts w:hint="eastAsia" w:ascii="宋体" w:hAnsi="宋体" w:eastAsia="宋体" w:cs="宋体"/>
        </w:rPr>
        <w:t>当无专用测强曲线或地区测强曲线时，按</w:t>
      </w:r>
      <w:r>
        <w:rPr>
          <w:rFonts w:ascii="Times New Roman" w:hAnsi="Times New Roman" w:eastAsia="宋体" w:cs="Times New Roman"/>
        </w:rPr>
        <w:t>C</w:t>
      </w:r>
      <w:r>
        <w:rPr>
          <w:rFonts w:hint="eastAsia" w:ascii="Times New Roman" w:hAnsi="Times New Roman" w:eastAsia="宋体" w:cs="Times New Roman"/>
        </w:rPr>
        <w:t>.0.6</w:t>
      </w:r>
      <w:r>
        <w:rPr>
          <w:rFonts w:ascii="Times New Roman" w:hAnsi="Times New Roman" w:eastAsia="宋体" w:cs="Times New Roman"/>
        </w:rPr>
        <w:t>.3</w:t>
      </w:r>
      <w:r>
        <w:rPr>
          <w:rFonts w:hint="eastAsia" w:ascii="宋体" w:hAnsi="宋体" w:eastAsia="宋体" w:cs="宋体"/>
        </w:rPr>
        <w:t>的有关规定通过验证后，可按</w:t>
      </w:r>
      <w:r>
        <w:rPr>
          <w:rFonts w:ascii="Times New Roman" w:hAnsi="Times New Roman" w:eastAsia="宋体" w:cs="Times New Roman"/>
        </w:rPr>
        <w:t>C</w:t>
      </w:r>
      <w:r>
        <w:rPr>
          <w:rFonts w:hint="eastAsia" w:ascii="Times New Roman" w:hAnsi="Times New Roman" w:eastAsia="宋体" w:cs="Times New Roman"/>
        </w:rPr>
        <w:t>.0.6</w:t>
      </w:r>
      <w:r>
        <w:rPr>
          <w:rFonts w:ascii="Times New Roman" w:hAnsi="Times New Roman" w:eastAsia="宋体" w:cs="Times New Roman"/>
        </w:rPr>
        <w:t>.4</w:t>
      </w:r>
      <w:r>
        <w:rPr>
          <w:rFonts w:hint="eastAsia" w:ascii="宋体" w:hAnsi="宋体" w:eastAsia="宋体" w:cs="宋体"/>
        </w:rPr>
        <w:t>对测区混凝土抗压强度进行换算，也可按</w:t>
      </w:r>
      <w:r>
        <w:rPr>
          <w:rFonts w:ascii="Times New Roman" w:hAnsi="Times New Roman" w:eastAsia="宋体" w:cs="Times New Roman"/>
        </w:rPr>
        <w:t>C</w:t>
      </w:r>
      <w:r>
        <w:rPr>
          <w:rFonts w:hint="eastAsia" w:ascii="Times New Roman" w:hAnsi="Times New Roman" w:eastAsia="宋体" w:cs="Times New Roman"/>
        </w:rPr>
        <w:t>.0.6</w:t>
      </w:r>
      <w:r>
        <w:rPr>
          <w:rFonts w:ascii="Times New Roman" w:hAnsi="Times New Roman" w:eastAsia="宋体" w:cs="Times New Roman"/>
        </w:rPr>
        <w:t>.1</w:t>
      </w:r>
      <w:r>
        <w:rPr>
          <w:rFonts w:hint="eastAsia" w:ascii="宋体" w:hAnsi="宋体" w:eastAsia="宋体" w:cs="宋体"/>
        </w:rPr>
        <w:t>规定进行计算。</w:t>
      </w:r>
    </w:p>
    <w:p>
      <w:pPr>
        <w:pStyle w:val="26"/>
        <w:tabs>
          <w:tab w:val="left" w:pos="0"/>
          <w:tab w:val="left" w:pos="712"/>
          <w:tab w:val="left" w:pos="990"/>
          <w:tab w:val="left" w:pos="6020"/>
        </w:tabs>
        <w:spacing w:line="360" w:lineRule="auto"/>
        <w:rPr>
          <w:rFonts w:hint="eastAsia" w:ascii="宋体" w:hAnsi="宋体" w:eastAsia="宋体" w:cs="宋体"/>
        </w:rPr>
      </w:pPr>
      <w:r>
        <w:rPr>
          <w:rFonts w:ascii="黑体" w:hAnsi="黑体" w:eastAsia="黑体" w:cs="黑体"/>
        </w:rPr>
        <w:t xml:space="preserve">3 </w:t>
      </w:r>
      <w:r>
        <w:rPr>
          <w:rFonts w:hint="eastAsia" w:ascii="黑体" w:hAnsi="黑体" w:eastAsia="黑体" w:cs="黑体"/>
        </w:rPr>
        <w:t xml:space="preserve"> </w:t>
      </w:r>
      <w:r>
        <w:rPr>
          <w:rFonts w:hint="eastAsia" w:ascii="宋体" w:hAnsi="宋体" w:eastAsia="宋体" w:cs="宋体"/>
        </w:rPr>
        <w:t>测强曲线可按下列方法进行验证：</w:t>
      </w:r>
    </w:p>
    <w:p>
      <w:pPr>
        <w:numPr>
          <w:ilvl w:val="0"/>
          <w:numId w:val="34"/>
        </w:numPr>
        <w:tabs>
          <w:tab w:val="left" w:pos="6020"/>
        </w:tabs>
        <w:spacing w:line="360" w:lineRule="auto"/>
        <w:ind w:left="1058" w:leftChars="334" w:hanging="357" w:hangingChars="170"/>
        <w:rPr>
          <w:rFonts w:hint="eastAsia" w:ascii="宋体" w:hAnsi="宋体" w:eastAsia="宋体" w:cs="宋体"/>
        </w:rPr>
      </w:pPr>
      <w:r>
        <w:rPr>
          <w:rFonts w:hint="eastAsia" w:ascii="宋体" w:hAnsi="宋体" w:eastAsia="宋体" w:cs="宋体"/>
        </w:rPr>
        <w:t>选用本地区常用的混凝土原材料，按常用配合比配制强度等级为</w:t>
      </w:r>
      <w:r>
        <w:rPr>
          <w:rFonts w:ascii="Times New Roman" w:hAnsi="Times New Roman" w:eastAsia="宋体" w:cs="Times New Roman"/>
        </w:rPr>
        <w:t>C15、C20、C30、C40、C50、C60</w:t>
      </w:r>
      <w:r>
        <w:rPr>
          <w:rFonts w:hint="eastAsia" w:ascii="宋体" w:hAnsi="宋体" w:eastAsia="宋体" w:cs="宋体"/>
        </w:rPr>
        <w:t>的混凝土，制作边长为</w:t>
      </w:r>
      <w:r>
        <w:rPr>
          <w:rFonts w:ascii="Times New Roman" w:hAnsi="Times New Roman" w:eastAsia="宋体" w:cs="Times New Roman"/>
        </w:rPr>
        <w:t>150mm</w:t>
      </w:r>
      <w:r>
        <w:rPr>
          <w:rFonts w:hint="eastAsia" w:ascii="宋体" w:hAnsi="宋体" w:eastAsia="宋体" w:cs="宋体"/>
        </w:rPr>
        <w:t>的立方体试件各</w:t>
      </w:r>
      <w:r>
        <w:rPr>
          <w:rFonts w:ascii="Times New Roman" w:hAnsi="Times New Roman" w:eastAsia="宋体" w:cs="Times New Roman"/>
        </w:rPr>
        <w:t>3</w:t>
      </w:r>
      <w:r>
        <w:rPr>
          <w:rFonts w:hint="eastAsia" w:ascii="宋体" w:hAnsi="宋体" w:eastAsia="宋体" w:cs="宋体"/>
        </w:rPr>
        <w:t>组，采用自然养护；</w:t>
      </w:r>
    </w:p>
    <w:p>
      <w:pPr>
        <w:numPr>
          <w:ilvl w:val="0"/>
          <w:numId w:val="34"/>
        </w:numPr>
        <w:tabs>
          <w:tab w:val="left" w:pos="6020"/>
        </w:tabs>
        <w:spacing w:line="360" w:lineRule="auto"/>
        <w:ind w:firstLine="703" w:firstLineChars="335"/>
        <w:rPr>
          <w:rFonts w:hint="eastAsia" w:ascii="宋体" w:hAnsi="宋体" w:eastAsia="宋体" w:cs="宋体"/>
        </w:rPr>
      </w:pPr>
      <w:r>
        <w:rPr>
          <w:rFonts w:hint="eastAsia" w:ascii="宋体" w:hAnsi="宋体" w:eastAsia="宋体" w:cs="宋体"/>
        </w:rPr>
        <w:t>采用符合现行标准要求的中型回弹仪和混凝土超声波检测仪；</w:t>
      </w:r>
    </w:p>
    <w:p>
      <w:pPr>
        <w:numPr>
          <w:ilvl w:val="0"/>
          <w:numId w:val="34"/>
        </w:numPr>
        <w:tabs>
          <w:tab w:val="left" w:pos="6020"/>
        </w:tabs>
        <w:spacing w:line="360" w:lineRule="auto"/>
        <w:ind w:firstLine="703" w:firstLineChars="335"/>
        <w:rPr>
          <w:rFonts w:hint="eastAsia" w:ascii="宋体" w:hAnsi="宋体" w:eastAsia="宋体" w:cs="宋体"/>
        </w:rPr>
      </w:pPr>
      <w:r>
        <w:rPr>
          <w:rFonts w:hint="eastAsia" w:ascii="宋体" w:hAnsi="宋体" w:eastAsia="宋体" w:cs="宋体"/>
        </w:rPr>
        <w:t>按龄期为</w:t>
      </w:r>
      <w:r>
        <w:rPr>
          <w:rFonts w:ascii="Times New Roman" w:hAnsi="Times New Roman" w:eastAsia="宋体" w:cs="Times New Roman"/>
        </w:rPr>
        <w:t>28d、60d 和90d进</w:t>
      </w:r>
      <w:r>
        <w:rPr>
          <w:rFonts w:hint="eastAsia" w:ascii="宋体" w:hAnsi="宋体" w:eastAsia="宋体" w:cs="宋体"/>
        </w:rPr>
        <w:t>行超声回弹综合法测试和试件混凝土抗压试验；</w:t>
      </w:r>
    </w:p>
    <w:p>
      <w:pPr>
        <w:numPr>
          <w:ilvl w:val="0"/>
          <w:numId w:val="34"/>
        </w:numPr>
        <w:tabs>
          <w:tab w:val="left" w:pos="6020"/>
        </w:tabs>
        <w:spacing w:line="360" w:lineRule="auto"/>
        <w:ind w:left="1072" w:leftChars="332" w:hanging="375" w:hangingChars="179"/>
        <w:rPr>
          <w:rFonts w:hint="eastAsia" w:ascii="宋体" w:hAnsi="宋体" w:eastAsia="宋体" w:cs="宋体"/>
        </w:rPr>
      </w:pPr>
      <w:r>
        <w:rPr>
          <w:rFonts w:hint="eastAsia" w:ascii="宋体" w:hAnsi="宋体" w:eastAsia="宋体" w:cs="宋体"/>
        </w:rPr>
        <w:t>根据每个试件测得的回弹值和声速值，按表</w:t>
      </w:r>
      <w:r>
        <w:rPr>
          <w:rFonts w:ascii="Times New Roman" w:hAnsi="Times New Roman" w:eastAsia="黑体" w:cs="Times New Roman"/>
        </w:rPr>
        <w:t>C.0.6</w:t>
      </w:r>
      <w:r>
        <w:rPr>
          <w:rFonts w:hint="eastAsia" w:ascii="宋体" w:hAnsi="宋体" w:eastAsia="宋体" w:cs="宋体"/>
        </w:rPr>
        <w:t>查得试件的混凝土抗压强度换算值；</w:t>
      </w:r>
    </w:p>
    <w:p>
      <w:pPr>
        <w:tabs>
          <w:tab w:val="left" w:pos="6020"/>
        </w:tabs>
        <w:jc w:val="center"/>
        <w:rPr>
          <w:rFonts w:hint="eastAsia" w:ascii="宋体" w:hAnsi="宋体" w:eastAsia="宋体" w:cs="宋体"/>
          <w:sz w:val="18"/>
        </w:rPr>
      </w:pPr>
    </w:p>
    <w:p>
      <w:pPr>
        <w:tabs>
          <w:tab w:val="left" w:pos="6020"/>
        </w:tabs>
        <w:jc w:val="center"/>
        <w:rPr>
          <w:rFonts w:hint="eastAsia" w:ascii="宋体" w:hAnsi="宋体" w:eastAsia="宋体" w:cs="宋体"/>
          <w:sz w:val="18"/>
        </w:rPr>
      </w:pPr>
      <w:r>
        <w:rPr>
          <w:rFonts w:hint="eastAsia" w:ascii="宋体" w:hAnsi="宋体" w:eastAsia="宋体" w:cs="宋体"/>
          <w:sz w:val="18"/>
        </w:rPr>
        <w:t>表</w:t>
      </w:r>
      <w:r>
        <w:rPr>
          <w:rFonts w:ascii="黑体" w:hAnsi="黑体" w:eastAsia="黑体" w:cs="黑体"/>
          <w:sz w:val="18"/>
        </w:rPr>
        <w:t>C</w:t>
      </w:r>
      <w:r>
        <w:rPr>
          <w:rFonts w:hint="eastAsia" w:ascii="黑体" w:hAnsi="黑体" w:eastAsia="黑体" w:cs="黑体"/>
          <w:sz w:val="18"/>
        </w:rPr>
        <w:t>.0.</w:t>
      </w:r>
      <w:r>
        <w:rPr>
          <w:rFonts w:ascii="黑体" w:hAnsi="黑体" w:eastAsia="黑体" w:cs="黑体"/>
          <w:sz w:val="18"/>
        </w:rPr>
        <w:t>6</w:t>
      </w:r>
      <w:r>
        <w:rPr>
          <w:rFonts w:hint="eastAsia" w:ascii="黑体" w:hAnsi="黑体" w:eastAsia="黑体" w:cs="黑体"/>
          <w:sz w:val="18"/>
        </w:rPr>
        <w:t xml:space="preserve"> 混凝土抗压强度换算表</w:t>
      </w:r>
    </w:p>
    <w:p>
      <w:pPr>
        <w:tabs>
          <w:tab w:val="left" w:pos="6020"/>
        </w:tabs>
        <w:rPr>
          <w:rFonts w:hint="eastAsia" w:ascii="宋体" w:hAnsi="宋体" w:eastAsia="宋体" w:cs="宋体"/>
        </w:rPr>
      </w:pPr>
      <w:r>
        <w:drawing>
          <wp:inline distT="0" distB="0" distL="0" distR="0">
            <wp:extent cx="5500370" cy="6033135"/>
            <wp:effectExtent l="0" t="0" r="5080" b="571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7"/>
                    <a:stretch>
                      <a:fillRect/>
                    </a:stretch>
                  </pic:blipFill>
                  <pic:spPr>
                    <a:xfrm>
                      <a:off x="0" y="0"/>
                      <a:ext cx="5532823" cy="6068604"/>
                    </a:xfrm>
                    <a:prstGeom prst="rect">
                      <a:avLst/>
                    </a:prstGeom>
                  </pic:spPr>
                </pic:pic>
              </a:graphicData>
            </a:graphic>
          </wp:inline>
        </w:drawing>
      </w: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jc w:val="center"/>
        <w:rPr>
          <w:rFonts w:hint="eastAsia" w:ascii="宋体" w:hAnsi="宋体" w:eastAsia="宋体" w:cs="宋体"/>
        </w:rPr>
      </w:pPr>
      <w:r>
        <w:rPr>
          <w:rFonts w:hint="eastAsia" w:ascii="宋体" w:hAnsi="宋体" w:eastAsia="宋体" w:cs="宋体"/>
          <w:sz w:val="18"/>
        </w:rPr>
        <w:t>表</w:t>
      </w:r>
      <w:r>
        <w:rPr>
          <w:rFonts w:ascii="黑体" w:hAnsi="黑体" w:eastAsia="黑体" w:cs="黑体"/>
          <w:sz w:val="18"/>
        </w:rPr>
        <w:t>C</w:t>
      </w:r>
      <w:r>
        <w:rPr>
          <w:rFonts w:hint="eastAsia" w:ascii="黑体" w:hAnsi="黑体" w:eastAsia="黑体" w:cs="黑体"/>
          <w:sz w:val="18"/>
        </w:rPr>
        <w:t>.0.</w:t>
      </w:r>
      <w:r>
        <w:rPr>
          <w:rFonts w:ascii="黑体" w:hAnsi="黑体" w:eastAsia="黑体" w:cs="黑体"/>
          <w:sz w:val="18"/>
        </w:rPr>
        <w:t>6</w:t>
      </w:r>
      <w:r>
        <w:rPr>
          <w:rFonts w:hint="eastAsia" w:ascii="黑体" w:hAnsi="黑体" w:eastAsia="黑体" w:cs="黑体"/>
          <w:sz w:val="18"/>
        </w:rPr>
        <w:t xml:space="preserve"> （续）</w:t>
      </w:r>
    </w:p>
    <w:p>
      <w:pPr>
        <w:tabs>
          <w:tab w:val="left" w:pos="6020"/>
        </w:tabs>
        <w:rPr>
          <w:rFonts w:hint="eastAsia" w:ascii="宋体" w:hAnsi="宋体" w:eastAsia="宋体" w:cs="宋体"/>
        </w:rPr>
      </w:pPr>
      <w:r>
        <w:drawing>
          <wp:inline distT="0" distB="0" distL="0" distR="0">
            <wp:extent cx="5270500" cy="6108065"/>
            <wp:effectExtent l="0" t="0" r="6350" b="698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8"/>
                    <a:srcRect t="4222"/>
                    <a:stretch>
                      <a:fillRect/>
                    </a:stretch>
                  </pic:blipFill>
                  <pic:spPr>
                    <a:xfrm>
                      <a:off x="0" y="0"/>
                      <a:ext cx="5270500" cy="6108669"/>
                    </a:xfrm>
                    <a:prstGeom prst="rect">
                      <a:avLst/>
                    </a:prstGeom>
                    <a:ln>
                      <a:noFill/>
                    </a:ln>
                  </pic:spPr>
                </pic:pic>
              </a:graphicData>
            </a:graphic>
          </wp:inline>
        </w:drawing>
      </w: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jc w:val="center"/>
        <w:rPr>
          <w:rFonts w:hint="eastAsia" w:ascii="宋体" w:hAnsi="宋体" w:eastAsia="宋体" w:cs="宋体"/>
        </w:rPr>
      </w:pPr>
      <w:r>
        <w:rPr>
          <w:rFonts w:hint="eastAsia" w:ascii="宋体" w:hAnsi="宋体" w:eastAsia="宋体" w:cs="宋体"/>
          <w:sz w:val="18"/>
        </w:rPr>
        <w:t>表</w:t>
      </w:r>
      <w:r>
        <w:rPr>
          <w:rFonts w:ascii="黑体" w:hAnsi="黑体" w:eastAsia="黑体" w:cs="黑体"/>
          <w:sz w:val="18"/>
        </w:rPr>
        <w:t>C</w:t>
      </w:r>
      <w:r>
        <w:rPr>
          <w:rFonts w:hint="eastAsia" w:ascii="黑体" w:hAnsi="黑体" w:eastAsia="黑体" w:cs="黑体"/>
          <w:sz w:val="18"/>
        </w:rPr>
        <w:t>.0.</w:t>
      </w:r>
      <w:r>
        <w:rPr>
          <w:rFonts w:ascii="黑体" w:hAnsi="黑体" w:eastAsia="黑体" w:cs="黑体"/>
          <w:sz w:val="18"/>
        </w:rPr>
        <w:t>6</w:t>
      </w:r>
      <w:r>
        <w:rPr>
          <w:rFonts w:hint="eastAsia" w:ascii="黑体" w:hAnsi="黑体" w:eastAsia="黑体" w:cs="黑体"/>
          <w:sz w:val="18"/>
        </w:rPr>
        <w:t xml:space="preserve"> （续）</w:t>
      </w:r>
    </w:p>
    <w:p>
      <w:pPr>
        <w:tabs>
          <w:tab w:val="left" w:pos="6020"/>
        </w:tabs>
        <w:rPr>
          <w:rFonts w:hint="eastAsia" w:ascii="宋体" w:hAnsi="宋体" w:eastAsia="宋体" w:cs="宋体"/>
        </w:rPr>
      </w:pPr>
      <w:r>
        <w:drawing>
          <wp:inline distT="0" distB="0" distL="0" distR="0">
            <wp:extent cx="5270500" cy="6040120"/>
            <wp:effectExtent l="0" t="0" r="635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9"/>
                    <a:srcRect t="4268"/>
                    <a:stretch>
                      <a:fillRect/>
                    </a:stretch>
                  </pic:blipFill>
                  <pic:spPr>
                    <a:xfrm>
                      <a:off x="0" y="0"/>
                      <a:ext cx="5270500" cy="6040724"/>
                    </a:xfrm>
                    <a:prstGeom prst="rect">
                      <a:avLst/>
                    </a:prstGeom>
                    <a:ln>
                      <a:noFill/>
                    </a:ln>
                  </pic:spPr>
                </pic:pic>
              </a:graphicData>
            </a:graphic>
          </wp:inline>
        </w:drawing>
      </w: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jc w:val="center"/>
        <w:rPr>
          <w:rFonts w:hint="eastAsia" w:ascii="宋体" w:hAnsi="宋体" w:eastAsia="宋体" w:cs="宋体"/>
        </w:rPr>
      </w:pPr>
      <w:r>
        <w:rPr>
          <w:rFonts w:hint="eastAsia" w:ascii="宋体" w:hAnsi="宋体" w:eastAsia="宋体" w:cs="宋体"/>
          <w:sz w:val="18"/>
        </w:rPr>
        <w:t>表</w:t>
      </w:r>
      <w:r>
        <w:rPr>
          <w:rFonts w:ascii="黑体" w:hAnsi="黑体" w:eastAsia="黑体" w:cs="黑体"/>
          <w:sz w:val="18"/>
        </w:rPr>
        <w:t>C</w:t>
      </w:r>
      <w:r>
        <w:rPr>
          <w:rFonts w:hint="eastAsia" w:ascii="黑体" w:hAnsi="黑体" w:eastAsia="黑体" w:cs="黑体"/>
          <w:sz w:val="18"/>
        </w:rPr>
        <w:t>.0.</w:t>
      </w:r>
      <w:r>
        <w:rPr>
          <w:rFonts w:ascii="黑体" w:hAnsi="黑体" w:eastAsia="黑体" w:cs="黑体"/>
          <w:sz w:val="18"/>
        </w:rPr>
        <w:t>6</w:t>
      </w:r>
      <w:r>
        <w:rPr>
          <w:rFonts w:hint="eastAsia" w:ascii="黑体" w:hAnsi="黑体" w:eastAsia="黑体" w:cs="黑体"/>
          <w:sz w:val="18"/>
        </w:rPr>
        <w:t xml:space="preserve"> （续）</w:t>
      </w:r>
    </w:p>
    <w:p>
      <w:pPr>
        <w:tabs>
          <w:tab w:val="left" w:pos="6020"/>
        </w:tabs>
        <w:rPr>
          <w:rFonts w:hint="eastAsia" w:ascii="宋体" w:hAnsi="宋体" w:eastAsia="宋体" w:cs="宋体"/>
        </w:rPr>
      </w:pPr>
      <w:r>
        <w:drawing>
          <wp:inline distT="0" distB="0" distL="0" distR="0">
            <wp:extent cx="5270500" cy="6088380"/>
            <wp:effectExtent l="0" t="0" r="6350" b="762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0"/>
                    <a:srcRect t="2950"/>
                    <a:stretch>
                      <a:fillRect/>
                    </a:stretch>
                  </pic:blipFill>
                  <pic:spPr>
                    <a:xfrm>
                      <a:off x="0" y="0"/>
                      <a:ext cx="5270500" cy="6088676"/>
                    </a:xfrm>
                    <a:prstGeom prst="rect">
                      <a:avLst/>
                    </a:prstGeom>
                    <a:ln>
                      <a:noFill/>
                    </a:ln>
                  </pic:spPr>
                </pic:pic>
              </a:graphicData>
            </a:graphic>
          </wp:inline>
        </w:drawing>
      </w: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rPr>
          <w:rFonts w:hint="eastAsia" w:ascii="宋体" w:hAnsi="宋体" w:eastAsia="宋体" w:cs="宋体"/>
        </w:rPr>
      </w:pPr>
    </w:p>
    <w:p>
      <w:pPr>
        <w:tabs>
          <w:tab w:val="left" w:pos="6020"/>
        </w:tabs>
        <w:jc w:val="center"/>
        <w:rPr>
          <w:rFonts w:hint="eastAsia" w:ascii="宋体" w:hAnsi="宋体" w:eastAsia="宋体" w:cs="宋体"/>
        </w:rPr>
      </w:pPr>
      <w:r>
        <w:rPr>
          <w:rFonts w:hint="eastAsia" w:ascii="宋体" w:hAnsi="宋体" w:eastAsia="宋体" w:cs="宋体"/>
          <w:sz w:val="18"/>
        </w:rPr>
        <w:t>表</w:t>
      </w:r>
      <w:r>
        <w:rPr>
          <w:rFonts w:ascii="黑体" w:hAnsi="黑体" w:eastAsia="黑体" w:cs="黑体"/>
          <w:sz w:val="18"/>
        </w:rPr>
        <w:t>C</w:t>
      </w:r>
      <w:r>
        <w:rPr>
          <w:rFonts w:hint="eastAsia" w:ascii="黑体" w:hAnsi="黑体" w:eastAsia="黑体" w:cs="黑体"/>
          <w:sz w:val="18"/>
        </w:rPr>
        <w:t>.0.</w:t>
      </w:r>
      <w:r>
        <w:rPr>
          <w:rFonts w:ascii="黑体" w:hAnsi="黑体" w:eastAsia="黑体" w:cs="黑体"/>
          <w:sz w:val="18"/>
        </w:rPr>
        <w:t>6</w:t>
      </w:r>
      <w:r>
        <w:rPr>
          <w:rFonts w:hint="eastAsia" w:ascii="黑体" w:hAnsi="黑体" w:eastAsia="黑体" w:cs="黑体"/>
          <w:sz w:val="18"/>
        </w:rPr>
        <w:t xml:space="preserve"> （续）</w:t>
      </w:r>
    </w:p>
    <w:p>
      <w:pPr>
        <w:tabs>
          <w:tab w:val="left" w:pos="6020"/>
        </w:tabs>
        <w:rPr>
          <w:rFonts w:hint="eastAsia" w:ascii="宋体" w:hAnsi="宋体" w:eastAsia="宋体" w:cs="宋体"/>
        </w:rPr>
      </w:pPr>
      <w:r>
        <w:drawing>
          <wp:inline distT="0" distB="0" distL="0" distR="0">
            <wp:extent cx="5270500" cy="6069965"/>
            <wp:effectExtent l="0" t="0" r="6350" b="698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1"/>
                    <a:srcRect t="4163"/>
                    <a:stretch>
                      <a:fillRect/>
                    </a:stretch>
                  </pic:blipFill>
                  <pic:spPr>
                    <a:xfrm>
                      <a:off x="0" y="0"/>
                      <a:ext cx="5270500" cy="6070463"/>
                    </a:xfrm>
                    <a:prstGeom prst="rect">
                      <a:avLst/>
                    </a:prstGeom>
                    <a:ln>
                      <a:noFill/>
                    </a:ln>
                  </pic:spPr>
                </pic:pic>
              </a:graphicData>
            </a:graphic>
          </wp:inline>
        </w:drawing>
      </w:r>
    </w:p>
    <w:p>
      <w:pPr>
        <w:tabs>
          <w:tab w:val="left" w:pos="6020"/>
        </w:tabs>
        <w:rPr>
          <w:rFonts w:hint="eastAsia" w:ascii="宋体" w:hAnsi="宋体" w:eastAsia="宋体" w:cs="宋体"/>
        </w:rPr>
      </w:pPr>
    </w:p>
    <w:p>
      <w:pPr>
        <w:tabs>
          <w:tab w:val="left" w:pos="6020"/>
        </w:tabs>
        <w:rPr>
          <w:rFonts w:hint="eastAsia" w:ascii="宋体" w:hAnsi="宋体" w:eastAsia="宋体" w:cs="宋体"/>
        </w:rPr>
        <w:sectPr>
          <w:pgSz w:w="11906" w:h="16838"/>
          <w:pgMar w:top="1440" w:right="1803" w:bottom="1440" w:left="1803" w:header="851" w:footer="851" w:gutter="0"/>
          <w:cols w:space="720" w:num="1"/>
        </w:sectPr>
      </w:pPr>
    </w:p>
    <w:p>
      <w:pPr>
        <w:tabs>
          <w:tab w:val="left" w:pos="6020"/>
        </w:tabs>
        <w:jc w:val="center"/>
        <w:rPr>
          <w:rFonts w:hint="eastAsia" w:ascii="宋体" w:hAnsi="宋体" w:eastAsia="宋体" w:cs="宋体"/>
        </w:rPr>
      </w:pPr>
      <w:r>
        <w:rPr>
          <w:rFonts w:hint="eastAsia" w:ascii="宋体" w:hAnsi="宋体" w:eastAsia="宋体" w:cs="宋体"/>
          <w:sz w:val="18"/>
        </w:rPr>
        <w:t>表</w:t>
      </w:r>
      <w:r>
        <w:rPr>
          <w:rFonts w:ascii="黑体" w:hAnsi="黑体" w:eastAsia="黑体" w:cs="黑体"/>
          <w:sz w:val="18"/>
        </w:rPr>
        <w:t>C</w:t>
      </w:r>
      <w:r>
        <w:rPr>
          <w:rFonts w:hint="eastAsia" w:ascii="黑体" w:hAnsi="黑体" w:eastAsia="黑体" w:cs="黑体"/>
          <w:sz w:val="18"/>
        </w:rPr>
        <w:t>.0.</w:t>
      </w:r>
      <w:r>
        <w:rPr>
          <w:rFonts w:ascii="黑体" w:hAnsi="黑体" w:eastAsia="黑体" w:cs="黑体"/>
          <w:sz w:val="18"/>
        </w:rPr>
        <w:t>6</w:t>
      </w:r>
      <w:r>
        <w:rPr>
          <w:rFonts w:hint="eastAsia" w:ascii="黑体" w:hAnsi="黑体" w:eastAsia="黑体" w:cs="黑体"/>
          <w:sz w:val="18"/>
        </w:rPr>
        <w:t xml:space="preserve"> （续）</w:t>
      </w:r>
    </w:p>
    <w:p>
      <w:pPr>
        <w:tabs>
          <w:tab w:val="left" w:pos="6020"/>
        </w:tabs>
        <w:rPr>
          <w:rFonts w:hint="eastAsia" w:ascii="宋体" w:hAnsi="宋体" w:eastAsia="宋体" w:cs="宋体"/>
        </w:rPr>
      </w:pPr>
      <w:r>
        <w:drawing>
          <wp:inline distT="0" distB="0" distL="0" distR="0">
            <wp:extent cx="5270500" cy="6081395"/>
            <wp:effectExtent l="0" t="0" r="635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2"/>
                    <a:srcRect t="3900"/>
                    <a:stretch>
                      <a:fillRect/>
                    </a:stretch>
                  </pic:blipFill>
                  <pic:spPr>
                    <a:xfrm>
                      <a:off x="0" y="0"/>
                      <a:ext cx="5270500" cy="6081578"/>
                    </a:xfrm>
                    <a:prstGeom prst="rect">
                      <a:avLst/>
                    </a:prstGeom>
                    <a:ln>
                      <a:noFill/>
                    </a:ln>
                  </pic:spPr>
                </pic:pic>
              </a:graphicData>
            </a:graphic>
          </wp:inline>
        </w:drawing>
      </w:r>
    </w:p>
    <w:p>
      <w:pPr>
        <w:tabs>
          <w:tab w:val="left" w:pos="6020"/>
        </w:tabs>
        <w:rPr>
          <w:rFonts w:hint="eastAsia" w:asciiTheme="minorEastAsia" w:hAnsiTheme="minorEastAsia" w:cstheme="minorEastAsia"/>
          <w:sz w:val="15"/>
          <w:szCs w:val="15"/>
        </w:rPr>
      </w:pPr>
      <w:r>
        <w:rPr>
          <w:rFonts w:hint="eastAsia" w:asciiTheme="minorEastAsia" w:hAnsiTheme="minorEastAsia" w:cstheme="minorEastAsia"/>
          <w:sz w:val="15"/>
          <w:szCs w:val="15"/>
        </w:rPr>
        <w:t>注：1 表内未列数值可采用内插法求得，精确至0.1MPa；</w:t>
      </w:r>
    </w:p>
    <w:p>
      <w:pPr>
        <w:tabs>
          <w:tab w:val="left" w:pos="6020"/>
        </w:tabs>
        <w:ind w:firstLine="300" w:firstLineChars="200"/>
        <w:rPr>
          <w:rFonts w:hint="eastAsia" w:asciiTheme="minorEastAsia" w:hAnsiTheme="minorEastAsia" w:cstheme="minorEastAsia"/>
          <w:sz w:val="15"/>
          <w:szCs w:val="15"/>
        </w:rPr>
      </w:pPr>
      <w:r>
        <w:rPr>
          <w:rFonts w:hint="eastAsia" w:asciiTheme="minorEastAsia" w:hAnsiTheme="minorEastAsia" w:cstheme="minorEastAsia"/>
          <w:sz w:val="15"/>
          <w:szCs w:val="15"/>
        </w:rPr>
        <w:t>2 表中</w:t>
      </w:r>
      <m:oMath>
        <m:sSub>
          <m:sSubPr>
            <m:ctrlPr>
              <w:rPr>
                <w:rFonts w:hint="eastAsia" w:ascii="Cambria Math" w:hAnsi="Cambria Math" w:cstheme="minorEastAsia"/>
                <w:i/>
                <w:kern w:val="0"/>
                <w:sz w:val="15"/>
                <w:szCs w:val="15"/>
              </w:rPr>
            </m:ctrlPr>
          </m:sSubPr>
          <m:e>
            <m:r>
              <m:rPr/>
              <w:rPr>
                <w:rFonts w:hint="eastAsia" w:ascii="Cambria Math" w:hAnsi="Cambria Math" w:cstheme="minorEastAsia"/>
                <w:kern w:val="0"/>
                <w:sz w:val="15"/>
                <w:szCs w:val="15"/>
              </w:rPr>
              <m:t>v</m:t>
            </m:r>
            <m:ctrlPr>
              <w:rPr>
                <w:rFonts w:hint="eastAsia" w:ascii="Cambria Math" w:hAnsi="Cambria Math" w:cstheme="minorEastAsia"/>
                <w:i/>
                <w:kern w:val="0"/>
                <w:sz w:val="15"/>
                <w:szCs w:val="15"/>
              </w:rPr>
            </m:ctrlPr>
          </m:e>
          <m:sub>
            <m:r>
              <m:rPr/>
              <w:rPr>
                <w:rFonts w:hint="eastAsia" w:ascii="Cambria Math" w:hAnsi="Cambria Math" w:cstheme="minorEastAsia"/>
                <w:kern w:val="0"/>
                <w:sz w:val="15"/>
                <w:szCs w:val="15"/>
              </w:rPr>
              <m:t>a</m:t>
            </m:r>
            <m:ctrlPr>
              <w:rPr>
                <w:rFonts w:hint="eastAsia" w:ascii="Cambria Math" w:hAnsi="Cambria Math" w:cstheme="minorEastAsia"/>
                <w:i/>
                <w:kern w:val="0"/>
                <w:sz w:val="15"/>
                <w:szCs w:val="15"/>
              </w:rPr>
            </m:ctrlPr>
          </m:sub>
        </m:sSub>
      </m:oMath>
      <w:r>
        <w:rPr>
          <w:rFonts w:hint="eastAsia" w:asciiTheme="minorEastAsia" w:hAnsiTheme="minorEastAsia" w:cstheme="minorEastAsia"/>
          <w:sz w:val="15"/>
          <w:szCs w:val="15"/>
        </w:rPr>
        <w:t>为修正后的测区声速代表值，</w:t>
      </w:r>
      <m:oMath>
        <m:sSub>
          <m:sSubPr>
            <m:ctrlPr>
              <w:rPr>
                <w:rFonts w:hint="eastAsia" w:ascii="Cambria Math" w:hAnsi="Cambria Math" w:cstheme="minorEastAsia"/>
                <w:i/>
                <w:kern w:val="0"/>
                <w:sz w:val="15"/>
                <w:szCs w:val="15"/>
              </w:rPr>
            </m:ctrlPr>
          </m:sSubPr>
          <m:e>
            <m:r>
              <m:rPr/>
              <w:rPr>
                <w:rFonts w:hint="eastAsia" w:ascii="Cambria Math" w:hAnsi="Cambria Math" w:cstheme="minorEastAsia"/>
                <w:kern w:val="0"/>
                <w:sz w:val="15"/>
                <w:szCs w:val="15"/>
              </w:rPr>
              <m:t>R</m:t>
            </m:r>
            <m:ctrlPr>
              <w:rPr>
                <w:rFonts w:hint="eastAsia" w:ascii="Cambria Math" w:hAnsi="Cambria Math" w:cstheme="minorEastAsia"/>
                <w:i/>
                <w:kern w:val="0"/>
                <w:sz w:val="15"/>
                <w:szCs w:val="15"/>
              </w:rPr>
            </m:ctrlPr>
          </m:e>
          <m:sub>
            <m:r>
              <m:rPr/>
              <w:rPr>
                <w:rFonts w:hint="eastAsia" w:ascii="Cambria Math" w:hAnsi="Cambria Math" w:cstheme="minorEastAsia"/>
                <w:kern w:val="0"/>
                <w:sz w:val="15"/>
                <w:szCs w:val="15"/>
              </w:rPr>
              <m:t>a</m:t>
            </m:r>
            <m:ctrlPr>
              <w:rPr>
                <w:rFonts w:hint="eastAsia" w:ascii="Cambria Math" w:hAnsi="Cambria Math" w:cstheme="minorEastAsia"/>
                <w:i/>
                <w:kern w:val="0"/>
                <w:sz w:val="15"/>
                <w:szCs w:val="15"/>
              </w:rPr>
            </m:ctrlPr>
          </m:sub>
        </m:sSub>
      </m:oMath>
      <w:r>
        <w:rPr>
          <w:rFonts w:hint="eastAsia" w:asciiTheme="minorEastAsia" w:hAnsiTheme="minorEastAsia" w:cstheme="minorEastAsia"/>
          <w:sz w:val="15"/>
          <w:szCs w:val="15"/>
        </w:rPr>
        <w:t>为修正后的测区回弹代表值；</w:t>
      </w:r>
    </w:p>
    <w:p>
      <w:pPr>
        <w:tabs>
          <w:tab w:val="left" w:pos="6020"/>
        </w:tabs>
        <w:ind w:firstLine="300" w:firstLineChars="200"/>
        <w:rPr>
          <w:rFonts w:hint="eastAsia" w:asciiTheme="minorEastAsia" w:hAnsiTheme="minorEastAsia" w:cstheme="minorEastAsia"/>
          <w:sz w:val="15"/>
          <w:szCs w:val="15"/>
        </w:rPr>
      </w:pPr>
      <w:r>
        <w:rPr>
          <w:rFonts w:hint="eastAsia" w:asciiTheme="minorEastAsia" w:hAnsiTheme="minorEastAsia" w:cstheme="minorEastAsia"/>
          <w:sz w:val="15"/>
          <w:szCs w:val="15"/>
        </w:rPr>
        <w:t>3 采用对测和角测时，表中</w:t>
      </w:r>
      <m:oMath>
        <m:sSub>
          <m:sSubPr>
            <m:ctrlPr>
              <w:rPr>
                <w:rFonts w:hint="eastAsia" w:ascii="Cambria Math" w:hAnsi="Cambria Math" w:cstheme="minorEastAsia"/>
                <w:i/>
                <w:kern w:val="0"/>
                <w:sz w:val="15"/>
                <w:szCs w:val="15"/>
              </w:rPr>
            </m:ctrlPr>
          </m:sSubPr>
          <m:e>
            <m:r>
              <m:rPr/>
              <w:rPr>
                <w:rFonts w:hint="eastAsia" w:ascii="Cambria Math" w:hAnsi="Cambria Math" w:cstheme="minorEastAsia"/>
                <w:kern w:val="0"/>
                <w:sz w:val="15"/>
                <w:szCs w:val="15"/>
              </w:rPr>
              <m:t>v</m:t>
            </m:r>
            <m:ctrlPr>
              <w:rPr>
                <w:rFonts w:hint="eastAsia" w:ascii="Cambria Math" w:hAnsi="Cambria Math" w:cstheme="minorEastAsia"/>
                <w:i/>
                <w:kern w:val="0"/>
                <w:sz w:val="15"/>
                <w:szCs w:val="15"/>
              </w:rPr>
            </m:ctrlPr>
          </m:e>
          <m:sub>
            <m:r>
              <m:rPr/>
              <w:rPr>
                <w:rFonts w:hint="eastAsia" w:ascii="Cambria Math" w:hAnsi="Cambria Math" w:cstheme="minorEastAsia"/>
                <w:kern w:val="0"/>
                <w:sz w:val="15"/>
                <w:szCs w:val="15"/>
              </w:rPr>
              <m:t>a</m:t>
            </m:r>
            <m:ctrlPr>
              <w:rPr>
                <w:rFonts w:hint="eastAsia" w:ascii="Cambria Math" w:hAnsi="Cambria Math" w:cstheme="minorEastAsia"/>
                <w:i/>
                <w:kern w:val="0"/>
                <w:sz w:val="15"/>
                <w:szCs w:val="15"/>
              </w:rPr>
            </m:ctrlPr>
          </m:sub>
        </m:sSub>
      </m:oMath>
      <w:r>
        <w:rPr>
          <w:rFonts w:hint="eastAsia" w:asciiTheme="minorEastAsia" w:hAnsiTheme="minorEastAsia" w:cstheme="minorEastAsia"/>
          <w:sz w:val="15"/>
          <w:szCs w:val="15"/>
        </w:rPr>
        <w:t>用</w:t>
      </w:r>
      <m:oMath>
        <m:r>
          <m:rPr/>
          <w:rPr>
            <w:rFonts w:hint="eastAsia" w:ascii="Cambria Math" w:hAnsi="Cambria Math" w:cstheme="minorEastAsia"/>
            <w:kern w:val="0"/>
            <w:sz w:val="15"/>
            <w:szCs w:val="15"/>
          </w:rPr>
          <m:t>v</m:t>
        </m:r>
      </m:oMath>
      <w:r>
        <w:rPr>
          <w:rFonts w:hint="eastAsia" w:asciiTheme="minorEastAsia" w:hAnsiTheme="minorEastAsia" w:cstheme="minorEastAsia"/>
          <w:sz w:val="15"/>
          <w:szCs w:val="15"/>
        </w:rPr>
        <w:t>代替；当在侧面水平回弹时，表中</w:t>
      </w:r>
      <m:oMath>
        <m:sSub>
          <m:sSubPr>
            <m:ctrlPr>
              <w:rPr>
                <w:rFonts w:hint="eastAsia" w:ascii="Cambria Math" w:hAnsi="Cambria Math" w:cstheme="minorEastAsia"/>
                <w:i/>
                <w:kern w:val="0"/>
                <w:sz w:val="15"/>
                <w:szCs w:val="15"/>
              </w:rPr>
            </m:ctrlPr>
          </m:sSubPr>
          <m:e>
            <m:r>
              <m:rPr/>
              <w:rPr>
                <w:rFonts w:hint="eastAsia" w:ascii="Cambria Math" w:hAnsi="Cambria Math" w:cstheme="minorEastAsia"/>
                <w:kern w:val="0"/>
                <w:sz w:val="15"/>
                <w:szCs w:val="15"/>
              </w:rPr>
              <m:t>R</m:t>
            </m:r>
            <m:ctrlPr>
              <w:rPr>
                <w:rFonts w:hint="eastAsia" w:ascii="Cambria Math" w:hAnsi="Cambria Math" w:cstheme="minorEastAsia"/>
                <w:i/>
                <w:kern w:val="0"/>
                <w:sz w:val="15"/>
                <w:szCs w:val="15"/>
              </w:rPr>
            </m:ctrlPr>
          </m:e>
          <m:sub>
            <m:r>
              <m:rPr/>
              <w:rPr>
                <w:rFonts w:hint="eastAsia" w:ascii="Cambria Math" w:hAnsi="Cambria Math" w:cstheme="minorEastAsia"/>
                <w:kern w:val="0"/>
                <w:sz w:val="15"/>
                <w:szCs w:val="15"/>
              </w:rPr>
              <m:t>a</m:t>
            </m:r>
            <m:ctrlPr>
              <w:rPr>
                <w:rFonts w:hint="eastAsia" w:ascii="Cambria Math" w:hAnsi="Cambria Math" w:cstheme="minorEastAsia"/>
                <w:i/>
                <w:kern w:val="0"/>
                <w:sz w:val="15"/>
                <w:szCs w:val="15"/>
              </w:rPr>
            </m:ctrlPr>
          </m:sub>
        </m:sSub>
      </m:oMath>
      <w:r>
        <w:rPr>
          <w:rFonts w:hint="eastAsia" w:asciiTheme="minorEastAsia" w:hAnsiTheme="minorEastAsia" w:cstheme="minorEastAsia"/>
          <w:sz w:val="15"/>
          <w:szCs w:val="15"/>
        </w:rPr>
        <w:t>用</w:t>
      </w:r>
      <m:oMath>
        <m:r>
          <m:rPr/>
          <w:rPr>
            <w:rFonts w:hint="eastAsia" w:ascii="Cambria Math" w:hAnsi="Cambria Math" w:cstheme="minorEastAsia"/>
            <w:kern w:val="0"/>
            <w:sz w:val="15"/>
            <w:szCs w:val="15"/>
          </w:rPr>
          <m:t>R</m:t>
        </m:r>
      </m:oMath>
      <w:r>
        <w:rPr>
          <w:rFonts w:hint="eastAsia" w:asciiTheme="minorEastAsia" w:hAnsiTheme="minorEastAsia" w:cstheme="minorEastAsia"/>
          <w:sz w:val="15"/>
          <w:szCs w:val="15"/>
        </w:rPr>
        <w:t>代替；</w:t>
      </w:r>
    </w:p>
    <w:p>
      <w:pPr>
        <w:tabs>
          <w:tab w:val="left" w:pos="6020"/>
        </w:tabs>
        <w:ind w:firstLine="300" w:firstLineChars="200"/>
        <w:rPr>
          <w:rFonts w:hint="eastAsia" w:asciiTheme="minorEastAsia" w:hAnsiTheme="minorEastAsia" w:cstheme="minorEastAsia"/>
          <w:sz w:val="15"/>
          <w:szCs w:val="15"/>
        </w:rPr>
      </w:pPr>
      <w:r>
        <w:rPr>
          <w:rFonts w:hint="eastAsia" w:asciiTheme="minorEastAsia" w:hAnsiTheme="minorEastAsia" w:cstheme="minorEastAsia"/>
          <w:sz w:val="15"/>
          <w:szCs w:val="15"/>
        </w:rPr>
        <w:t xml:space="preserve">4 </w:t>
      </w:r>
      <m:oMath>
        <m:sSubSup>
          <m:sSubSupPr>
            <m:ctrlPr>
              <w:rPr>
                <w:rFonts w:hint="eastAsia" w:ascii="Cambria Math" w:hAnsi="Cambria Math" w:cstheme="minorEastAsia"/>
                <w:i/>
                <w:kern w:val="0"/>
                <w:sz w:val="15"/>
                <w:szCs w:val="15"/>
              </w:rPr>
            </m:ctrlPr>
          </m:sSubSupPr>
          <m:e>
            <m:r>
              <m:rPr/>
              <w:rPr>
                <w:rFonts w:hint="eastAsia" w:ascii="Cambria Math" w:hAnsi="Cambria Math" w:cstheme="minorEastAsia"/>
                <w:kern w:val="0"/>
                <w:sz w:val="15"/>
                <w:szCs w:val="15"/>
              </w:rPr>
              <m:t>f</m:t>
            </m:r>
            <m:ctrlPr>
              <w:rPr>
                <w:rFonts w:hint="eastAsia" w:ascii="Cambria Math" w:hAnsi="Cambria Math" w:cstheme="minorEastAsia"/>
                <w:i/>
                <w:kern w:val="0"/>
                <w:sz w:val="15"/>
                <w:szCs w:val="15"/>
              </w:rPr>
            </m:ctrlPr>
          </m:e>
          <m:sub>
            <m:r>
              <m:rPr/>
              <w:rPr>
                <w:rFonts w:hint="eastAsia" w:ascii="Cambria Math" w:hAnsi="Cambria Math" w:cstheme="minorEastAsia"/>
                <w:kern w:val="0"/>
                <w:sz w:val="15"/>
                <w:szCs w:val="15"/>
              </w:rPr>
              <m:t>cu</m:t>
            </m:r>
            <m:ctrlPr>
              <w:rPr>
                <w:rFonts w:hint="eastAsia" w:ascii="Cambria Math" w:hAnsi="Cambria Math" w:cstheme="minorEastAsia"/>
                <w:i/>
                <w:kern w:val="0"/>
                <w:sz w:val="15"/>
                <w:szCs w:val="15"/>
              </w:rPr>
            </m:ctrlPr>
          </m:sub>
          <m:sup>
            <m:r>
              <m:rPr/>
              <w:rPr>
                <w:rFonts w:hint="eastAsia" w:ascii="Cambria Math" w:hAnsi="Cambria Math" w:cstheme="minorEastAsia"/>
                <w:kern w:val="0"/>
                <w:sz w:val="15"/>
                <w:szCs w:val="15"/>
              </w:rPr>
              <m:t>c</m:t>
            </m:r>
            <m:ctrlPr>
              <w:rPr>
                <w:rFonts w:hint="eastAsia" w:ascii="Cambria Math" w:hAnsi="Cambria Math" w:cstheme="minorEastAsia"/>
                <w:i/>
                <w:kern w:val="0"/>
                <w:sz w:val="15"/>
                <w:szCs w:val="15"/>
              </w:rPr>
            </m:ctrlPr>
          </m:sup>
        </m:sSubSup>
      </m:oMath>
      <w:r>
        <w:rPr>
          <w:rFonts w:hint="eastAsia" w:asciiTheme="minorEastAsia" w:hAnsiTheme="minorEastAsia" w:cstheme="minorEastAsia"/>
          <w:sz w:val="15"/>
          <w:szCs w:val="15"/>
        </w:rPr>
        <w:t>也可按式（C.0.6-1）计算。</w:t>
      </w:r>
    </w:p>
    <w:p>
      <w:pPr>
        <w:tabs>
          <w:tab w:val="left" w:pos="6020"/>
        </w:tabs>
        <w:rPr>
          <w:rFonts w:ascii="Times New Roman" w:hAnsi="Times New Roman" w:eastAsia="宋体" w:cs="Times New Roman"/>
          <w:sz w:val="18"/>
          <w:szCs w:val="18"/>
        </w:rPr>
      </w:pPr>
    </w:p>
    <w:p>
      <w:pPr>
        <w:numPr>
          <w:ilvl w:val="0"/>
          <w:numId w:val="34"/>
        </w:numPr>
        <w:tabs>
          <w:tab w:val="left" w:pos="6020"/>
        </w:tabs>
        <w:spacing w:line="360" w:lineRule="auto"/>
        <w:ind w:left="1072" w:leftChars="332" w:hanging="375" w:hangingChars="179"/>
        <w:rPr>
          <w:rFonts w:hint="eastAsia" w:cs="Times New Roman" w:asciiTheme="minorEastAsia" w:hAnsiTheme="minorEastAsia"/>
          <w:sz w:val="18"/>
          <w:szCs w:val="18"/>
        </w:rPr>
        <w:sectPr>
          <w:pgSz w:w="11906" w:h="16838"/>
          <w:pgMar w:top="1440" w:right="1803" w:bottom="1440" w:left="1803" w:header="851" w:footer="851" w:gutter="0"/>
          <w:cols w:space="720" w:num="1"/>
        </w:sectPr>
      </w:pPr>
      <w:r>
        <w:rPr>
          <w:rFonts w:hint="eastAsia" w:cs="宋体" w:asciiTheme="minorEastAsia" w:hAnsiTheme="minorEastAsia"/>
        </w:rPr>
        <w:t>将试件的混凝土抗压强度换算值和混凝土抗压强度实测值代入式（</w:t>
      </w:r>
      <w:r>
        <w:rPr>
          <w:rFonts w:cs="Times New Roman" w:asciiTheme="minorEastAsia" w:hAnsiTheme="minorEastAsia"/>
        </w:rPr>
        <w:t>C.0.6-2</w:t>
      </w:r>
      <w:r>
        <w:rPr>
          <w:rFonts w:hint="eastAsia" w:cs="宋体" w:asciiTheme="minorEastAsia" w:hAnsiTheme="minorEastAsia"/>
        </w:rPr>
        <w:t>）~式（</w:t>
      </w:r>
      <w:r>
        <w:rPr>
          <w:rFonts w:cs="Times New Roman" w:asciiTheme="minorEastAsia" w:hAnsiTheme="minorEastAsia"/>
        </w:rPr>
        <w:t>C.0.6-5</w:t>
      </w:r>
      <w:r>
        <w:rPr>
          <w:rFonts w:hint="eastAsia" w:cs="宋体" w:asciiTheme="minorEastAsia" w:hAnsiTheme="minorEastAsia"/>
        </w:rPr>
        <w:t>）进行计算，若所得平均相对误差（</w:t>
      </w:r>
      <w:r>
        <w:rPr>
          <w:rFonts w:cs="Times New Roman" w:asciiTheme="minorEastAsia" w:hAnsiTheme="minorEastAsia"/>
          <w:i/>
        </w:rPr>
        <w:t>δ</w:t>
      </w:r>
      <w:r>
        <w:rPr>
          <w:rFonts w:hint="eastAsia" w:cs="宋体" w:asciiTheme="minorEastAsia" w:hAnsiTheme="minorEastAsia"/>
        </w:rPr>
        <w:t>）不大于</w:t>
      </w:r>
      <w:r>
        <w:rPr>
          <w:rFonts w:cs="宋体" w:asciiTheme="minorEastAsia" w:hAnsiTheme="minorEastAsia"/>
        </w:rPr>
        <w:t>12%</w:t>
      </w:r>
      <w:r>
        <w:rPr>
          <w:rFonts w:hint="eastAsia" w:cs="宋体" w:asciiTheme="minorEastAsia" w:hAnsiTheme="minorEastAsia"/>
        </w:rPr>
        <w:t>，且相对标准差（</w:t>
      </w:r>
      <m:oMath>
        <m:sSub>
          <m:sSubPr>
            <m:ctrlPr>
              <w:rPr>
                <w:rFonts w:ascii="Cambria Math" w:hAnsi="Cambria Math" w:cs="Times New Roman"/>
                <w:i/>
                <w:kern w:val="0"/>
                <w:szCs w:val="21"/>
              </w:rPr>
            </m:ctrlPr>
          </m:sSubPr>
          <m:e>
            <m:r>
              <m:rPr/>
              <w:rPr>
                <w:rFonts w:hint="eastAsia" w:ascii="Cambria Math" w:hAnsi="Cambria Math" w:cs="Times New Roman"/>
                <w:kern w:val="0"/>
                <w:szCs w:val="21"/>
              </w:rPr>
              <m:t>e</m:t>
            </m:r>
            <m:ctrlPr>
              <w:rPr>
                <w:rFonts w:ascii="Cambria Math" w:hAnsi="Cambria Math" w:cs="Times New Roman"/>
                <w:i/>
                <w:kern w:val="0"/>
                <w:szCs w:val="21"/>
              </w:rPr>
            </m:ctrlPr>
          </m:e>
          <m:sub>
            <m:r>
              <m:rPr/>
              <w:rPr>
                <w:rFonts w:hint="eastAsia" w:ascii="Cambria Math" w:hAnsi="Cambria Math" w:cs="Times New Roman"/>
                <w:kern w:val="0"/>
                <w:szCs w:val="21"/>
              </w:rPr>
              <m:t>r</m:t>
            </m:r>
            <m:ctrlPr>
              <w:rPr>
                <w:rFonts w:ascii="Cambria Math" w:hAnsi="Cambria Math" w:cs="Times New Roman"/>
                <w:i/>
                <w:kern w:val="0"/>
                <w:szCs w:val="21"/>
              </w:rPr>
            </m:ctrlPr>
          </m:sub>
        </m:sSub>
      </m:oMath>
      <w:r>
        <w:rPr>
          <w:rFonts w:hint="eastAsia" w:cs="宋体" w:asciiTheme="minorEastAsia" w:hAnsiTheme="minorEastAsia"/>
        </w:rPr>
        <w:t>）不大于15%，则可使用本规程规定的全国测强曲线。否则，应另行建立专用测强曲线或地区测强曲线。</w:t>
      </w:r>
    </w:p>
    <w:p>
      <w:pPr>
        <w:tabs>
          <w:tab w:val="left" w:pos="6020"/>
        </w:tabs>
        <w:rPr>
          <w:rFonts w:hint="eastAsia" w:ascii="宋体" w:hAnsi="宋体" w:eastAsia="宋体" w:cs="宋体"/>
        </w:rPr>
      </w:pPr>
    </w:p>
    <w:p>
      <w:pPr>
        <w:tabs>
          <w:tab w:val="left" w:pos="6020"/>
        </w:tabs>
        <w:spacing w:line="360" w:lineRule="auto"/>
        <w:ind w:firstLine="703" w:firstLineChars="335"/>
        <w:rPr>
          <w:rFonts w:hint="eastAsia" w:ascii="宋体" w:hAnsi="宋体" w:eastAsia="宋体" w:cs="宋体"/>
        </w:rPr>
      </w:pPr>
    </w:p>
    <w:tbl>
      <w:tblPr>
        <w:tblStyle w:val="20"/>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810"/>
        <w:gridCol w:w="4683"/>
        <w:gridCol w:w="20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4" w:hRule="atLeast"/>
        </w:trPr>
        <w:tc>
          <w:tcPr>
            <w:tcW w:w="1062" w:type="pct"/>
            <w:vAlign w:val="center"/>
          </w:tcPr>
          <w:p>
            <w:pPr>
              <w:spacing w:line="360" w:lineRule="auto"/>
              <w:jc w:val="center"/>
              <w:rPr>
                <w:rFonts w:hint="eastAsia" w:ascii="宋体" w:hAnsi="宋体" w:eastAsia="宋体" w:cs="宋体"/>
              </w:rPr>
            </w:pPr>
          </w:p>
        </w:tc>
        <w:tc>
          <w:tcPr>
            <w:tcW w:w="2747" w:type="pct"/>
            <w:vAlign w:val="center"/>
          </w:tcPr>
          <w:p>
            <w:pPr>
              <w:spacing w:line="360" w:lineRule="auto"/>
              <w:jc w:val="center"/>
              <w:rPr>
                <w:rFonts w:hint="eastAsia" w:ascii="宋体" w:hAnsi="宋体" w:eastAsia="宋体" w:cs="宋体"/>
                <w:kern w:val="0"/>
                <w:szCs w:val="21"/>
              </w:rPr>
            </w:pPr>
            <m:oMathPara>
              <m:oMath>
                <m:r>
                  <m:rPr/>
                  <w:rPr>
                    <w:rFonts w:ascii="Cambria Math" w:hAnsi="Cambria Math" w:cs="Times New Roman"/>
                    <w:kern w:val="0"/>
                    <w:szCs w:val="21"/>
                  </w:rPr>
                  <m:t>v=</m:t>
                </m:r>
                <m:f>
                  <m:fPr>
                    <m:ctrlPr>
                      <w:rPr>
                        <w:rFonts w:ascii="Cambria Math" w:hAnsi="Cambria Math" w:cs="Times New Roman"/>
                        <w:i/>
                        <w:kern w:val="0"/>
                        <w:szCs w:val="21"/>
                      </w:rPr>
                    </m:ctrlPr>
                  </m:fPr>
                  <m:num>
                    <m:r>
                      <m:rPr/>
                      <w:rPr>
                        <w:rFonts w:ascii="Cambria Math" w:hAnsi="Cambria Math" w:cs="Times New Roman"/>
                        <w:kern w:val="0"/>
                        <w:szCs w:val="21"/>
                      </w:rPr>
                      <m:t>1</m:t>
                    </m:r>
                    <m:ctrlPr>
                      <w:rPr>
                        <w:rFonts w:ascii="Cambria Math" w:hAnsi="Cambria Math" w:cs="Times New Roman"/>
                        <w:i/>
                        <w:kern w:val="0"/>
                        <w:szCs w:val="21"/>
                      </w:rPr>
                    </m:ctrlPr>
                  </m:num>
                  <m:den>
                    <m:r>
                      <m:rPr/>
                      <w:rPr>
                        <w:rFonts w:ascii="Cambria Math" w:hAnsi="Cambria Math" w:cs="Times New Roman"/>
                        <w:kern w:val="0"/>
                        <w:szCs w:val="21"/>
                      </w:rPr>
                      <m:t>3</m:t>
                    </m:r>
                    <m:ctrlPr>
                      <w:rPr>
                        <w:rFonts w:ascii="Cambria Math" w:hAnsi="Cambria Math" w:cs="Times New Roman"/>
                        <w:i/>
                        <w:kern w:val="0"/>
                        <w:szCs w:val="21"/>
                      </w:rPr>
                    </m:ctrlPr>
                  </m:den>
                </m:f>
                <m:nary>
                  <m:naryPr>
                    <m:chr m:val="∑"/>
                    <m:limLoc m:val="undOvr"/>
                    <m:ctrlPr>
                      <w:rPr>
                        <w:rFonts w:ascii="Cambria Math" w:hAnsi="Cambria Math" w:cs="Times New Roman"/>
                        <w:i/>
                        <w:kern w:val="0"/>
                        <w:szCs w:val="21"/>
                      </w:rPr>
                    </m:ctrlPr>
                  </m:naryPr>
                  <m:sub>
                    <m:r>
                      <m:rPr/>
                      <w:rPr>
                        <w:rFonts w:ascii="Cambria Math" w:hAnsi="Cambria Math" w:cs="Times New Roman"/>
                        <w:kern w:val="0"/>
                        <w:szCs w:val="21"/>
                      </w:rPr>
                      <m:t>i=1</m:t>
                    </m:r>
                    <m:ctrlPr>
                      <w:rPr>
                        <w:rFonts w:ascii="Cambria Math" w:hAnsi="Cambria Math" w:cs="Times New Roman"/>
                        <w:i/>
                        <w:kern w:val="0"/>
                        <w:szCs w:val="21"/>
                      </w:rPr>
                    </m:ctrlPr>
                  </m:sub>
                  <m:sup>
                    <m:r>
                      <m:rPr/>
                      <w:rPr>
                        <w:rFonts w:ascii="Cambria Math" w:hAnsi="Cambria Math" w:cs="Times New Roman"/>
                        <w:kern w:val="0"/>
                        <w:szCs w:val="21"/>
                      </w:rPr>
                      <m:t>3</m:t>
                    </m:r>
                    <m:ctrlPr>
                      <w:rPr>
                        <w:rFonts w:ascii="Cambria Math" w:hAnsi="Cambria Math" w:cs="Times New Roman"/>
                        <w:i/>
                        <w:kern w:val="0"/>
                        <w:szCs w:val="21"/>
                      </w:rPr>
                    </m:ctrlPr>
                  </m:sup>
                  <m:e>
                    <m:f>
                      <m:fPr>
                        <m:ctrlPr>
                          <w:rPr>
                            <w:rFonts w:ascii="Cambria Math" w:hAnsi="Cambria Math" w:cs="Times New Roman"/>
                            <w:i/>
                            <w:kern w:val="0"/>
                            <w:szCs w:val="21"/>
                          </w:rPr>
                        </m:ctrlPr>
                      </m:fPr>
                      <m:num>
                        <m:sSub>
                          <m:sSubPr>
                            <m:ctrlPr>
                              <w:rPr>
                                <w:rFonts w:ascii="Cambria Math" w:hAnsi="Cambria Math" w:cs="Times New Roman"/>
                                <w:i/>
                                <w:kern w:val="0"/>
                                <w:szCs w:val="21"/>
                              </w:rPr>
                            </m:ctrlPr>
                          </m:sSubPr>
                          <m:e>
                            <m:r>
                              <m:rPr/>
                              <w:rPr>
                                <w:rFonts w:hint="eastAsia" w:ascii="Cambria Math" w:hAnsi="Cambria Math" w:cs="Times New Roman"/>
                                <w:kern w:val="0"/>
                                <w:szCs w:val="21"/>
                              </w:rPr>
                              <m:t>l</m:t>
                            </m:r>
                            <m:ctrlPr>
                              <w:rPr>
                                <w:rFonts w:ascii="Cambria Math" w:hAnsi="Cambria Math" w:cs="Times New Roman"/>
                                <w:i/>
                                <w:kern w:val="0"/>
                                <w:szCs w:val="21"/>
                              </w:rPr>
                            </m:ctrlPr>
                          </m:e>
                          <m:sub>
                            <m:r>
                              <m:rPr/>
                              <w:rPr>
                                <w:rFonts w:hint="eastAsia" w:ascii="Cambria Math" w:hAnsi="Cambria Math" w:cs="Times New Roman"/>
                                <w:kern w:val="0"/>
                                <w:szCs w:val="21"/>
                              </w:rPr>
                              <m:t>i</m:t>
                            </m:r>
                            <m:ctrlPr>
                              <w:rPr>
                                <w:rFonts w:ascii="Cambria Math" w:hAnsi="Cambria Math" w:cs="Times New Roman"/>
                                <w:i/>
                                <w:kern w:val="0"/>
                                <w:szCs w:val="21"/>
                              </w:rPr>
                            </m:ctrlPr>
                          </m:sub>
                        </m:sSub>
                        <m:ctrlPr>
                          <w:rPr>
                            <w:rFonts w:ascii="Cambria Math" w:hAnsi="Cambria Math" w:cs="Times New Roman"/>
                            <w:i/>
                            <w:kern w:val="0"/>
                            <w:szCs w:val="21"/>
                          </w:rPr>
                        </m:ctrlPr>
                      </m:num>
                      <m:den>
                        <m:sSub>
                          <m:sSubPr>
                            <m:ctrlPr>
                              <w:rPr>
                                <w:rFonts w:ascii="Cambria Math" w:hAnsi="Cambria Math" w:cs="Times New Roman"/>
                                <w:i/>
                                <w:kern w:val="0"/>
                                <w:szCs w:val="21"/>
                              </w:rPr>
                            </m:ctrlPr>
                          </m:sSubPr>
                          <m:e>
                            <m:r>
                              <m:rPr/>
                              <w:rPr>
                                <w:rFonts w:ascii="Cambria Math" w:hAnsi="Cambria Math" w:cs="Times New Roman"/>
                                <w:kern w:val="0"/>
                                <w:szCs w:val="21"/>
                              </w:rPr>
                              <m:t>t</m:t>
                            </m:r>
                            <m:ctrlPr>
                              <w:rPr>
                                <w:rFonts w:ascii="Cambria Math" w:hAnsi="Cambria Math" w:cs="Times New Roman"/>
                                <w:i/>
                                <w:kern w:val="0"/>
                                <w:szCs w:val="21"/>
                              </w:rPr>
                            </m:ctrlPr>
                          </m:e>
                          <m:sub>
                            <m:r>
                              <m:rPr/>
                              <w:rPr>
                                <w:rFonts w:hint="eastAsia" w:ascii="Cambria Math" w:hAnsi="Cambria Math" w:cs="Times New Roman"/>
                                <w:kern w:val="0"/>
                                <w:szCs w:val="21"/>
                              </w:rPr>
                              <m:t>i</m:t>
                            </m:r>
                            <m:ctrlPr>
                              <w:rPr>
                                <w:rFonts w:ascii="Cambria Math" w:hAnsi="Cambria Math" w:cs="Times New Roman"/>
                                <w:i/>
                                <w:kern w:val="0"/>
                                <w:szCs w:val="21"/>
                              </w:rPr>
                            </m:ctrlPr>
                          </m:sub>
                        </m:sSub>
                        <m:r>
                          <m:rPr/>
                          <w:rPr>
                            <w:rFonts w:ascii="Cambria Math" w:hAnsi="Cambria Math" w:cs="Times New Roman"/>
                            <w:kern w:val="0"/>
                            <w:szCs w:val="21"/>
                          </w:rPr>
                          <m:t>−</m:t>
                        </m:r>
                        <m:sSub>
                          <m:sSubPr>
                            <m:ctrlPr>
                              <w:rPr>
                                <w:rFonts w:ascii="Cambria Math" w:hAnsi="Cambria Math" w:cs="Times New Roman"/>
                                <w:i/>
                                <w:kern w:val="0"/>
                                <w:szCs w:val="21"/>
                              </w:rPr>
                            </m:ctrlPr>
                          </m:sSubPr>
                          <m:e>
                            <m:r>
                              <m:rPr/>
                              <w:rPr>
                                <w:rFonts w:ascii="Cambria Math" w:hAnsi="Cambria Math" w:cs="Times New Roman"/>
                                <w:kern w:val="0"/>
                                <w:szCs w:val="21"/>
                              </w:rPr>
                              <m:t>t</m:t>
                            </m:r>
                            <m:ctrlPr>
                              <w:rPr>
                                <w:rFonts w:ascii="Cambria Math" w:hAnsi="Cambria Math" w:cs="Times New Roman"/>
                                <w:i/>
                                <w:kern w:val="0"/>
                                <w:szCs w:val="21"/>
                              </w:rPr>
                            </m:ctrlPr>
                          </m:e>
                          <m:sub>
                            <m:r>
                              <m:rPr/>
                              <w:rPr>
                                <w:rFonts w:ascii="Cambria Math" w:hAnsi="Cambria Math" w:cs="Times New Roman"/>
                                <w:kern w:val="0"/>
                                <w:szCs w:val="21"/>
                              </w:rPr>
                              <m:t>0</m:t>
                            </m:r>
                            <m:ctrlPr>
                              <w:rPr>
                                <w:rFonts w:ascii="Cambria Math" w:hAnsi="Cambria Math" w:cs="Times New Roman"/>
                                <w:i/>
                                <w:kern w:val="0"/>
                                <w:szCs w:val="21"/>
                              </w:rPr>
                            </m:ctrlPr>
                          </m:sub>
                        </m:sSub>
                        <m:ctrlPr>
                          <w:rPr>
                            <w:rFonts w:ascii="Cambria Math" w:hAnsi="Cambria Math" w:cs="Times New Roman"/>
                            <w:i/>
                            <w:kern w:val="0"/>
                            <w:szCs w:val="21"/>
                          </w:rPr>
                        </m:ctrlPr>
                      </m:den>
                    </m:f>
                    <m:ctrlPr>
                      <w:rPr>
                        <w:rFonts w:ascii="Cambria Math" w:hAnsi="Cambria Math" w:cs="Times New Roman"/>
                        <w:i/>
                        <w:kern w:val="0"/>
                        <w:szCs w:val="21"/>
                      </w:rPr>
                    </m:ctrlPr>
                  </m:e>
                </m:nary>
              </m:oMath>
            </m:oMathPara>
          </w:p>
        </w:tc>
        <w:tc>
          <w:tcPr>
            <w:tcW w:w="1191" w:type="pct"/>
            <w:vAlign w:val="center"/>
          </w:tcPr>
          <w:p>
            <w:pPr>
              <w:spacing w:line="360" w:lineRule="auto"/>
              <w:jc w:val="right"/>
              <w:rPr>
                <w:rFonts w:ascii="Times New Roman" w:hAnsi="Times New Roman"/>
                <w:bCs/>
                <w:szCs w:val="20"/>
              </w:rPr>
            </w:pPr>
            <w:r>
              <w:rPr>
                <w:rFonts w:hint="eastAsia" w:ascii="Times New Roman" w:hAnsi="Times New Roman"/>
                <w:bCs/>
                <w:szCs w:val="20"/>
              </w:rPr>
              <w:t>（</w:t>
            </w:r>
            <w:r>
              <w:rPr>
                <w:rFonts w:ascii="黑体" w:hAnsi="黑体" w:eastAsia="黑体" w:cs="黑体"/>
              </w:rPr>
              <w:t>C</w:t>
            </w:r>
            <w:r>
              <w:rPr>
                <w:rFonts w:hint="eastAsia" w:ascii="黑体" w:hAnsi="黑体" w:eastAsia="黑体" w:cs="黑体"/>
              </w:rPr>
              <w:t>.0.</w:t>
            </w:r>
            <w:r>
              <w:rPr>
                <w:rFonts w:ascii="黑体" w:hAnsi="黑体" w:eastAsia="黑体" w:cs="黑体"/>
              </w:rPr>
              <w:t>6-2</w:t>
            </w:r>
            <w:r>
              <w:rPr>
                <w:rFonts w:hint="eastAsia" w:ascii="Times New Roman" w:hAnsi="Times New Roman"/>
                <w:bCs/>
                <w:szCs w:val="20"/>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4" w:hRule="atLeast"/>
        </w:trPr>
        <w:tc>
          <w:tcPr>
            <w:tcW w:w="1062" w:type="pct"/>
            <w:vAlign w:val="center"/>
          </w:tcPr>
          <w:p>
            <w:pPr>
              <w:spacing w:line="360" w:lineRule="auto"/>
              <w:jc w:val="center"/>
              <w:rPr>
                <w:rFonts w:hint="eastAsia" w:ascii="宋体" w:hAnsi="宋体" w:eastAsia="宋体" w:cs="宋体"/>
              </w:rPr>
            </w:pPr>
          </w:p>
        </w:tc>
        <w:tc>
          <w:tcPr>
            <w:tcW w:w="2747" w:type="pct"/>
            <w:vAlign w:val="center"/>
          </w:tcPr>
          <w:p>
            <w:pPr>
              <w:spacing w:line="360" w:lineRule="auto"/>
              <w:jc w:val="center"/>
              <w:rPr>
                <w:rFonts w:hint="eastAsia" w:ascii="宋体" w:hAnsi="宋体" w:eastAsia="宋体" w:cs="宋体"/>
                <w:kern w:val="0"/>
                <w:szCs w:val="21"/>
              </w:rPr>
            </w:pPr>
            <m:oMathPara>
              <m:oMath>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r>
                  <m:rPr/>
                  <w:rPr>
                    <w:rFonts w:ascii="Cambria Math" w:hAnsi="Cambria Math" w:cs="Times New Roman"/>
                    <w:kern w:val="0"/>
                    <w:szCs w:val="21"/>
                  </w:rPr>
                  <m:t>=a</m:t>
                </m:r>
                <m:sSup>
                  <m:sSupPr>
                    <m:ctrlPr>
                      <w:rPr>
                        <w:rFonts w:ascii="Cambria Math" w:hAnsi="Cambria Math" w:cs="Times New Roman"/>
                        <w:i/>
                        <w:kern w:val="0"/>
                        <w:szCs w:val="21"/>
                      </w:rPr>
                    </m:ctrlPr>
                  </m:sSupPr>
                  <m:e>
                    <m:r>
                      <m:rPr/>
                      <w:rPr>
                        <w:rFonts w:ascii="Cambria Math" w:hAnsi="Cambria Math" w:cs="Times New Roman"/>
                        <w:kern w:val="0"/>
                        <w:szCs w:val="21"/>
                      </w:rPr>
                      <m:t>v</m:t>
                    </m:r>
                    <m:ctrlPr>
                      <w:rPr>
                        <w:rFonts w:ascii="Cambria Math" w:hAnsi="Cambria Math" w:cs="Times New Roman"/>
                        <w:i/>
                        <w:kern w:val="0"/>
                        <w:szCs w:val="21"/>
                      </w:rPr>
                    </m:ctrlPr>
                  </m:e>
                  <m:sup>
                    <m:r>
                      <m:rPr/>
                      <w:rPr>
                        <w:rFonts w:ascii="Cambria Math" w:hAnsi="Cambria Math" w:cs="Times New Roman"/>
                        <w:kern w:val="0"/>
                        <w:szCs w:val="21"/>
                      </w:rPr>
                      <m:t>b</m:t>
                    </m:r>
                    <m:ctrlPr>
                      <w:rPr>
                        <w:rFonts w:ascii="Cambria Math" w:hAnsi="Cambria Math" w:cs="Times New Roman"/>
                        <w:i/>
                        <w:kern w:val="0"/>
                        <w:szCs w:val="21"/>
                      </w:rPr>
                    </m:ctrlPr>
                  </m:sup>
                </m:sSup>
                <m:sSup>
                  <m:sSupPr>
                    <m:ctrlPr>
                      <w:rPr>
                        <w:rFonts w:ascii="Cambria Math" w:hAnsi="Cambria Math" w:cs="Times New Roman"/>
                        <w:i/>
                        <w:kern w:val="0"/>
                        <w:szCs w:val="21"/>
                      </w:rPr>
                    </m:ctrlPr>
                  </m:sSupPr>
                  <m:e>
                    <m:r>
                      <m:rPr/>
                      <w:rPr>
                        <w:rFonts w:ascii="Cambria Math" w:hAnsi="Cambria Math" w:cs="Times New Roman"/>
                        <w:kern w:val="0"/>
                        <w:szCs w:val="21"/>
                      </w:rPr>
                      <m:t>R</m:t>
                    </m:r>
                    <m:ctrlPr>
                      <w:rPr>
                        <w:rFonts w:ascii="Cambria Math" w:hAnsi="Cambria Math" w:cs="Times New Roman"/>
                        <w:i/>
                        <w:kern w:val="0"/>
                        <w:szCs w:val="21"/>
                      </w:rPr>
                    </m:ctrlPr>
                  </m:e>
                  <m:sup>
                    <m:r>
                      <m:rPr/>
                      <w:rPr>
                        <w:rFonts w:ascii="Cambria Math" w:hAnsi="Cambria Math" w:cs="Times New Roman"/>
                        <w:kern w:val="0"/>
                        <w:szCs w:val="21"/>
                      </w:rPr>
                      <m:t>c</m:t>
                    </m:r>
                    <m:ctrlPr>
                      <w:rPr>
                        <w:rFonts w:ascii="Cambria Math" w:hAnsi="Cambria Math" w:cs="Times New Roman"/>
                        <w:i/>
                        <w:kern w:val="0"/>
                        <w:szCs w:val="21"/>
                      </w:rPr>
                    </m:ctrlPr>
                  </m:sup>
                </m:sSup>
              </m:oMath>
            </m:oMathPara>
          </w:p>
        </w:tc>
        <w:tc>
          <w:tcPr>
            <w:tcW w:w="1191" w:type="pct"/>
            <w:vAlign w:val="center"/>
          </w:tcPr>
          <w:p>
            <w:pPr>
              <w:spacing w:line="360" w:lineRule="auto"/>
              <w:jc w:val="right"/>
              <w:rPr>
                <w:rFonts w:ascii="Times New Roman" w:hAnsi="Times New Roman"/>
                <w:bCs/>
                <w:szCs w:val="20"/>
              </w:rPr>
            </w:pPr>
            <w:r>
              <w:rPr>
                <w:rFonts w:hint="eastAsia" w:ascii="Times New Roman" w:hAnsi="Times New Roman"/>
                <w:bCs/>
                <w:szCs w:val="20"/>
              </w:rPr>
              <w:t>（</w:t>
            </w:r>
            <w:r>
              <w:rPr>
                <w:rFonts w:ascii="黑体" w:hAnsi="黑体" w:eastAsia="黑体" w:cs="黑体"/>
              </w:rPr>
              <w:t>C</w:t>
            </w:r>
            <w:r>
              <w:rPr>
                <w:rFonts w:hint="eastAsia" w:ascii="黑体" w:hAnsi="黑体" w:eastAsia="黑体" w:cs="黑体"/>
              </w:rPr>
              <w:t>.0.</w:t>
            </w:r>
            <w:r>
              <w:rPr>
                <w:rFonts w:ascii="黑体" w:hAnsi="黑体" w:eastAsia="黑体" w:cs="黑体"/>
              </w:rPr>
              <w:t>6-3</w:t>
            </w:r>
            <w:r>
              <w:rPr>
                <w:rFonts w:hint="eastAsia" w:ascii="Times New Roman" w:hAnsi="Times New Roman"/>
                <w:bCs/>
                <w:szCs w:val="20"/>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4" w:hRule="atLeast"/>
        </w:trPr>
        <w:tc>
          <w:tcPr>
            <w:tcW w:w="1062" w:type="pct"/>
            <w:vAlign w:val="center"/>
          </w:tcPr>
          <w:p>
            <w:pPr>
              <w:spacing w:line="360" w:lineRule="auto"/>
              <w:jc w:val="center"/>
              <w:rPr>
                <w:rFonts w:hint="eastAsia" w:ascii="宋体" w:hAnsi="宋体" w:eastAsia="宋体" w:cs="宋体"/>
              </w:rPr>
            </w:pPr>
          </w:p>
        </w:tc>
        <w:tc>
          <w:tcPr>
            <w:tcW w:w="2747" w:type="pct"/>
            <w:vAlign w:val="center"/>
          </w:tcPr>
          <w:p>
            <w:pPr>
              <w:spacing w:line="360" w:lineRule="auto"/>
              <w:jc w:val="center"/>
              <w:rPr>
                <w:rFonts w:hint="eastAsia" w:ascii="宋体" w:hAnsi="宋体" w:eastAsia="宋体" w:cs="宋体"/>
              </w:rPr>
            </w:pPr>
            <m:oMathPara>
              <m:oMath>
                <m:r>
                  <m:rPr/>
                  <w:rPr>
                    <w:rFonts w:hint="eastAsia" w:ascii="Cambria Math" w:hAnsi="Cambria Math" w:cs="Times New Roman"/>
                    <w:kern w:val="0"/>
                    <w:szCs w:val="21"/>
                  </w:rPr>
                  <m:t>δ</m:t>
                </m:r>
                <m:r>
                  <m:rPr/>
                  <w:rPr>
                    <w:rFonts w:ascii="Cambria Math" w:hAnsi="Cambria Math" w:cs="Times New Roman"/>
                    <w:kern w:val="0"/>
                    <w:szCs w:val="21"/>
                  </w:rPr>
                  <m:t>=</m:t>
                </m:r>
                <m:f>
                  <m:fPr>
                    <m:ctrlPr>
                      <w:rPr>
                        <w:rFonts w:ascii="Cambria Math" w:hAnsi="Cambria Math" w:cs="Times New Roman"/>
                        <w:i/>
                        <w:kern w:val="0"/>
                        <w:szCs w:val="21"/>
                      </w:rPr>
                    </m:ctrlPr>
                  </m:fPr>
                  <m:num>
                    <m:r>
                      <m:rPr/>
                      <w:rPr>
                        <w:rFonts w:ascii="Cambria Math" w:hAnsi="Cambria Math" w:cs="Times New Roman"/>
                        <w:kern w:val="0"/>
                        <w:szCs w:val="21"/>
                      </w:rPr>
                      <m:t>1</m:t>
                    </m:r>
                    <m:ctrlPr>
                      <w:rPr>
                        <w:rFonts w:ascii="Cambria Math" w:hAnsi="Cambria Math" w:cs="Times New Roman"/>
                        <w:i/>
                        <w:kern w:val="0"/>
                        <w:szCs w:val="21"/>
                      </w:rPr>
                    </m:ctrlPr>
                  </m:num>
                  <m:den>
                    <m:r>
                      <m:rPr/>
                      <w:rPr>
                        <w:rFonts w:ascii="Cambria Math" w:hAnsi="Cambria Math" w:cs="Times New Roman"/>
                        <w:kern w:val="0"/>
                        <w:szCs w:val="21"/>
                      </w:rPr>
                      <m:t>n</m:t>
                    </m:r>
                    <m:ctrlPr>
                      <w:rPr>
                        <w:rFonts w:ascii="Cambria Math" w:hAnsi="Cambria Math" w:cs="Times New Roman"/>
                        <w:i/>
                        <w:kern w:val="0"/>
                        <w:szCs w:val="21"/>
                      </w:rPr>
                    </m:ctrlPr>
                  </m:den>
                </m:f>
                <m:nary>
                  <m:naryPr>
                    <m:chr m:val="∑"/>
                    <m:limLoc m:val="undOvr"/>
                    <m:ctrlPr>
                      <w:rPr>
                        <w:rFonts w:ascii="Cambria Math" w:hAnsi="Cambria Math" w:cs="Times New Roman"/>
                        <w:i/>
                        <w:kern w:val="0"/>
                        <w:szCs w:val="21"/>
                      </w:rPr>
                    </m:ctrlPr>
                  </m:naryPr>
                  <m:sub>
                    <m:r>
                      <m:rPr/>
                      <w:rPr>
                        <w:rFonts w:ascii="Cambria Math" w:hAnsi="Cambria Math" w:cs="Times New Roman"/>
                        <w:kern w:val="0"/>
                        <w:szCs w:val="21"/>
                      </w:rPr>
                      <m:t>i=1</m:t>
                    </m:r>
                    <m:ctrlPr>
                      <w:rPr>
                        <w:rFonts w:ascii="Cambria Math" w:hAnsi="Cambria Math" w:cs="Times New Roman"/>
                        <w:i/>
                        <w:kern w:val="0"/>
                        <w:szCs w:val="21"/>
                      </w:rPr>
                    </m:ctrlPr>
                  </m:sub>
                  <m:sup>
                    <m:r>
                      <m:rPr/>
                      <w:rPr>
                        <w:rFonts w:ascii="Cambria Math" w:hAnsi="Cambria Math" w:cs="Times New Roman"/>
                        <w:kern w:val="0"/>
                        <w:szCs w:val="21"/>
                      </w:rPr>
                      <m:t>n</m:t>
                    </m:r>
                    <m:ctrlPr>
                      <w:rPr>
                        <w:rFonts w:ascii="Cambria Math" w:hAnsi="Cambria Math" w:cs="Times New Roman"/>
                        <w:i/>
                        <w:kern w:val="0"/>
                        <w:szCs w:val="21"/>
                      </w:rPr>
                    </m:ctrlPr>
                  </m:sup>
                  <m:e>
                    <m:d>
                      <m:dPr>
                        <m:begChr m:val="|"/>
                        <m:endChr m:val="|"/>
                        <m:ctrlPr>
                          <w:rPr>
                            <w:rFonts w:ascii="Cambria Math" w:hAnsi="Cambria Math" w:cs="Times New Roman"/>
                            <w:i/>
                            <w:kern w:val="0"/>
                            <w:szCs w:val="21"/>
                          </w:rPr>
                        </m:ctrlPr>
                      </m:dPr>
                      <m:e>
                        <m:f>
                          <m:fPr>
                            <m:ctrlPr>
                              <w:rPr>
                                <w:rFonts w:ascii="Cambria Math" w:hAnsi="Cambria Math" w:cs="Times New Roman"/>
                                <w:i/>
                                <w:kern w:val="0"/>
                                <w:szCs w:val="21"/>
                              </w:rPr>
                            </m:ctrlPr>
                          </m:fPr>
                          <m:num>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cu,i</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ctrlPr>
                              <w:rPr>
                                <w:rFonts w:ascii="Cambria Math" w:hAnsi="Cambria Math" w:cs="Times New Roman"/>
                                <w:i/>
                                <w:kern w:val="0"/>
                                <w:szCs w:val="21"/>
                              </w:rPr>
                            </m:ctrlPr>
                          </m:num>
                          <m:den>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cu,i</m:t>
                                </m:r>
                                <m:ctrlPr>
                                  <w:rPr>
                                    <w:rFonts w:ascii="Cambria Math" w:hAnsi="Cambria Math" w:cs="Times New Roman"/>
                                    <w:i/>
                                    <w:kern w:val="0"/>
                                    <w:szCs w:val="21"/>
                                  </w:rPr>
                                </m:ctrlPr>
                              </m:sub>
                              <m:sup>
                                <m:r>
                                  <m:rPr/>
                                  <w:rPr>
                                    <w:rFonts w:ascii="Cambria Math" w:hAnsi="Cambria Math" w:cs="Times New Roman"/>
                                    <w:kern w:val="0"/>
                                    <w:szCs w:val="21"/>
                                  </w:rPr>
                                  <m:t>0</m:t>
                                </m:r>
                                <m:ctrlPr>
                                  <w:rPr>
                                    <w:rFonts w:ascii="Cambria Math" w:hAnsi="Cambria Math" w:cs="Times New Roman"/>
                                    <w:i/>
                                    <w:kern w:val="0"/>
                                    <w:szCs w:val="21"/>
                                  </w:rPr>
                                </m:ctrlPr>
                              </m:sup>
                            </m:sSubSup>
                            <m:ctrlPr>
                              <w:rPr>
                                <w:rFonts w:ascii="Cambria Math" w:hAnsi="Cambria Math" w:cs="Times New Roman"/>
                                <w:i/>
                                <w:kern w:val="0"/>
                                <w:szCs w:val="21"/>
                              </w:rPr>
                            </m:ctrlPr>
                          </m:den>
                        </m:f>
                        <m:r>
                          <m:rPr/>
                          <w:rPr>
                            <w:rFonts w:ascii="Cambria Math" w:hAnsi="Cambria Math" w:cs="Times New Roman"/>
                            <w:kern w:val="0"/>
                            <w:szCs w:val="21"/>
                          </w:rPr>
                          <m:t>−1</m:t>
                        </m:r>
                        <m:ctrlPr>
                          <w:rPr>
                            <w:rFonts w:ascii="Cambria Math" w:hAnsi="Cambria Math" w:cs="Times New Roman"/>
                            <w:i/>
                            <w:kern w:val="0"/>
                            <w:szCs w:val="21"/>
                          </w:rPr>
                        </m:ctrlPr>
                      </m:e>
                    </m:d>
                    <m:ctrlPr>
                      <w:rPr>
                        <w:rFonts w:ascii="Cambria Math" w:hAnsi="Cambria Math" w:cs="Times New Roman"/>
                        <w:i/>
                        <w:kern w:val="0"/>
                        <w:szCs w:val="21"/>
                      </w:rPr>
                    </m:ctrlPr>
                  </m:e>
                </m:nary>
                <m:r>
                  <m:rPr/>
                  <w:rPr>
                    <w:rFonts w:hint="eastAsia" w:ascii="Cambria Math" w:hAnsi="Cambria Math" w:cs="Times New Roman"/>
                    <w:kern w:val="0"/>
                    <w:szCs w:val="21"/>
                  </w:rPr>
                  <m:t>×</m:t>
                </m:r>
                <m:r>
                  <m:rPr/>
                  <w:rPr>
                    <w:rFonts w:ascii="Cambria Math" w:hAnsi="Cambria Math" w:cs="Times New Roman"/>
                    <w:kern w:val="0"/>
                    <w:szCs w:val="21"/>
                  </w:rPr>
                  <m:t>100%</m:t>
                </m:r>
              </m:oMath>
            </m:oMathPara>
          </w:p>
        </w:tc>
        <w:tc>
          <w:tcPr>
            <w:tcW w:w="1191" w:type="pct"/>
            <w:vAlign w:val="center"/>
          </w:tcPr>
          <w:p>
            <w:pPr>
              <w:spacing w:line="360" w:lineRule="auto"/>
              <w:jc w:val="right"/>
              <w:rPr>
                <w:rFonts w:hint="eastAsia" w:ascii="宋体" w:hAnsi="宋体" w:eastAsia="宋体" w:cs="宋体"/>
              </w:rPr>
            </w:pPr>
            <w:r>
              <w:rPr>
                <w:rFonts w:hint="eastAsia" w:ascii="Times New Roman" w:hAnsi="Times New Roman"/>
                <w:bCs/>
                <w:szCs w:val="20"/>
              </w:rPr>
              <w:t>（</w:t>
            </w:r>
            <w:r>
              <w:rPr>
                <w:rFonts w:ascii="黑体" w:hAnsi="黑体" w:eastAsia="黑体" w:cs="黑体"/>
              </w:rPr>
              <w:t>C</w:t>
            </w:r>
            <w:r>
              <w:rPr>
                <w:rFonts w:hint="eastAsia" w:ascii="黑体" w:hAnsi="黑体" w:eastAsia="黑体" w:cs="黑体"/>
              </w:rPr>
              <w:t>.0.</w:t>
            </w:r>
            <w:r>
              <w:rPr>
                <w:rFonts w:ascii="黑体" w:hAnsi="黑体" w:eastAsia="黑体" w:cs="黑体"/>
              </w:rPr>
              <w:t>6-4</w:t>
            </w:r>
            <w:r>
              <w:rPr>
                <w:rFonts w:hint="eastAsia" w:ascii="Times New Roman" w:hAnsi="Times New Roman"/>
                <w:bCs/>
                <w:szCs w:val="20"/>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4" w:hRule="atLeast"/>
        </w:trPr>
        <w:tc>
          <w:tcPr>
            <w:tcW w:w="1062" w:type="pct"/>
            <w:vAlign w:val="center"/>
          </w:tcPr>
          <w:p>
            <w:pPr>
              <w:jc w:val="center"/>
              <w:rPr>
                <w:rFonts w:hint="eastAsia" w:ascii="宋体" w:hAnsi="宋体" w:eastAsia="宋体" w:cs="宋体"/>
              </w:rPr>
            </w:pPr>
          </w:p>
        </w:tc>
        <w:tc>
          <w:tcPr>
            <w:tcW w:w="2747" w:type="pct"/>
            <w:vAlign w:val="center"/>
          </w:tcPr>
          <w:p>
            <w:pPr>
              <w:jc w:val="center"/>
              <w:rPr>
                <w:rFonts w:hint="eastAsia" w:ascii="宋体" w:hAnsi="宋体" w:eastAsia="宋体" w:cs="宋体"/>
              </w:rPr>
            </w:pPr>
            <m:oMathPara>
              <m:oMath>
                <m:sSub>
                  <m:sSubPr>
                    <m:ctrlPr>
                      <w:rPr>
                        <w:rFonts w:ascii="Cambria Math" w:hAnsi="Cambria Math" w:cs="Times New Roman"/>
                        <w:i/>
                        <w:kern w:val="0"/>
                        <w:szCs w:val="21"/>
                      </w:rPr>
                    </m:ctrlPr>
                  </m:sSubPr>
                  <m:e>
                    <m:r>
                      <m:rPr/>
                      <w:rPr>
                        <w:rFonts w:hint="eastAsia" w:ascii="Cambria Math" w:hAnsi="Cambria Math" w:cs="Times New Roman"/>
                        <w:kern w:val="0"/>
                        <w:szCs w:val="21"/>
                      </w:rPr>
                      <m:t>e</m:t>
                    </m:r>
                    <m:ctrlPr>
                      <w:rPr>
                        <w:rFonts w:ascii="Cambria Math" w:hAnsi="Cambria Math" w:cs="Times New Roman"/>
                        <w:i/>
                        <w:kern w:val="0"/>
                        <w:szCs w:val="21"/>
                      </w:rPr>
                    </m:ctrlPr>
                  </m:e>
                  <m:sub>
                    <m:r>
                      <m:rPr/>
                      <w:rPr>
                        <w:rFonts w:hint="eastAsia" w:ascii="Cambria Math" w:hAnsi="Cambria Math" w:cs="Times New Roman"/>
                        <w:kern w:val="0"/>
                        <w:szCs w:val="21"/>
                      </w:rPr>
                      <m:t>r</m:t>
                    </m:r>
                    <m:ctrlPr>
                      <w:rPr>
                        <w:rFonts w:ascii="Cambria Math" w:hAnsi="Cambria Math" w:cs="Times New Roman"/>
                        <w:i/>
                        <w:kern w:val="0"/>
                        <w:szCs w:val="21"/>
                      </w:rPr>
                    </m:ctrlPr>
                  </m:sub>
                </m:sSub>
                <m:r>
                  <m:rPr/>
                  <w:rPr>
                    <w:rFonts w:ascii="Cambria Math" w:hAnsi="Cambria Math" w:cs="Times New Roman"/>
                    <w:kern w:val="0"/>
                    <w:szCs w:val="21"/>
                  </w:rPr>
                  <m:t>=</m:t>
                </m:r>
                <m:rad>
                  <m:radPr>
                    <m:degHide m:val="1"/>
                    <m:ctrlPr>
                      <w:rPr>
                        <w:rFonts w:ascii="Cambria Math" w:hAnsi="Cambria Math" w:cs="Times New Roman"/>
                        <w:i/>
                        <w:kern w:val="0"/>
                        <w:szCs w:val="21"/>
                      </w:rPr>
                    </m:ctrlPr>
                  </m:radPr>
                  <m:deg>
                    <m:ctrlPr>
                      <w:rPr>
                        <w:rFonts w:ascii="Cambria Math" w:hAnsi="Cambria Math" w:cs="Times New Roman"/>
                        <w:i/>
                        <w:kern w:val="0"/>
                        <w:szCs w:val="21"/>
                      </w:rPr>
                    </m:ctrlPr>
                  </m:deg>
                  <m:e>
                    <m:f>
                      <m:fPr>
                        <m:ctrlPr>
                          <w:rPr>
                            <w:rFonts w:ascii="Cambria Math" w:hAnsi="Cambria Math" w:cs="Times New Roman"/>
                            <w:i/>
                            <w:kern w:val="0"/>
                            <w:szCs w:val="21"/>
                          </w:rPr>
                        </m:ctrlPr>
                      </m:fPr>
                      <m:num>
                        <m:r>
                          <m:rPr/>
                          <w:rPr>
                            <w:rFonts w:ascii="Cambria Math" w:hAnsi="Cambria Math" w:cs="Times New Roman"/>
                            <w:kern w:val="0"/>
                            <w:szCs w:val="21"/>
                          </w:rPr>
                          <m:t>1</m:t>
                        </m:r>
                        <m:ctrlPr>
                          <w:rPr>
                            <w:rFonts w:ascii="Cambria Math" w:hAnsi="Cambria Math" w:cs="Times New Roman"/>
                            <w:i/>
                            <w:kern w:val="0"/>
                            <w:szCs w:val="21"/>
                          </w:rPr>
                        </m:ctrlPr>
                      </m:num>
                      <m:den>
                        <m:r>
                          <m:rPr/>
                          <w:rPr>
                            <w:rFonts w:ascii="Cambria Math" w:hAnsi="Cambria Math" w:cs="Times New Roman"/>
                            <w:kern w:val="0"/>
                            <w:szCs w:val="21"/>
                          </w:rPr>
                          <m:t>n−1</m:t>
                        </m:r>
                        <m:ctrlPr>
                          <w:rPr>
                            <w:rFonts w:ascii="Cambria Math" w:hAnsi="Cambria Math" w:cs="Times New Roman"/>
                            <w:i/>
                            <w:kern w:val="0"/>
                            <w:szCs w:val="21"/>
                          </w:rPr>
                        </m:ctrlPr>
                      </m:den>
                    </m:f>
                    <m:nary>
                      <m:naryPr>
                        <m:chr m:val="∑"/>
                        <m:limLoc m:val="undOvr"/>
                        <m:ctrlPr>
                          <w:rPr>
                            <w:rFonts w:ascii="Cambria Math" w:hAnsi="Cambria Math" w:cs="Times New Roman"/>
                            <w:i/>
                            <w:kern w:val="0"/>
                            <w:szCs w:val="21"/>
                          </w:rPr>
                        </m:ctrlPr>
                      </m:naryPr>
                      <m:sub>
                        <m:r>
                          <m:rPr/>
                          <w:rPr>
                            <w:rFonts w:ascii="Cambria Math" w:hAnsi="Cambria Math" w:cs="Times New Roman"/>
                            <w:kern w:val="0"/>
                            <w:szCs w:val="21"/>
                          </w:rPr>
                          <m:t>i=1</m:t>
                        </m:r>
                        <m:ctrlPr>
                          <w:rPr>
                            <w:rFonts w:ascii="Cambria Math" w:hAnsi="Cambria Math" w:cs="Times New Roman"/>
                            <w:i/>
                            <w:kern w:val="0"/>
                            <w:szCs w:val="21"/>
                          </w:rPr>
                        </m:ctrlPr>
                      </m:sub>
                      <m:sup>
                        <m:r>
                          <m:rPr/>
                          <w:rPr>
                            <w:rFonts w:ascii="Cambria Math" w:hAnsi="Cambria Math" w:cs="Times New Roman"/>
                            <w:kern w:val="0"/>
                            <w:szCs w:val="21"/>
                          </w:rPr>
                          <m:t>n</m:t>
                        </m:r>
                        <m:ctrlPr>
                          <w:rPr>
                            <w:rFonts w:ascii="Cambria Math" w:hAnsi="Cambria Math" w:cs="Times New Roman"/>
                            <w:i/>
                            <w:kern w:val="0"/>
                            <w:szCs w:val="21"/>
                          </w:rPr>
                        </m:ctrlPr>
                      </m:sup>
                      <m:e>
                        <m:sSup>
                          <m:sSupPr>
                            <m:ctrlPr>
                              <w:rPr>
                                <w:rFonts w:ascii="Cambria Math" w:hAnsi="Cambria Math" w:cs="Times New Roman"/>
                                <w:i/>
                                <w:kern w:val="0"/>
                                <w:szCs w:val="21"/>
                              </w:rPr>
                            </m:ctrlPr>
                          </m:sSupPr>
                          <m:e>
                            <m:d>
                              <m:dPr>
                                <m:ctrlPr>
                                  <w:rPr>
                                    <w:rFonts w:ascii="Cambria Math" w:hAnsi="Cambria Math" w:cs="Times New Roman"/>
                                    <w:i/>
                                    <w:kern w:val="0"/>
                                    <w:szCs w:val="21"/>
                                  </w:rPr>
                                </m:ctrlPr>
                              </m:dPr>
                              <m:e>
                                <m:f>
                                  <m:fPr>
                                    <m:ctrlPr>
                                      <w:rPr>
                                        <w:rFonts w:ascii="Cambria Math" w:hAnsi="Cambria Math" w:cs="Times New Roman"/>
                                        <w:i/>
                                        <w:kern w:val="0"/>
                                        <w:szCs w:val="21"/>
                                      </w:rPr>
                                    </m:ctrlPr>
                                  </m:fPr>
                                  <m:num>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cu,i</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ctrlPr>
                                      <w:rPr>
                                        <w:rFonts w:ascii="Cambria Math" w:hAnsi="Cambria Math" w:cs="Times New Roman"/>
                                        <w:i/>
                                        <w:kern w:val="0"/>
                                        <w:szCs w:val="21"/>
                                      </w:rPr>
                                    </m:ctrlPr>
                                  </m:num>
                                  <m:den>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cu,i</m:t>
                                        </m:r>
                                        <m:ctrlPr>
                                          <w:rPr>
                                            <w:rFonts w:ascii="Cambria Math" w:hAnsi="Cambria Math" w:cs="Times New Roman"/>
                                            <w:i/>
                                            <w:kern w:val="0"/>
                                            <w:szCs w:val="21"/>
                                          </w:rPr>
                                        </m:ctrlPr>
                                      </m:sub>
                                      <m:sup>
                                        <m:r>
                                          <m:rPr/>
                                          <w:rPr>
                                            <w:rFonts w:ascii="Cambria Math" w:hAnsi="Cambria Math" w:cs="Times New Roman"/>
                                            <w:kern w:val="0"/>
                                            <w:szCs w:val="21"/>
                                          </w:rPr>
                                          <m:t>0</m:t>
                                        </m:r>
                                        <m:ctrlPr>
                                          <w:rPr>
                                            <w:rFonts w:ascii="Cambria Math" w:hAnsi="Cambria Math" w:cs="Times New Roman"/>
                                            <w:i/>
                                            <w:kern w:val="0"/>
                                            <w:szCs w:val="21"/>
                                          </w:rPr>
                                        </m:ctrlPr>
                                      </m:sup>
                                    </m:sSubSup>
                                    <m:ctrlPr>
                                      <w:rPr>
                                        <w:rFonts w:ascii="Cambria Math" w:hAnsi="Cambria Math" w:cs="Times New Roman"/>
                                        <w:i/>
                                        <w:kern w:val="0"/>
                                        <w:szCs w:val="21"/>
                                      </w:rPr>
                                    </m:ctrlPr>
                                  </m:den>
                                </m:f>
                                <m:r>
                                  <m:rPr/>
                                  <w:rPr>
                                    <w:rFonts w:ascii="Cambria Math" w:hAnsi="Cambria Math" w:cs="Times New Roman"/>
                                    <w:kern w:val="0"/>
                                    <w:szCs w:val="21"/>
                                  </w:rPr>
                                  <m:t>−1</m:t>
                                </m:r>
                                <m:ctrlPr>
                                  <w:rPr>
                                    <w:rFonts w:ascii="Cambria Math" w:hAnsi="Cambria Math" w:cs="Times New Roman"/>
                                    <w:i/>
                                    <w:kern w:val="0"/>
                                    <w:szCs w:val="21"/>
                                  </w:rPr>
                                </m:ctrlPr>
                              </m:e>
                            </m:d>
                            <m:ctrlPr>
                              <w:rPr>
                                <w:rFonts w:ascii="Cambria Math" w:hAnsi="Cambria Math" w:cs="Times New Roman"/>
                                <w:i/>
                                <w:kern w:val="0"/>
                                <w:szCs w:val="21"/>
                              </w:rPr>
                            </m:ctrlPr>
                          </m:e>
                          <m:sup>
                            <m:r>
                              <m:rPr/>
                              <w:rPr>
                                <w:rFonts w:ascii="Cambria Math" w:hAnsi="Cambria Math" w:cs="Times New Roman"/>
                                <w:kern w:val="0"/>
                                <w:szCs w:val="21"/>
                              </w:rPr>
                              <m:t>2</m:t>
                            </m:r>
                            <m:ctrlPr>
                              <w:rPr>
                                <w:rFonts w:ascii="Cambria Math" w:hAnsi="Cambria Math" w:cs="Times New Roman"/>
                                <w:i/>
                                <w:kern w:val="0"/>
                                <w:szCs w:val="21"/>
                              </w:rPr>
                            </m:ctrlPr>
                          </m:sup>
                        </m:sSup>
                        <m:ctrlPr>
                          <w:rPr>
                            <w:rFonts w:ascii="Cambria Math" w:hAnsi="Cambria Math" w:cs="Times New Roman"/>
                            <w:i/>
                            <w:kern w:val="0"/>
                            <w:szCs w:val="21"/>
                          </w:rPr>
                        </m:ctrlPr>
                      </m:e>
                    </m:nary>
                    <m:ctrlPr>
                      <w:rPr>
                        <w:rFonts w:ascii="Cambria Math" w:hAnsi="Cambria Math" w:cs="Times New Roman"/>
                        <w:i/>
                        <w:kern w:val="0"/>
                        <w:szCs w:val="21"/>
                      </w:rPr>
                    </m:ctrlPr>
                  </m:e>
                </m:rad>
                <m:r>
                  <m:rPr/>
                  <w:rPr>
                    <w:rFonts w:hint="eastAsia" w:ascii="Cambria Math" w:hAnsi="Cambria Math" w:cs="Times New Roman"/>
                    <w:kern w:val="0"/>
                    <w:szCs w:val="21"/>
                  </w:rPr>
                  <m:t>×</m:t>
                </m:r>
                <m:r>
                  <m:rPr/>
                  <w:rPr>
                    <w:rFonts w:ascii="Cambria Math" w:hAnsi="Cambria Math" w:cs="Times New Roman"/>
                    <w:kern w:val="0"/>
                    <w:szCs w:val="21"/>
                  </w:rPr>
                  <m:t>100%</m:t>
                </m:r>
              </m:oMath>
            </m:oMathPara>
          </w:p>
        </w:tc>
        <w:tc>
          <w:tcPr>
            <w:tcW w:w="1191" w:type="pct"/>
            <w:vAlign w:val="center"/>
          </w:tcPr>
          <w:p>
            <w:pPr>
              <w:jc w:val="right"/>
              <w:rPr>
                <w:rFonts w:hint="eastAsia" w:ascii="宋体" w:hAnsi="宋体" w:eastAsia="宋体" w:cs="宋体"/>
              </w:rPr>
            </w:pPr>
            <w:r>
              <w:rPr>
                <w:rFonts w:hint="eastAsia" w:ascii="Times New Roman" w:hAnsi="Times New Roman"/>
                <w:bCs/>
                <w:szCs w:val="20"/>
              </w:rPr>
              <w:t>（</w:t>
            </w:r>
            <w:r>
              <w:rPr>
                <w:rFonts w:ascii="黑体" w:hAnsi="黑体" w:eastAsia="黑体" w:cs="黑体"/>
              </w:rPr>
              <w:t>C</w:t>
            </w:r>
            <w:r>
              <w:rPr>
                <w:rFonts w:hint="eastAsia" w:ascii="黑体" w:hAnsi="黑体" w:eastAsia="黑体" w:cs="黑体"/>
              </w:rPr>
              <w:t>.0.</w:t>
            </w:r>
            <w:r>
              <w:rPr>
                <w:rFonts w:ascii="黑体" w:hAnsi="黑体" w:eastAsia="黑体" w:cs="黑体"/>
              </w:rPr>
              <w:t>6-5</w:t>
            </w:r>
            <w:r>
              <w:rPr>
                <w:rFonts w:hint="eastAsia" w:ascii="Times New Roman" w:hAnsi="Times New Roman"/>
                <w:bCs/>
                <w:szCs w:val="20"/>
              </w:rPr>
              <w:t>）</w:t>
            </w:r>
          </w:p>
        </w:tc>
      </w:tr>
    </w:tbl>
    <w:p>
      <w:pPr>
        <w:tabs>
          <w:tab w:val="left" w:pos="6020"/>
        </w:tabs>
        <w:spacing w:line="360" w:lineRule="auto"/>
        <w:ind w:firstLine="1058" w:firstLineChars="504"/>
        <w:rPr>
          <w:rFonts w:ascii="Times New Roman" w:hAnsi="Times New Roman"/>
          <w:bCs/>
          <w:szCs w:val="20"/>
        </w:rPr>
      </w:pPr>
      <w:r>
        <w:rPr>
          <w:rFonts w:hint="eastAsia" w:ascii="Times New Roman" w:hAnsi="Times New Roman"/>
          <w:bCs/>
          <w:szCs w:val="20"/>
        </w:rPr>
        <w:t>式中：</w:t>
      </w:r>
      <m:oMath>
        <m:r>
          <m:rPr/>
          <w:rPr>
            <w:rFonts w:hint="eastAsia" w:ascii="Cambria Math" w:hAnsi="Cambria Math" w:cs="Times New Roman"/>
            <w:kern w:val="0"/>
            <w:szCs w:val="21"/>
          </w:rPr>
          <m:t>v</m:t>
        </m:r>
      </m:oMath>
      <w:r>
        <w:rPr>
          <w:rFonts w:hint="eastAsia" w:ascii="Times New Roman" w:hAnsi="Times New Roman"/>
          <w:bCs/>
          <w:szCs w:val="20"/>
        </w:rPr>
        <w:t>—— 试件混凝土中声速代表值（km/s），精确至0.01km/s；</w:t>
      </w:r>
    </w:p>
    <w:p>
      <w:pPr>
        <w:pStyle w:val="26"/>
        <w:tabs>
          <w:tab w:val="left" w:pos="0"/>
          <w:tab w:val="left" w:pos="712"/>
          <w:tab w:val="left" w:pos="990"/>
          <w:tab w:val="left" w:pos="6020"/>
        </w:tabs>
        <w:spacing w:line="360" w:lineRule="auto"/>
        <w:ind w:firstLine="1680" w:firstLineChars="800"/>
        <w:rPr>
          <w:rFonts w:ascii="Times New Roman" w:hAnsi="Times New Roman"/>
          <w:bCs/>
          <w:szCs w:val="20"/>
        </w:rPr>
      </w:pPr>
      <m:oMath>
        <m:sSub>
          <m:sSubPr>
            <m:ctrlPr>
              <w:rPr>
                <w:rFonts w:ascii="Cambria Math" w:hAnsi="Cambria Math" w:cs="Times New Roman"/>
                <w:i/>
                <w:kern w:val="0"/>
                <w:szCs w:val="21"/>
              </w:rPr>
            </m:ctrlPr>
          </m:sSubPr>
          <m:e>
            <m:r>
              <m:rPr/>
              <w:rPr>
                <w:rFonts w:hint="eastAsia" w:ascii="Cambria Math" w:hAnsi="Cambria Math" w:cs="Times New Roman"/>
                <w:kern w:val="0"/>
                <w:szCs w:val="21"/>
              </w:rPr>
              <m:t>l</m:t>
            </m:r>
            <m:ctrlPr>
              <w:rPr>
                <w:rFonts w:ascii="Cambria Math" w:hAnsi="Cambria Math" w:cs="Times New Roman"/>
                <w:i/>
                <w:kern w:val="0"/>
                <w:szCs w:val="21"/>
              </w:rPr>
            </m:ctrlPr>
          </m:e>
          <m:sub>
            <m:r>
              <m:rPr/>
              <w:rPr>
                <w:rFonts w:hint="eastAsia" w:ascii="Cambria Math" w:hAnsi="Cambria Math" w:cs="Times New Roman"/>
                <w:kern w:val="0"/>
                <w:szCs w:val="21"/>
              </w:rPr>
              <m:t>i</m:t>
            </m:r>
            <m:ctrlPr>
              <w:rPr>
                <w:rFonts w:ascii="Cambria Math" w:hAnsi="Cambria Math" w:cs="Times New Roman"/>
                <w:i/>
                <w:kern w:val="0"/>
                <w:szCs w:val="21"/>
              </w:rPr>
            </m:ctrlPr>
          </m:sub>
        </m:sSub>
      </m:oMath>
      <w:r>
        <w:rPr>
          <w:rFonts w:hint="eastAsia" w:ascii="Times New Roman" w:hAnsi="Times New Roman"/>
          <w:bCs/>
          <w:szCs w:val="20"/>
        </w:rPr>
        <w:t>—— 第i个测点超声测距（mm），精确至1mm；</w:t>
      </w:r>
    </w:p>
    <w:p>
      <w:pPr>
        <w:pStyle w:val="26"/>
        <w:tabs>
          <w:tab w:val="left" w:pos="0"/>
          <w:tab w:val="left" w:pos="712"/>
          <w:tab w:val="left" w:pos="990"/>
          <w:tab w:val="left" w:pos="6020"/>
        </w:tabs>
        <w:spacing w:line="360" w:lineRule="auto"/>
        <w:ind w:firstLine="1680" w:firstLineChars="800"/>
        <w:rPr>
          <w:rFonts w:ascii="Times New Roman" w:hAnsi="Times New Roman"/>
          <w:bCs/>
          <w:szCs w:val="20"/>
        </w:rPr>
      </w:pPr>
      <m:oMath>
        <m:sSub>
          <m:sSubPr>
            <m:ctrlPr>
              <w:rPr>
                <w:rFonts w:ascii="Cambria Math" w:hAnsi="Cambria Math" w:cs="Times New Roman"/>
                <w:i/>
                <w:kern w:val="0"/>
                <w:szCs w:val="21"/>
              </w:rPr>
            </m:ctrlPr>
          </m:sSubPr>
          <m:e>
            <m:r>
              <m:rPr/>
              <w:rPr>
                <w:rFonts w:ascii="Cambria Math" w:hAnsi="Cambria Math" w:cs="Times New Roman"/>
                <w:kern w:val="0"/>
                <w:szCs w:val="21"/>
              </w:rPr>
              <m:t>t</m:t>
            </m:r>
            <m:ctrlPr>
              <w:rPr>
                <w:rFonts w:ascii="Cambria Math" w:hAnsi="Cambria Math" w:cs="Times New Roman"/>
                <w:i/>
                <w:kern w:val="0"/>
                <w:szCs w:val="21"/>
              </w:rPr>
            </m:ctrlPr>
          </m:e>
          <m:sub>
            <m:r>
              <m:rPr/>
              <w:rPr>
                <w:rFonts w:hint="eastAsia" w:ascii="Cambria Math" w:hAnsi="Cambria Math" w:cs="Times New Roman"/>
                <w:kern w:val="0"/>
                <w:szCs w:val="21"/>
              </w:rPr>
              <m:t>i</m:t>
            </m:r>
            <m:ctrlPr>
              <w:rPr>
                <w:rFonts w:ascii="Cambria Math" w:hAnsi="Cambria Math" w:cs="Times New Roman"/>
                <w:i/>
                <w:kern w:val="0"/>
                <w:szCs w:val="21"/>
              </w:rPr>
            </m:ctrlPr>
          </m:sub>
        </m:sSub>
      </m:oMath>
      <w:r>
        <w:rPr>
          <w:rFonts w:ascii="Times New Roman" w:hAnsi="Times New Roman"/>
          <w:bCs/>
          <w:szCs w:val="20"/>
        </w:rPr>
        <w:t xml:space="preserve"> —— </w:t>
      </w:r>
      <w:r>
        <w:rPr>
          <w:rFonts w:hint="eastAsia" w:ascii="Times New Roman" w:hAnsi="Times New Roman"/>
          <w:bCs/>
          <w:szCs w:val="20"/>
        </w:rPr>
        <w:t>第</w:t>
      </w:r>
      <w:r>
        <w:rPr>
          <w:rFonts w:ascii="Times New Roman" w:hAnsi="Times New Roman"/>
          <w:bCs/>
          <w:szCs w:val="20"/>
        </w:rPr>
        <w:t>i</w:t>
      </w:r>
      <w:r>
        <w:rPr>
          <w:rFonts w:hint="eastAsia" w:ascii="Times New Roman" w:hAnsi="Times New Roman"/>
          <w:bCs/>
          <w:szCs w:val="20"/>
        </w:rPr>
        <w:t>个测点的声时读数（</w:t>
      </w:r>
      <w:r>
        <w:rPr>
          <w:rFonts w:ascii="Times New Roman" w:hAnsi="Times New Roman" w:cs="Times New Roman"/>
          <w:bCs/>
          <w:szCs w:val="20"/>
        </w:rPr>
        <w:t>μ</w:t>
      </w:r>
      <w:r>
        <w:rPr>
          <w:rFonts w:ascii="Times New Roman" w:hAnsi="Times New Roman"/>
          <w:bCs/>
          <w:szCs w:val="20"/>
        </w:rPr>
        <w:t>s</w:t>
      </w:r>
      <w:r>
        <w:rPr>
          <w:rFonts w:hint="eastAsia" w:ascii="Times New Roman" w:hAnsi="Times New Roman"/>
          <w:bCs/>
          <w:szCs w:val="20"/>
        </w:rPr>
        <w:t>），精确至</w:t>
      </w:r>
      <w:r>
        <w:rPr>
          <w:rFonts w:ascii="Times New Roman" w:hAnsi="Times New Roman"/>
          <w:bCs/>
          <w:szCs w:val="20"/>
        </w:rPr>
        <w:t>0.1</w:t>
      </w:r>
      <w:r>
        <w:rPr>
          <w:rFonts w:ascii="Times New Roman" w:hAnsi="Times New Roman" w:cs="Times New Roman"/>
          <w:bCs/>
          <w:szCs w:val="20"/>
        </w:rPr>
        <w:t>μ</w:t>
      </w:r>
      <w:r>
        <w:rPr>
          <w:rFonts w:ascii="Times New Roman" w:hAnsi="Times New Roman"/>
          <w:bCs/>
          <w:szCs w:val="20"/>
        </w:rPr>
        <w:t>s</w:t>
      </w:r>
      <w:r>
        <w:rPr>
          <w:rFonts w:hint="eastAsia" w:ascii="Times New Roman" w:hAnsi="Times New Roman"/>
          <w:bCs/>
          <w:szCs w:val="20"/>
        </w:rPr>
        <w:t>；</w:t>
      </w:r>
    </w:p>
    <w:p>
      <w:pPr>
        <w:pStyle w:val="26"/>
        <w:tabs>
          <w:tab w:val="left" w:pos="0"/>
          <w:tab w:val="left" w:pos="712"/>
          <w:tab w:val="left" w:pos="990"/>
          <w:tab w:val="left" w:pos="6020"/>
        </w:tabs>
        <w:spacing w:line="360" w:lineRule="auto"/>
        <w:ind w:firstLine="1680" w:firstLineChars="800"/>
        <w:rPr>
          <w:rFonts w:ascii="Times New Roman" w:hAnsi="Times New Roman"/>
          <w:bCs/>
          <w:szCs w:val="20"/>
        </w:rPr>
      </w:pPr>
      <m:oMath>
        <m:sSub>
          <m:sSubPr>
            <m:ctrlPr>
              <w:rPr>
                <w:rFonts w:ascii="Cambria Math" w:hAnsi="Cambria Math" w:cs="Times New Roman"/>
                <w:i/>
                <w:kern w:val="0"/>
                <w:szCs w:val="21"/>
              </w:rPr>
            </m:ctrlPr>
          </m:sSubPr>
          <m:e>
            <m:r>
              <m:rPr/>
              <w:rPr>
                <w:rFonts w:ascii="Cambria Math" w:hAnsi="Cambria Math" w:cs="Times New Roman"/>
                <w:kern w:val="0"/>
                <w:szCs w:val="21"/>
              </w:rPr>
              <m:t>t</m:t>
            </m:r>
            <m:ctrlPr>
              <w:rPr>
                <w:rFonts w:ascii="Cambria Math" w:hAnsi="Cambria Math" w:cs="Times New Roman"/>
                <w:i/>
                <w:kern w:val="0"/>
                <w:szCs w:val="21"/>
              </w:rPr>
            </m:ctrlPr>
          </m:e>
          <m:sub>
            <m:r>
              <m:rPr/>
              <w:rPr>
                <w:rFonts w:ascii="Cambria Math" w:hAnsi="Cambria Math" w:cs="Times New Roman"/>
                <w:kern w:val="0"/>
                <w:szCs w:val="21"/>
              </w:rPr>
              <m:t>0</m:t>
            </m:r>
            <m:ctrlPr>
              <w:rPr>
                <w:rFonts w:ascii="Cambria Math" w:hAnsi="Cambria Math" w:cs="Times New Roman"/>
                <w:i/>
                <w:kern w:val="0"/>
                <w:szCs w:val="21"/>
              </w:rPr>
            </m:ctrlPr>
          </m:sub>
        </m:sSub>
      </m:oMath>
      <w:r>
        <w:rPr>
          <w:rFonts w:ascii="Times New Roman" w:hAnsi="Times New Roman"/>
          <w:bCs/>
          <w:szCs w:val="20"/>
        </w:rPr>
        <w:t xml:space="preserve"> —— </w:t>
      </w:r>
      <w:r>
        <w:rPr>
          <w:rFonts w:hint="eastAsia" w:ascii="Times New Roman" w:hAnsi="Times New Roman"/>
          <w:bCs/>
          <w:szCs w:val="20"/>
        </w:rPr>
        <w:t>声时初读数（</w:t>
      </w:r>
      <w:r>
        <w:rPr>
          <w:rFonts w:ascii="Times New Roman" w:hAnsi="Times New Roman" w:cs="Times New Roman"/>
          <w:bCs/>
          <w:szCs w:val="20"/>
        </w:rPr>
        <w:t>μ</w:t>
      </w:r>
      <w:r>
        <w:rPr>
          <w:rFonts w:ascii="Times New Roman" w:hAnsi="Times New Roman"/>
          <w:bCs/>
          <w:szCs w:val="20"/>
        </w:rPr>
        <w:t>s</w:t>
      </w:r>
      <w:r>
        <w:rPr>
          <w:rFonts w:hint="eastAsia" w:ascii="Times New Roman" w:hAnsi="Times New Roman"/>
          <w:bCs/>
          <w:szCs w:val="20"/>
        </w:rPr>
        <w:t>）；</w:t>
      </w:r>
    </w:p>
    <w:p>
      <w:pPr>
        <w:pStyle w:val="26"/>
        <w:tabs>
          <w:tab w:val="left" w:pos="0"/>
          <w:tab w:val="left" w:pos="712"/>
          <w:tab w:val="left" w:pos="990"/>
          <w:tab w:val="left" w:pos="6020"/>
        </w:tabs>
        <w:spacing w:line="360" w:lineRule="auto"/>
        <w:ind w:firstLine="1680" w:firstLineChars="800"/>
        <w:rPr>
          <w:rFonts w:ascii="Times New Roman" w:hAnsi="Times New Roman"/>
          <w:bCs/>
          <w:szCs w:val="20"/>
        </w:rPr>
      </w:pPr>
      <m:oMath>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oMath>
      <w:r>
        <w:rPr>
          <w:rFonts w:hint="eastAsia" w:ascii="Times New Roman" w:hAnsi="Times New Roman"/>
          <w:bCs/>
          <w:szCs w:val="20"/>
        </w:rPr>
        <w:t>—— 试件混凝土抗压强度换算值（MPa）；</w:t>
      </w:r>
    </w:p>
    <w:p>
      <w:pPr>
        <w:pStyle w:val="26"/>
        <w:tabs>
          <w:tab w:val="left" w:pos="0"/>
          <w:tab w:val="left" w:pos="712"/>
          <w:tab w:val="left" w:pos="990"/>
          <w:tab w:val="left" w:pos="6020"/>
        </w:tabs>
        <w:spacing w:line="360" w:lineRule="auto"/>
        <w:ind w:firstLine="1680" w:firstLineChars="800"/>
        <w:rPr>
          <w:rFonts w:ascii="Times New Roman" w:hAnsi="Times New Roman"/>
          <w:bCs/>
          <w:szCs w:val="20"/>
        </w:rPr>
      </w:pPr>
      <w:r>
        <w:rPr>
          <w:rFonts w:hint="eastAsia" w:ascii="Times New Roman" w:hAnsi="Times New Roman"/>
          <w:bCs/>
          <w:i/>
          <w:szCs w:val="20"/>
        </w:rPr>
        <w:t>a</w:t>
      </w:r>
      <w:r>
        <w:rPr>
          <w:rFonts w:hint="eastAsia" w:ascii="Times New Roman" w:hAnsi="Times New Roman"/>
          <w:bCs/>
          <w:szCs w:val="20"/>
        </w:rPr>
        <w:t xml:space="preserve"> —— 常数项；</w:t>
      </w:r>
    </w:p>
    <w:p>
      <w:pPr>
        <w:pStyle w:val="26"/>
        <w:tabs>
          <w:tab w:val="left" w:pos="0"/>
          <w:tab w:val="left" w:pos="712"/>
          <w:tab w:val="left" w:pos="990"/>
          <w:tab w:val="left" w:pos="6020"/>
        </w:tabs>
        <w:spacing w:line="360" w:lineRule="auto"/>
        <w:ind w:firstLine="1680" w:firstLineChars="800"/>
        <w:rPr>
          <w:rFonts w:ascii="Times New Roman" w:hAnsi="Times New Roman"/>
          <w:bCs/>
          <w:szCs w:val="20"/>
        </w:rPr>
      </w:pPr>
      <w:r>
        <w:rPr>
          <w:rFonts w:hint="eastAsia" w:ascii="Times New Roman" w:hAnsi="Times New Roman"/>
          <w:bCs/>
          <w:i/>
          <w:szCs w:val="20"/>
        </w:rPr>
        <w:t>b 、c</w:t>
      </w:r>
      <w:r>
        <w:rPr>
          <w:rFonts w:hint="eastAsia" w:ascii="Times New Roman" w:hAnsi="Times New Roman"/>
          <w:bCs/>
          <w:szCs w:val="20"/>
        </w:rPr>
        <w:t xml:space="preserve"> —— 回归系数；</w:t>
      </w:r>
    </w:p>
    <w:p>
      <w:pPr>
        <w:pStyle w:val="26"/>
        <w:tabs>
          <w:tab w:val="left" w:pos="712"/>
          <w:tab w:val="left" w:pos="990"/>
          <w:tab w:val="left" w:pos="6020"/>
        </w:tabs>
        <w:spacing w:line="360" w:lineRule="auto"/>
        <w:ind w:left="1056" w:leftChars="503" w:firstLine="621" w:firstLineChars="296"/>
        <w:rPr>
          <w:rFonts w:ascii="Times New Roman" w:hAnsi="Times New Roman"/>
          <w:bCs/>
          <w:i/>
          <w:szCs w:val="20"/>
        </w:rPr>
      </w:pPr>
      <w:r>
        <w:rPr>
          <w:rFonts w:hint="eastAsia" w:ascii="Times New Roman" w:hAnsi="Times New Roman"/>
          <w:bCs/>
          <w:i/>
          <w:szCs w:val="20"/>
        </w:rPr>
        <w:t>R</w:t>
      </w:r>
      <w:r>
        <w:rPr>
          <w:rFonts w:hint="eastAsia" w:ascii="Times New Roman" w:hAnsi="Times New Roman"/>
          <w:bCs/>
          <w:szCs w:val="20"/>
        </w:rPr>
        <w:t>—— 试件测试所得的混凝土回弹代表值。先将试件超声测试面的耦合剂擦拭干净，</w:t>
      </w:r>
      <w:r>
        <w:rPr>
          <w:rFonts w:ascii="Times New Roman" w:hAnsi="Times New Roman" w:cs="Times New Roman"/>
          <w:bCs/>
          <w:szCs w:val="20"/>
        </w:rPr>
        <w:t>再置于压力机上下承压板之间，使另外一对侧面朝向便于回弹测试的方向，然后加压至60kN～80kN并保持压力。在试件两个相对侧面上按水平测试方法各测5点回弹值，精确至1。剔除1个最大值和1个最小值，</w:t>
      </w:r>
      <w:r>
        <w:rPr>
          <w:rFonts w:hint="eastAsia" w:ascii="Times New Roman" w:hAnsi="Times New Roman" w:cs="Times New Roman"/>
          <w:bCs/>
          <w:szCs w:val="20"/>
        </w:rPr>
        <w:t>应用剩余</w:t>
      </w:r>
      <w:r>
        <w:rPr>
          <w:rFonts w:ascii="Times New Roman" w:hAnsi="Times New Roman" w:cs="Times New Roman"/>
          <w:bCs/>
          <w:szCs w:val="20"/>
        </w:rPr>
        <w:t>8个有效回弹值的平均值作为试件的回弹代表值（</w:t>
      </w:r>
      <w:r>
        <w:rPr>
          <w:rFonts w:ascii="Times New Roman" w:hAnsi="Times New Roman" w:cs="Times New Roman"/>
          <w:bCs/>
          <w:i/>
          <w:szCs w:val="20"/>
        </w:rPr>
        <w:t>R</w:t>
      </w:r>
      <w:r>
        <w:rPr>
          <w:rFonts w:ascii="Times New Roman" w:hAnsi="Times New Roman" w:cs="Times New Roman"/>
          <w:bCs/>
          <w:szCs w:val="20"/>
        </w:rPr>
        <w:t>）</w:t>
      </w:r>
      <w:r>
        <w:rPr>
          <w:rFonts w:hint="eastAsia" w:ascii="Times New Roman" w:hAnsi="Times New Roman" w:cs="Times New Roman"/>
          <w:bCs/>
          <w:szCs w:val="20"/>
        </w:rPr>
        <w:t>。</w:t>
      </w:r>
      <w:r>
        <w:rPr>
          <w:rFonts w:ascii="Times New Roman" w:hAnsi="Times New Roman" w:cs="Times New Roman"/>
          <w:bCs/>
          <w:szCs w:val="20"/>
        </w:rPr>
        <w:t>精确至0.1</w:t>
      </w:r>
      <w:r>
        <w:rPr>
          <w:rFonts w:hint="eastAsia" w:ascii="Times New Roman" w:hAnsi="Times New Roman"/>
          <w:bCs/>
          <w:szCs w:val="20"/>
        </w:rPr>
        <w:t>；</w:t>
      </w:r>
    </w:p>
    <w:p>
      <w:pPr>
        <w:pStyle w:val="26"/>
        <w:tabs>
          <w:tab w:val="left" w:pos="0"/>
          <w:tab w:val="left" w:pos="712"/>
          <w:tab w:val="left" w:pos="990"/>
          <w:tab w:val="left" w:pos="6020"/>
        </w:tabs>
        <w:spacing w:line="360" w:lineRule="auto"/>
        <w:ind w:firstLine="1680" w:firstLineChars="800"/>
        <w:rPr>
          <w:rFonts w:ascii="Times New Roman" w:hAnsi="Times New Roman"/>
          <w:bCs/>
          <w:szCs w:val="20"/>
        </w:rPr>
      </w:pPr>
      <w:r>
        <w:rPr>
          <w:rFonts w:ascii="Times New Roman" w:hAnsi="Times New Roman" w:eastAsia="宋体" w:cs="Times New Roman"/>
          <w:i/>
        </w:rPr>
        <w:t>δ</w:t>
      </w:r>
      <w:r>
        <w:rPr>
          <w:rFonts w:hint="eastAsia" w:ascii="Times New Roman" w:hAnsi="Times New Roman"/>
          <w:bCs/>
          <w:szCs w:val="20"/>
        </w:rPr>
        <w:t>——平均相对误差（%），精确至0.1%；</w:t>
      </w:r>
    </w:p>
    <w:p>
      <w:pPr>
        <w:pStyle w:val="26"/>
        <w:tabs>
          <w:tab w:val="left" w:pos="0"/>
          <w:tab w:val="left" w:pos="712"/>
          <w:tab w:val="left" w:pos="990"/>
          <w:tab w:val="left" w:pos="6020"/>
        </w:tabs>
        <w:spacing w:line="360" w:lineRule="auto"/>
        <w:ind w:firstLine="1680" w:firstLineChars="800"/>
        <w:rPr>
          <w:rFonts w:ascii="Times New Roman" w:hAnsi="Times New Roman"/>
          <w:bCs/>
          <w:szCs w:val="20"/>
        </w:rPr>
      </w:pPr>
      <m:oMath>
        <m:sSub>
          <m:sSubPr>
            <m:ctrlPr>
              <w:rPr>
                <w:rFonts w:ascii="Cambria Math" w:hAnsi="Cambria Math" w:cs="Times New Roman"/>
                <w:i/>
                <w:kern w:val="0"/>
                <w:szCs w:val="21"/>
              </w:rPr>
            </m:ctrlPr>
          </m:sSubPr>
          <m:e>
            <m:r>
              <m:rPr/>
              <w:rPr>
                <w:rFonts w:hint="eastAsia" w:ascii="Cambria Math" w:hAnsi="Cambria Math" w:cs="Times New Roman"/>
                <w:kern w:val="0"/>
                <w:szCs w:val="21"/>
              </w:rPr>
              <m:t>e</m:t>
            </m:r>
            <m:ctrlPr>
              <w:rPr>
                <w:rFonts w:ascii="Cambria Math" w:hAnsi="Cambria Math" w:cs="Times New Roman"/>
                <w:i/>
                <w:kern w:val="0"/>
                <w:szCs w:val="21"/>
              </w:rPr>
            </m:ctrlPr>
          </m:e>
          <m:sub>
            <m:r>
              <m:rPr/>
              <w:rPr>
                <w:rFonts w:hint="eastAsia" w:ascii="Cambria Math" w:hAnsi="Cambria Math" w:cs="Times New Roman"/>
                <w:kern w:val="0"/>
                <w:szCs w:val="21"/>
              </w:rPr>
              <m:t>r</m:t>
            </m:r>
            <m:ctrlPr>
              <w:rPr>
                <w:rFonts w:ascii="Cambria Math" w:hAnsi="Cambria Math" w:cs="Times New Roman"/>
                <w:i/>
                <w:kern w:val="0"/>
                <w:szCs w:val="21"/>
              </w:rPr>
            </m:ctrlPr>
          </m:sub>
        </m:sSub>
      </m:oMath>
      <w:r>
        <w:rPr>
          <w:rFonts w:hint="eastAsia" w:ascii="Times New Roman" w:hAnsi="Times New Roman"/>
          <w:bCs/>
          <w:szCs w:val="20"/>
        </w:rPr>
        <w:t>——相对标准差（%），精确至0.1%；</w:t>
      </w:r>
    </w:p>
    <w:p>
      <w:pPr>
        <w:pStyle w:val="26"/>
        <w:tabs>
          <w:tab w:val="left" w:pos="712"/>
          <w:tab w:val="left" w:pos="990"/>
          <w:tab w:val="left" w:pos="6020"/>
        </w:tabs>
        <w:spacing w:line="360" w:lineRule="auto"/>
        <w:ind w:left="1058" w:leftChars="504" w:firstLine="619" w:firstLineChars="295"/>
        <w:rPr>
          <w:rFonts w:ascii="Times New Roman" w:hAnsi="Times New Roman"/>
          <w:bCs/>
          <w:szCs w:val="20"/>
        </w:rPr>
      </w:pPr>
      <m:oMath>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cu,min</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oMath>
      <w:r>
        <w:rPr>
          <w:rFonts w:hint="eastAsia" w:ascii="Times New Roman" w:hAnsi="Times New Roman"/>
          <w:bCs/>
          <w:szCs w:val="20"/>
        </w:rPr>
        <w:t>——第</w:t>
      </w:r>
      <w:r>
        <w:rPr>
          <w:rFonts w:ascii="Times New Roman" w:hAnsi="Times New Roman" w:cs="Times New Roman"/>
          <w:bCs/>
          <w:i/>
          <w:szCs w:val="20"/>
        </w:rPr>
        <w:t>i</w:t>
      </w:r>
      <w:r>
        <w:rPr>
          <w:rFonts w:hint="eastAsia" w:ascii="Times New Roman" w:hAnsi="Times New Roman"/>
          <w:bCs/>
          <w:szCs w:val="20"/>
        </w:rPr>
        <w:t>个立方体试件按式（</w:t>
      </w:r>
      <w:r>
        <w:rPr>
          <w:rFonts w:ascii="Times New Roman" w:hAnsi="Times New Roman"/>
          <w:bCs/>
          <w:szCs w:val="20"/>
        </w:rPr>
        <w:t>C.0.6-3</w:t>
      </w:r>
      <w:r>
        <w:rPr>
          <w:rFonts w:hint="eastAsia" w:ascii="Times New Roman" w:hAnsi="Times New Roman"/>
          <w:bCs/>
          <w:szCs w:val="20"/>
        </w:rPr>
        <w:t>）计算的混凝土抗压强度换算值（MPa），精确至0.1MPa；</w:t>
      </w:r>
    </w:p>
    <w:p>
      <w:pPr>
        <w:pStyle w:val="26"/>
        <w:tabs>
          <w:tab w:val="left" w:pos="712"/>
          <w:tab w:val="left" w:pos="990"/>
          <w:tab w:val="left" w:pos="6020"/>
        </w:tabs>
        <w:spacing w:line="360" w:lineRule="auto"/>
        <w:ind w:left="1058" w:leftChars="504" w:firstLine="619" w:firstLineChars="295"/>
        <w:rPr>
          <w:rFonts w:hint="eastAsia" w:ascii="宋体" w:hAnsi="宋体" w:eastAsia="宋体" w:cs="宋体"/>
        </w:rPr>
      </w:pPr>
      <m:oMath>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cu,i</m:t>
            </m:r>
            <m:ctrlPr>
              <w:rPr>
                <w:rFonts w:ascii="Cambria Math" w:hAnsi="Cambria Math" w:cs="Times New Roman"/>
                <w:i/>
                <w:kern w:val="0"/>
                <w:szCs w:val="21"/>
              </w:rPr>
            </m:ctrlPr>
          </m:sub>
          <m:sup>
            <m:r>
              <m:rPr/>
              <w:rPr>
                <w:rFonts w:ascii="Cambria Math" w:hAnsi="Cambria Math" w:cs="Times New Roman"/>
                <w:kern w:val="0"/>
                <w:szCs w:val="21"/>
              </w:rPr>
              <m:t>0</m:t>
            </m:r>
            <m:ctrlPr>
              <w:rPr>
                <w:rFonts w:ascii="Cambria Math" w:hAnsi="Cambria Math" w:cs="Times New Roman"/>
                <w:i/>
                <w:kern w:val="0"/>
                <w:szCs w:val="21"/>
              </w:rPr>
            </m:ctrlPr>
          </m:sup>
        </m:sSubSup>
      </m:oMath>
      <w:r>
        <w:rPr>
          <w:rFonts w:hint="eastAsia" w:ascii="宋体" w:hAnsi="宋体" w:eastAsia="宋体" w:cs="宋体"/>
        </w:rPr>
        <w:t xml:space="preserve"> —— 第</w:t>
      </w:r>
      <w:r>
        <w:rPr>
          <w:rFonts w:ascii="Times New Roman" w:hAnsi="Times New Roman" w:eastAsia="宋体" w:cs="Times New Roman"/>
          <w:i/>
        </w:rPr>
        <w:t>i</w:t>
      </w:r>
      <w:r>
        <w:rPr>
          <w:rFonts w:hint="eastAsia" w:ascii="宋体" w:hAnsi="宋体" w:eastAsia="宋体" w:cs="宋体"/>
        </w:rPr>
        <w:t>个立方体试件混凝土抗压强度实测值（</w:t>
      </w:r>
      <w:r>
        <w:rPr>
          <w:rFonts w:ascii="Times New Roman" w:hAnsi="Times New Roman" w:eastAsia="宋体" w:cs="Times New Roman"/>
        </w:rPr>
        <w:t>MPa</w:t>
      </w:r>
      <w:r>
        <w:rPr>
          <w:rFonts w:hint="eastAsia" w:ascii="宋体" w:hAnsi="宋体" w:eastAsia="宋体" w:cs="宋体"/>
        </w:rPr>
        <w:t>），精确至</w:t>
      </w:r>
      <w:r>
        <w:rPr>
          <w:rFonts w:ascii="Times New Roman" w:hAnsi="Times New Roman" w:eastAsia="宋体" w:cs="Times New Roman"/>
        </w:rPr>
        <w:t>0.1MPa</w:t>
      </w:r>
      <w:r>
        <w:rPr>
          <w:rFonts w:hint="eastAsia" w:ascii="宋体" w:hAnsi="宋体" w:eastAsia="宋体" w:cs="宋体"/>
        </w:rPr>
        <w:t>；</w:t>
      </w:r>
    </w:p>
    <w:p>
      <w:pPr>
        <w:pStyle w:val="26"/>
        <w:tabs>
          <w:tab w:val="left" w:pos="0"/>
          <w:tab w:val="left" w:pos="712"/>
          <w:tab w:val="left" w:pos="990"/>
          <w:tab w:val="left" w:pos="6020"/>
        </w:tabs>
        <w:spacing w:line="360" w:lineRule="auto"/>
        <w:ind w:firstLine="1680" w:firstLineChars="800"/>
        <w:rPr>
          <w:rFonts w:hint="eastAsia" w:ascii="宋体" w:hAnsi="宋体" w:eastAsia="宋体" w:cs="宋体"/>
        </w:rPr>
      </w:pPr>
      <w:r>
        <w:rPr>
          <w:rFonts w:ascii="Times New Roman" w:hAnsi="Times New Roman" w:eastAsia="宋体" w:cs="Times New Roman"/>
          <w:i/>
        </w:rPr>
        <w:t>n</w:t>
      </w:r>
      <w:r>
        <w:rPr>
          <w:rFonts w:hint="eastAsia" w:ascii="宋体" w:hAnsi="宋体" w:eastAsia="宋体" w:cs="宋体"/>
        </w:rPr>
        <w:t xml:space="preserve"> —— 制定回归方程式的试件数。</w:t>
      </w:r>
    </w:p>
    <w:p>
      <w:r>
        <w:rPr>
          <w:rFonts w:ascii="黑体" w:hAnsi="黑体" w:eastAsia="黑体" w:cs="黑体"/>
        </w:rPr>
        <w:t>C</w:t>
      </w:r>
      <w:r>
        <w:rPr>
          <w:rFonts w:hint="eastAsia" w:ascii="黑体" w:hAnsi="黑体" w:eastAsia="黑体" w:cs="黑体"/>
        </w:rPr>
        <w:t>.0.</w:t>
      </w:r>
      <w:r>
        <w:rPr>
          <w:rFonts w:ascii="黑体" w:hAnsi="黑体" w:eastAsia="黑体" w:cs="黑体"/>
        </w:rPr>
        <w:t>7</w:t>
      </w:r>
      <w:r>
        <w:rPr>
          <w:rFonts w:hint="eastAsia" w:ascii="黑体" w:hAnsi="黑体" w:eastAsia="黑体" w:cs="黑体"/>
        </w:rPr>
        <w:t xml:space="preserve"> </w:t>
      </w:r>
      <w:r>
        <w:rPr>
          <w:rFonts w:hint="eastAsia"/>
        </w:rPr>
        <w:t xml:space="preserve"> 专用测强曲线或地区测强曲线的计算应符合下列要求：</w:t>
      </w:r>
    </w:p>
    <w:p>
      <w:pPr>
        <w:pStyle w:val="26"/>
        <w:tabs>
          <w:tab w:val="left" w:pos="0"/>
          <w:tab w:val="left" w:pos="712"/>
          <w:tab w:val="left" w:pos="990"/>
          <w:tab w:val="left" w:pos="6020"/>
        </w:tabs>
        <w:spacing w:line="360" w:lineRule="auto"/>
        <w:rPr>
          <w:rFonts w:hint="eastAsia" w:ascii="宋体" w:hAnsi="宋体" w:eastAsia="宋体" w:cs="宋体"/>
        </w:rPr>
      </w:pPr>
      <w:r>
        <w:rPr>
          <w:rFonts w:ascii="黑体" w:hAnsi="黑体" w:eastAsia="黑体" w:cs="黑体"/>
        </w:rPr>
        <w:t xml:space="preserve">1 </w:t>
      </w:r>
      <w:r>
        <w:rPr>
          <w:rFonts w:hint="eastAsia" w:ascii="黑体" w:hAnsi="黑体" w:eastAsia="黑体" w:cs="黑体"/>
        </w:rPr>
        <w:t xml:space="preserve"> </w:t>
      </w:r>
      <w:r>
        <w:rPr>
          <w:rFonts w:hint="eastAsia" w:ascii="宋体" w:hAnsi="宋体" w:eastAsia="宋体" w:cs="宋体"/>
        </w:rPr>
        <w:t>专用测强曲线或地区测强曲线应符合下列要求：</w:t>
      </w:r>
    </w:p>
    <w:p>
      <w:pPr>
        <w:numPr>
          <w:ilvl w:val="0"/>
          <w:numId w:val="35"/>
        </w:numPr>
        <w:tabs>
          <w:tab w:val="left" w:pos="6020"/>
        </w:tabs>
        <w:spacing w:line="360" w:lineRule="auto"/>
        <w:ind w:firstLine="630" w:firstLineChars="300"/>
        <w:rPr>
          <w:rFonts w:ascii="Times New Roman" w:hAnsi="Times New Roman"/>
          <w:bCs/>
          <w:szCs w:val="20"/>
        </w:rPr>
      </w:pPr>
      <w:r>
        <w:rPr>
          <w:rFonts w:hint="eastAsia" w:ascii="Times New Roman" w:hAnsi="Times New Roman"/>
          <w:bCs/>
          <w:szCs w:val="20"/>
        </w:rPr>
        <w:t>建立专用测强曲线或地区测强曲线时，采用的仪器设备应符合技术标准要求；</w:t>
      </w:r>
    </w:p>
    <w:p>
      <w:pPr>
        <w:numPr>
          <w:ilvl w:val="0"/>
          <w:numId w:val="35"/>
        </w:numPr>
        <w:tabs>
          <w:tab w:val="left" w:pos="6020"/>
        </w:tabs>
        <w:spacing w:line="360" w:lineRule="auto"/>
        <w:ind w:left="1058" w:leftChars="300" w:hanging="428" w:hangingChars="204"/>
        <w:rPr>
          <w:rFonts w:ascii="Times New Roman" w:hAnsi="Times New Roman"/>
          <w:bCs/>
          <w:szCs w:val="20"/>
        </w:rPr>
      </w:pPr>
      <w:r>
        <w:rPr>
          <w:rFonts w:hint="eastAsia" w:ascii="Times New Roman" w:hAnsi="Times New Roman"/>
          <w:bCs/>
          <w:szCs w:val="20"/>
        </w:rPr>
        <w:t>建立专用测强曲线时，混凝土试件应采用与被检测混凝土相同的原材料和成型养护工艺及强度等级；</w:t>
      </w:r>
    </w:p>
    <w:p>
      <w:pPr>
        <w:numPr>
          <w:ilvl w:val="0"/>
          <w:numId w:val="35"/>
        </w:numPr>
        <w:tabs>
          <w:tab w:val="left" w:pos="6020"/>
        </w:tabs>
        <w:spacing w:line="360" w:lineRule="auto"/>
        <w:ind w:left="1058" w:leftChars="300" w:hanging="428" w:hangingChars="204"/>
        <w:rPr>
          <w:rFonts w:ascii="Times New Roman" w:hAnsi="Times New Roman"/>
          <w:bCs/>
          <w:szCs w:val="20"/>
        </w:rPr>
      </w:pPr>
      <w:r>
        <w:rPr>
          <w:rFonts w:hint="eastAsia" w:ascii="Times New Roman" w:hAnsi="Times New Roman"/>
          <w:bCs/>
          <w:szCs w:val="20"/>
        </w:rPr>
        <w:t>建立地区测强曲线时，混凝土采用的水泥、砂石、外加剂、掺合料、拌合用水应符合国家对相关产品的质量规定；</w:t>
      </w:r>
    </w:p>
    <w:p>
      <w:pPr>
        <w:numPr>
          <w:ilvl w:val="0"/>
          <w:numId w:val="35"/>
        </w:numPr>
        <w:tabs>
          <w:tab w:val="left" w:pos="6020"/>
        </w:tabs>
        <w:spacing w:line="360" w:lineRule="auto"/>
        <w:ind w:left="1058" w:leftChars="300" w:hanging="428" w:hangingChars="204"/>
        <w:rPr>
          <w:rFonts w:ascii="Times New Roman" w:hAnsi="Times New Roman"/>
          <w:bCs/>
          <w:szCs w:val="20"/>
        </w:rPr>
      </w:pPr>
      <w:r>
        <w:rPr>
          <w:rFonts w:hint="eastAsia" w:ascii="Times New Roman" w:hAnsi="Times New Roman"/>
          <w:bCs/>
          <w:szCs w:val="20"/>
        </w:rPr>
        <w:t>建立地区测强曲线时，应选用本地区常用水泥、粗骨料、细骨料，按常用配合比制作混凝土强度等级为C15、C20、C30、C40、C50、C60 的标准试件；</w:t>
      </w:r>
    </w:p>
    <w:p>
      <w:pPr>
        <w:numPr>
          <w:ilvl w:val="0"/>
          <w:numId w:val="35"/>
        </w:numPr>
        <w:tabs>
          <w:tab w:val="left" w:pos="6020"/>
        </w:tabs>
        <w:spacing w:line="360" w:lineRule="auto"/>
        <w:ind w:left="1058" w:leftChars="300" w:hanging="428" w:hangingChars="204"/>
        <w:rPr>
          <w:rFonts w:ascii="Times New Roman" w:hAnsi="Times New Roman"/>
          <w:bCs/>
          <w:szCs w:val="20"/>
        </w:rPr>
      </w:pPr>
      <w:r>
        <w:rPr>
          <w:rFonts w:hint="eastAsia" w:ascii="Times New Roman" w:hAnsi="Times New Roman"/>
          <w:bCs/>
          <w:szCs w:val="20"/>
        </w:rPr>
        <w:t>试件成型和养护应符合技术标准要求。试件的测试龄期宜分为14d、28d、60d、90d、180d 和365d。建立专用测强曲线和地区测强曲线的混凝土试件制作最小数量和测试时间要求应符合表</w:t>
      </w:r>
      <w:r>
        <w:rPr>
          <w:rFonts w:ascii="Times New Roman" w:hAnsi="Times New Roman"/>
          <w:bCs/>
          <w:szCs w:val="20"/>
        </w:rPr>
        <w:t>C</w:t>
      </w:r>
      <w:r>
        <w:rPr>
          <w:rFonts w:hint="eastAsia" w:ascii="Times New Roman" w:hAnsi="Times New Roman"/>
          <w:bCs/>
          <w:szCs w:val="20"/>
        </w:rPr>
        <w:t>.0.</w:t>
      </w:r>
      <w:r>
        <w:rPr>
          <w:rFonts w:ascii="Times New Roman" w:hAnsi="Times New Roman"/>
          <w:bCs/>
          <w:szCs w:val="20"/>
        </w:rPr>
        <w:t>7</w:t>
      </w:r>
      <w:r>
        <w:rPr>
          <w:rFonts w:hint="eastAsia" w:ascii="Times New Roman" w:hAnsi="Times New Roman"/>
          <w:bCs/>
          <w:szCs w:val="20"/>
        </w:rPr>
        <w:t>规定，其中建立专用测强曲线试件应按实际使用强度等级制作；</w:t>
      </w:r>
    </w:p>
    <w:p>
      <w:pPr>
        <w:tabs>
          <w:tab w:val="left" w:pos="6020"/>
        </w:tabs>
        <w:jc w:val="center"/>
        <w:rPr>
          <w:rFonts w:hint="eastAsia" w:ascii="宋体" w:hAnsi="宋体" w:eastAsia="宋体" w:cs="宋体"/>
          <w:sz w:val="18"/>
        </w:rPr>
      </w:pPr>
    </w:p>
    <w:p>
      <w:pPr>
        <w:tabs>
          <w:tab w:val="left" w:pos="6020"/>
        </w:tabs>
        <w:jc w:val="center"/>
        <w:rPr>
          <w:rFonts w:hint="eastAsia" w:ascii="宋体" w:hAnsi="宋体" w:eastAsia="宋体" w:cs="宋体"/>
        </w:rPr>
      </w:pPr>
      <w:r>
        <w:rPr>
          <w:rFonts w:hint="eastAsia" w:ascii="黑体" w:hAnsi="黑体" w:eastAsia="黑体" w:cs="黑体"/>
          <w:sz w:val="18"/>
        </w:rPr>
        <w:t>表</w:t>
      </w:r>
      <w:r>
        <w:rPr>
          <w:rFonts w:ascii="黑体" w:hAnsi="黑体" w:eastAsia="黑体" w:cs="黑体"/>
          <w:sz w:val="18"/>
        </w:rPr>
        <w:t>C</w:t>
      </w:r>
      <w:r>
        <w:rPr>
          <w:rFonts w:hint="eastAsia" w:ascii="黑体" w:hAnsi="黑体" w:eastAsia="黑体" w:cs="黑体"/>
          <w:sz w:val="18"/>
        </w:rPr>
        <w:t>.0.</w:t>
      </w:r>
      <w:r>
        <w:rPr>
          <w:rFonts w:ascii="黑体" w:hAnsi="黑体" w:eastAsia="黑体" w:cs="黑体"/>
          <w:sz w:val="18"/>
        </w:rPr>
        <w:t xml:space="preserve">7 </w:t>
      </w:r>
      <w:r>
        <w:rPr>
          <w:rFonts w:hint="eastAsia" w:ascii="黑体" w:hAnsi="黑体" w:eastAsia="黑体" w:cs="黑体"/>
          <w:sz w:val="18"/>
        </w:rPr>
        <w:t>混凝土试件制作最小数量和测试时间要求</w:t>
      </w:r>
    </w:p>
    <w:p>
      <w:pPr>
        <w:tabs>
          <w:tab w:val="left" w:pos="6020"/>
        </w:tabs>
        <w:jc w:val="center"/>
        <w:rPr>
          <w:rFonts w:ascii="Times New Roman" w:hAnsi="Times New Roman"/>
          <w:bCs/>
          <w:szCs w:val="20"/>
        </w:rPr>
      </w:pPr>
      <w:r>
        <w:drawing>
          <wp:inline distT="0" distB="0" distL="0" distR="0">
            <wp:extent cx="4672965" cy="173736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3"/>
                    <a:stretch>
                      <a:fillRect/>
                    </a:stretch>
                  </pic:blipFill>
                  <pic:spPr>
                    <a:xfrm>
                      <a:off x="0" y="0"/>
                      <a:ext cx="4681143" cy="1740483"/>
                    </a:xfrm>
                    <a:prstGeom prst="rect">
                      <a:avLst/>
                    </a:prstGeom>
                  </pic:spPr>
                </pic:pic>
              </a:graphicData>
            </a:graphic>
          </wp:inline>
        </w:drawing>
      </w:r>
    </w:p>
    <w:p>
      <w:pPr>
        <w:tabs>
          <w:tab w:val="left" w:pos="6020"/>
        </w:tabs>
        <w:ind w:firstLine="703" w:firstLineChars="335"/>
        <w:rPr>
          <w:rFonts w:ascii="Times New Roman" w:hAnsi="Times New Roman"/>
          <w:bCs/>
          <w:szCs w:val="20"/>
        </w:rPr>
      </w:pPr>
    </w:p>
    <w:p>
      <w:pPr>
        <w:numPr>
          <w:ilvl w:val="0"/>
          <w:numId w:val="35"/>
        </w:numPr>
        <w:tabs>
          <w:tab w:val="left" w:pos="6020"/>
        </w:tabs>
        <w:spacing w:line="360" w:lineRule="auto"/>
        <w:ind w:left="1058" w:leftChars="300" w:hanging="428" w:hangingChars="204"/>
        <w:rPr>
          <w:rFonts w:ascii="Times New Roman" w:hAnsi="Times New Roman"/>
          <w:bCs/>
          <w:szCs w:val="20"/>
        </w:rPr>
      </w:pPr>
      <w:r>
        <w:rPr>
          <w:rFonts w:hint="eastAsia" w:ascii="Times New Roman" w:hAnsi="Times New Roman"/>
          <w:bCs/>
          <w:szCs w:val="20"/>
        </w:rPr>
        <w:t>整理试件。将被测试件四个浇筑侧面上的尘土、污物等擦拭干净，以同一强度等级混凝土的3个试件作为一组，依次编号；</w:t>
      </w:r>
    </w:p>
    <w:p>
      <w:pPr>
        <w:numPr>
          <w:ilvl w:val="0"/>
          <w:numId w:val="35"/>
        </w:numPr>
        <w:tabs>
          <w:tab w:val="left" w:pos="6020"/>
        </w:tabs>
        <w:spacing w:line="360" w:lineRule="auto"/>
        <w:ind w:left="1058" w:leftChars="300" w:hanging="428" w:hangingChars="204"/>
        <w:rPr>
          <w:rFonts w:ascii="Times New Roman" w:hAnsi="Times New Roman"/>
          <w:bCs/>
          <w:szCs w:val="20"/>
        </w:rPr>
      </w:pPr>
      <w:r>
        <w:rPr>
          <w:rFonts w:hint="eastAsia" w:ascii="Times New Roman" w:hAnsi="Times New Roman"/>
          <w:bCs/>
          <w:szCs w:val="20"/>
        </w:rPr>
        <w:t>标注测点。在试件测试面上标示超声测点（图</w:t>
      </w:r>
      <w:r>
        <w:rPr>
          <w:rFonts w:ascii="Times New Roman" w:hAnsi="Times New Roman"/>
          <w:bCs/>
          <w:szCs w:val="20"/>
        </w:rPr>
        <w:t>C</w:t>
      </w:r>
      <w:r>
        <w:rPr>
          <w:rFonts w:hint="eastAsia" w:ascii="Times New Roman" w:hAnsi="Times New Roman"/>
          <w:bCs/>
          <w:szCs w:val="20"/>
        </w:rPr>
        <w:t>.0.</w:t>
      </w:r>
      <w:r>
        <w:rPr>
          <w:rFonts w:ascii="Times New Roman" w:hAnsi="Times New Roman"/>
          <w:bCs/>
          <w:szCs w:val="20"/>
        </w:rPr>
        <w:t>7</w:t>
      </w:r>
      <w:r>
        <w:rPr>
          <w:rFonts w:hint="eastAsia" w:ascii="Times New Roman" w:hAnsi="Times New Roman"/>
          <w:bCs/>
          <w:szCs w:val="20"/>
        </w:rPr>
        <w:t>），取试件浇筑方向的侧面为测试面，在两个相对测试面上分别画出相对应的3个测点；</w:t>
      </w:r>
    </w:p>
    <w:p>
      <w:pPr>
        <w:tabs>
          <w:tab w:val="left" w:pos="6020"/>
        </w:tabs>
        <w:jc w:val="center"/>
        <w:rPr>
          <w:rFonts w:ascii="Times New Roman" w:hAnsi="Times New Roman"/>
          <w:bCs/>
          <w:szCs w:val="20"/>
        </w:rPr>
      </w:pPr>
      <w:r>
        <w:drawing>
          <wp:inline distT="0" distB="0" distL="0" distR="0">
            <wp:extent cx="1710055" cy="1799590"/>
            <wp:effectExtent l="0" t="0" r="4445"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4"/>
                    <a:stretch>
                      <a:fillRect/>
                    </a:stretch>
                  </pic:blipFill>
                  <pic:spPr>
                    <a:xfrm>
                      <a:off x="0" y="0"/>
                      <a:ext cx="1710557" cy="1800000"/>
                    </a:xfrm>
                    <a:prstGeom prst="rect">
                      <a:avLst/>
                    </a:prstGeom>
                  </pic:spPr>
                </pic:pic>
              </a:graphicData>
            </a:graphic>
          </wp:inline>
        </w:drawing>
      </w:r>
    </w:p>
    <w:p>
      <w:pPr>
        <w:tabs>
          <w:tab w:val="left" w:pos="6020"/>
        </w:tabs>
        <w:jc w:val="center"/>
        <w:rPr>
          <w:rFonts w:ascii="Times New Roman" w:hAnsi="Times New Roman"/>
          <w:bCs/>
          <w:szCs w:val="20"/>
        </w:rPr>
      </w:pPr>
      <w:r>
        <w:rPr>
          <w:rFonts w:hint="eastAsia" w:ascii="黑体" w:hAnsi="黑体" w:eastAsia="黑体" w:cs="黑体"/>
          <w:sz w:val="18"/>
        </w:rPr>
        <w:t>图</w:t>
      </w:r>
      <w:r>
        <w:rPr>
          <w:rFonts w:ascii="黑体" w:hAnsi="黑体" w:eastAsia="黑体" w:cs="黑体"/>
          <w:sz w:val="18"/>
        </w:rPr>
        <w:t>C</w:t>
      </w:r>
      <w:r>
        <w:rPr>
          <w:rFonts w:hint="eastAsia" w:ascii="黑体" w:hAnsi="黑体" w:eastAsia="黑体" w:cs="黑体"/>
          <w:sz w:val="18"/>
        </w:rPr>
        <w:t>.0.</w:t>
      </w:r>
      <w:r>
        <w:rPr>
          <w:rFonts w:ascii="黑体" w:hAnsi="黑体" w:eastAsia="黑体" w:cs="黑体"/>
          <w:sz w:val="18"/>
        </w:rPr>
        <w:t xml:space="preserve">7 </w:t>
      </w:r>
      <w:r>
        <w:rPr>
          <w:rFonts w:hint="eastAsia" w:ascii="黑体" w:hAnsi="黑体" w:eastAsia="黑体" w:cs="黑体"/>
          <w:sz w:val="18"/>
        </w:rPr>
        <w:t>声时测量测点布置示意图</w:t>
      </w:r>
    </w:p>
    <w:p>
      <w:pPr>
        <w:tabs>
          <w:tab w:val="left" w:pos="6020"/>
        </w:tabs>
        <w:jc w:val="center"/>
        <w:rPr>
          <w:rFonts w:ascii="Times New Roman" w:hAnsi="Times New Roman"/>
          <w:bCs/>
          <w:sz w:val="18"/>
          <w:szCs w:val="20"/>
        </w:rPr>
      </w:pPr>
      <w:r>
        <w:rPr>
          <w:rFonts w:hint="eastAsia" w:ascii="Times New Roman" w:hAnsi="Times New Roman"/>
          <w:bCs/>
          <w:sz w:val="18"/>
          <w:szCs w:val="20"/>
        </w:rPr>
        <w:t>1——浇筑面</w:t>
      </w:r>
    </w:p>
    <w:p>
      <w:pPr>
        <w:tabs>
          <w:tab w:val="left" w:pos="6020"/>
        </w:tabs>
        <w:ind w:firstLine="703" w:firstLineChars="335"/>
        <w:rPr>
          <w:rFonts w:ascii="Times New Roman" w:hAnsi="Times New Roman"/>
          <w:bCs/>
          <w:szCs w:val="20"/>
        </w:rPr>
      </w:pPr>
    </w:p>
    <w:p>
      <w:pPr>
        <w:numPr>
          <w:ilvl w:val="0"/>
          <w:numId w:val="35"/>
        </w:numPr>
        <w:tabs>
          <w:tab w:val="left" w:pos="6020"/>
        </w:tabs>
        <w:spacing w:line="360" w:lineRule="auto"/>
        <w:ind w:left="1058" w:leftChars="300" w:hanging="428" w:hangingChars="204"/>
        <w:rPr>
          <w:rFonts w:ascii="Times New Roman" w:hAnsi="Times New Roman"/>
          <w:bCs/>
          <w:szCs w:val="20"/>
        </w:rPr>
      </w:pPr>
      <w:r>
        <w:rPr>
          <w:rFonts w:hint="eastAsia" w:ascii="Times New Roman" w:hAnsi="Times New Roman"/>
          <w:bCs/>
          <w:szCs w:val="20"/>
        </w:rPr>
        <w:t>测量试件的超声测距（</w:t>
      </w:r>
      <w:r>
        <w:rPr>
          <w:rFonts w:hint="eastAsia" w:ascii="Times New Roman" w:hAnsi="Times New Roman"/>
          <w:bCs/>
          <w:i/>
          <w:szCs w:val="20"/>
        </w:rPr>
        <w:t>l</w:t>
      </w:r>
      <w:r>
        <w:rPr>
          <w:rFonts w:hint="eastAsia" w:ascii="Times New Roman" w:hAnsi="Times New Roman"/>
          <w:bCs/>
          <w:szCs w:val="20"/>
        </w:rPr>
        <w:t>）。采用钢卷尺或钢板尺，在两个超声测试面的两侧边缘处逐点测量两测试面的垂直距离，取两边缘对应垂直距离的平均值作为测点的超声测距（</w:t>
      </w:r>
      <m:oMath>
        <m:sSub>
          <m:sSubPr>
            <m:ctrlPr>
              <w:rPr>
                <w:rFonts w:ascii="Cambria Math" w:hAnsi="Cambria Math" w:cs="Times New Roman"/>
                <w:i/>
                <w:kern w:val="0"/>
                <w:szCs w:val="21"/>
              </w:rPr>
            </m:ctrlPr>
          </m:sSubPr>
          <m:e>
            <m:r>
              <m:rPr/>
              <w:rPr>
                <w:rFonts w:hint="eastAsia" w:ascii="Cambria Math" w:hAnsi="Cambria Math" w:cs="Times New Roman"/>
                <w:kern w:val="0"/>
                <w:szCs w:val="21"/>
              </w:rPr>
              <m:t>l</m:t>
            </m:r>
            <m:ctrlPr>
              <w:rPr>
                <w:rFonts w:ascii="Cambria Math" w:hAnsi="Cambria Math" w:cs="Times New Roman"/>
                <w:i/>
                <w:kern w:val="0"/>
                <w:szCs w:val="21"/>
              </w:rPr>
            </m:ctrlPr>
          </m:e>
          <m:sub>
            <m:r>
              <m:rPr/>
              <w:rPr>
                <w:rFonts w:ascii="Cambria Math" w:hAnsi="Cambria Math" w:cs="Times New Roman"/>
                <w:kern w:val="0"/>
                <w:szCs w:val="21"/>
              </w:rPr>
              <m:t>1</m:t>
            </m:r>
            <m:ctrlPr>
              <w:rPr>
                <w:rFonts w:ascii="Cambria Math" w:hAnsi="Cambria Math" w:cs="Times New Roman"/>
                <w:i/>
                <w:kern w:val="0"/>
                <w:szCs w:val="21"/>
              </w:rPr>
            </m:ctrlPr>
          </m:sub>
        </m:sSub>
      </m:oMath>
      <w:r>
        <w:rPr>
          <w:rFonts w:hint="eastAsia" w:ascii="Times New Roman" w:hAnsi="Times New Roman"/>
          <w:kern w:val="0"/>
          <w:szCs w:val="21"/>
        </w:rPr>
        <w:t>、</w:t>
      </w:r>
      <m:oMath>
        <m:sSub>
          <m:sSubPr>
            <m:ctrlPr>
              <w:rPr>
                <w:rFonts w:ascii="Cambria Math" w:hAnsi="Cambria Math" w:cs="Times New Roman"/>
                <w:i/>
                <w:kern w:val="0"/>
                <w:szCs w:val="21"/>
              </w:rPr>
            </m:ctrlPr>
          </m:sSubPr>
          <m:e>
            <m:r>
              <m:rPr/>
              <w:rPr>
                <w:rFonts w:hint="eastAsia" w:ascii="Cambria Math" w:hAnsi="Cambria Math" w:cs="Times New Roman"/>
                <w:kern w:val="0"/>
                <w:szCs w:val="21"/>
              </w:rPr>
              <m:t>l</m:t>
            </m:r>
            <m:ctrlPr>
              <w:rPr>
                <w:rFonts w:ascii="Cambria Math" w:hAnsi="Cambria Math" w:cs="Times New Roman"/>
                <w:i/>
                <w:kern w:val="0"/>
                <w:szCs w:val="21"/>
              </w:rPr>
            </m:ctrlPr>
          </m:e>
          <m:sub>
            <m:r>
              <m:rPr/>
              <w:rPr>
                <w:rFonts w:ascii="Cambria Math" w:hAnsi="Cambria Math" w:cs="Times New Roman"/>
                <w:kern w:val="0"/>
                <w:szCs w:val="21"/>
              </w:rPr>
              <m:t>2</m:t>
            </m:r>
            <m:ctrlPr>
              <w:rPr>
                <w:rFonts w:ascii="Cambria Math" w:hAnsi="Cambria Math" w:cs="Times New Roman"/>
                <w:i/>
                <w:kern w:val="0"/>
                <w:szCs w:val="21"/>
              </w:rPr>
            </m:ctrlPr>
          </m:sub>
        </m:sSub>
      </m:oMath>
      <w:r>
        <w:rPr>
          <w:rFonts w:hint="eastAsia" w:ascii="Times New Roman" w:hAnsi="Times New Roman"/>
          <w:kern w:val="0"/>
          <w:szCs w:val="21"/>
        </w:rPr>
        <w:t>、</w:t>
      </w:r>
      <m:oMath>
        <m:sSub>
          <m:sSubPr>
            <m:ctrlPr>
              <w:rPr>
                <w:rFonts w:ascii="Cambria Math" w:hAnsi="Cambria Math" w:cs="Times New Roman"/>
                <w:i/>
                <w:kern w:val="0"/>
                <w:szCs w:val="21"/>
              </w:rPr>
            </m:ctrlPr>
          </m:sSubPr>
          <m:e>
            <m:r>
              <m:rPr/>
              <w:rPr>
                <w:rFonts w:hint="eastAsia" w:ascii="Cambria Math" w:hAnsi="Cambria Math" w:cs="Times New Roman"/>
                <w:kern w:val="0"/>
                <w:szCs w:val="21"/>
              </w:rPr>
              <m:t>l</m:t>
            </m:r>
            <m:ctrlPr>
              <w:rPr>
                <w:rFonts w:ascii="Cambria Math" w:hAnsi="Cambria Math" w:cs="Times New Roman"/>
                <w:i/>
                <w:kern w:val="0"/>
                <w:szCs w:val="21"/>
              </w:rPr>
            </m:ctrlPr>
          </m:e>
          <m:sub>
            <m:r>
              <m:rPr/>
              <w:rPr>
                <w:rFonts w:ascii="Cambria Math" w:hAnsi="Cambria Math" w:cs="Times New Roman"/>
                <w:kern w:val="0"/>
                <w:szCs w:val="21"/>
              </w:rPr>
              <m:t>3</m:t>
            </m:r>
            <m:ctrlPr>
              <w:rPr>
                <w:rFonts w:ascii="Cambria Math" w:hAnsi="Cambria Math" w:cs="Times New Roman"/>
                <w:i/>
                <w:kern w:val="0"/>
                <w:szCs w:val="21"/>
              </w:rPr>
            </m:ctrlPr>
          </m:sub>
        </m:sSub>
      </m:oMath>
      <w:r>
        <w:rPr>
          <w:rFonts w:hint="eastAsia" w:ascii="Times New Roman" w:hAnsi="Times New Roman"/>
          <w:bCs/>
          <w:szCs w:val="20"/>
        </w:rPr>
        <w:t>）；</w:t>
      </w:r>
    </w:p>
    <w:p>
      <w:pPr>
        <w:numPr>
          <w:ilvl w:val="0"/>
          <w:numId w:val="35"/>
        </w:numPr>
        <w:tabs>
          <w:tab w:val="left" w:pos="6020"/>
        </w:tabs>
        <w:spacing w:line="360" w:lineRule="auto"/>
        <w:ind w:left="1058" w:leftChars="300" w:hanging="428" w:hangingChars="204"/>
        <w:rPr>
          <w:rFonts w:ascii="Times New Roman" w:hAnsi="Times New Roman"/>
          <w:bCs/>
          <w:szCs w:val="20"/>
        </w:rPr>
      </w:pPr>
      <w:r>
        <w:rPr>
          <w:rFonts w:hint="eastAsia" w:ascii="Times New Roman" w:hAnsi="Times New Roman"/>
          <w:bCs/>
          <w:szCs w:val="20"/>
        </w:rPr>
        <w:t>测量试件的声时值。在试件两个测试面的对应测点位置涂抹耦合剂，将一对发射和接收换能器耦合在对应测点上，并始终保持两个换能器的轴线在同一直线上。逐点测读声时读数（</w:t>
      </w:r>
      <m:oMath>
        <m:sSub>
          <m:sSubPr>
            <m:ctrlPr>
              <w:rPr>
                <w:rFonts w:ascii="Cambria Math" w:hAnsi="Cambria Math" w:cs="Times New Roman"/>
                <w:i/>
                <w:kern w:val="0"/>
                <w:szCs w:val="21"/>
              </w:rPr>
            </m:ctrlPr>
          </m:sSubPr>
          <m:e>
            <m:r>
              <m:rPr/>
              <w:rPr>
                <w:rFonts w:hint="eastAsia" w:ascii="Cambria Math" w:hAnsi="Cambria Math" w:cs="Times New Roman"/>
                <w:kern w:val="0"/>
                <w:szCs w:val="21"/>
              </w:rPr>
              <m:t>t</m:t>
            </m:r>
            <m:ctrlPr>
              <w:rPr>
                <w:rFonts w:ascii="Cambria Math" w:hAnsi="Cambria Math" w:cs="Times New Roman"/>
                <w:i/>
                <w:kern w:val="0"/>
                <w:szCs w:val="21"/>
              </w:rPr>
            </m:ctrlPr>
          </m:e>
          <m:sub>
            <m:r>
              <m:rPr/>
              <w:rPr>
                <w:rFonts w:ascii="Cambria Math" w:hAnsi="Cambria Math" w:cs="Times New Roman"/>
                <w:kern w:val="0"/>
                <w:szCs w:val="21"/>
              </w:rPr>
              <m:t>1</m:t>
            </m:r>
            <m:ctrlPr>
              <w:rPr>
                <w:rFonts w:ascii="Cambria Math" w:hAnsi="Cambria Math" w:cs="Times New Roman"/>
                <w:i/>
                <w:kern w:val="0"/>
                <w:szCs w:val="21"/>
              </w:rPr>
            </m:ctrlPr>
          </m:sub>
        </m:sSub>
      </m:oMath>
      <w:r>
        <w:rPr>
          <w:rFonts w:hint="eastAsia" w:ascii="Times New Roman" w:hAnsi="Times New Roman"/>
          <w:kern w:val="0"/>
          <w:szCs w:val="21"/>
        </w:rPr>
        <w:t>、</w:t>
      </w:r>
      <m:oMath>
        <m:sSub>
          <m:sSubPr>
            <m:ctrlPr>
              <w:rPr>
                <w:rFonts w:ascii="Cambria Math" w:hAnsi="Cambria Math" w:cs="Times New Roman"/>
                <w:i/>
                <w:kern w:val="0"/>
                <w:szCs w:val="21"/>
              </w:rPr>
            </m:ctrlPr>
          </m:sSubPr>
          <m:e>
            <m:r>
              <m:rPr/>
              <w:rPr>
                <w:rFonts w:ascii="Cambria Math" w:hAnsi="Cambria Math" w:cs="Times New Roman"/>
                <w:kern w:val="0"/>
                <w:szCs w:val="21"/>
              </w:rPr>
              <m:t>t</m:t>
            </m:r>
            <m:ctrlPr>
              <w:rPr>
                <w:rFonts w:ascii="Cambria Math" w:hAnsi="Cambria Math" w:cs="Times New Roman"/>
                <w:i/>
                <w:kern w:val="0"/>
                <w:szCs w:val="21"/>
              </w:rPr>
            </m:ctrlPr>
          </m:e>
          <m:sub>
            <m:r>
              <m:rPr/>
              <w:rPr>
                <w:rFonts w:ascii="Cambria Math" w:hAnsi="Cambria Math" w:cs="Times New Roman"/>
                <w:kern w:val="0"/>
                <w:szCs w:val="21"/>
              </w:rPr>
              <m:t>2</m:t>
            </m:r>
            <m:ctrlPr>
              <w:rPr>
                <w:rFonts w:ascii="Cambria Math" w:hAnsi="Cambria Math" w:cs="Times New Roman"/>
                <w:i/>
                <w:kern w:val="0"/>
                <w:szCs w:val="21"/>
              </w:rPr>
            </m:ctrlPr>
          </m:sub>
        </m:sSub>
      </m:oMath>
      <w:r>
        <w:rPr>
          <w:rFonts w:hint="eastAsia" w:ascii="Times New Roman" w:hAnsi="Times New Roman"/>
          <w:kern w:val="0"/>
          <w:szCs w:val="21"/>
        </w:rPr>
        <w:t>、</w:t>
      </w:r>
      <m:oMath>
        <m:sSub>
          <m:sSubPr>
            <m:ctrlPr>
              <w:rPr>
                <w:rFonts w:ascii="Cambria Math" w:hAnsi="Cambria Math" w:cs="Times New Roman"/>
                <w:i/>
                <w:kern w:val="0"/>
                <w:szCs w:val="21"/>
              </w:rPr>
            </m:ctrlPr>
          </m:sSubPr>
          <m:e>
            <m:r>
              <m:rPr/>
              <w:rPr>
                <w:rFonts w:ascii="Cambria Math" w:hAnsi="Cambria Math" w:cs="Times New Roman"/>
                <w:kern w:val="0"/>
                <w:szCs w:val="21"/>
              </w:rPr>
              <m:t>t</m:t>
            </m:r>
            <m:ctrlPr>
              <w:rPr>
                <w:rFonts w:ascii="Cambria Math" w:hAnsi="Cambria Math" w:cs="Times New Roman"/>
                <w:i/>
                <w:kern w:val="0"/>
                <w:szCs w:val="21"/>
              </w:rPr>
            </m:ctrlPr>
          </m:e>
          <m:sub>
            <m:r>
              <m:rPr/>
              <w:rPr>
                <w:rFonts w:ascii="Cambria Math" w:hAnsi="Cambria Math" w:cs="Times New Roman"/>
                <w:kern w:val="0"/>
                <w:szCs w:val="21"/>
              </w:rPr>
              <m:t>3</m:t>
            </m:r>
            <m:ctrlPr>
              <w:rPr>
                <w:rFonts w:ascii="Cambria Math" w:hAnsi="Cambria Math" w:cs="Times New Roman"/>
                <w:i/>
                <w:kern w:val="0"/>
                <w:szCs w:val="21"/>
              </w:rPr>
            </m:ctrlPr>
          </m:sub>
        </m:sSub>
      </m:oMath>
      <w:r>
        <w:rPr>
          <w:rFonts w:hint="eastAsia" w:ascii="Times New Roman" w:hAnsi="Times New Roman"/>
          <w:bCs/>
          <w:szCs w:val="20"/>
        </w:rPr>
        <w:t>），精确至</w:t>
      </w:r>
      <w:r>
        <w:rPr>
          <w:rFonts w:ascii="Times New Roman" w:hAnsi="Times New Roman"/>
          <w:bCs/>
          <w:szCs w:val="20"/>
        </w:rPr>
        <w:t>0.1</w:t>
      </w:r>
      <w:r>
        <w:rPr>
          <w:rFonts w:ascii="Times New Roman" w:hAnsi="Times New Roman" w:cs="Times New Roman"/>
          <w:bCs/>
          <w:szCs w:val="20"/>
        </w:rPr>
        <w:t>μ</w:t>
      </w:r>
      <w:r>
        <w:rPr>
          <w:rFonts w:ascii="Times New Roman" w:hAnsi="Times New Roman"/>
          <w:bCs/>
          <w:szCs w:val="20"/>
        </w:rPr>
        <w:t>s</w:t>
      </w:r>
      <w:r>
        <w:rPr>
          <w:rFonts w:hint="eastAsia" w:ascii="Times New Roman" w:hAnsi="Times New Roman"/>
          <w:bCs/>
          <w:szCs w:val="20"/>
        </w:rPr>
        <w:t>；</w:t>
      </w:r>
    </w:p>
    <w:p>
      <w:pPr>
        <w:numPr>
          <w:ilvl w:val="0"/>
          <w:numId w:val="35"/>
        </w:numPr>
        <w:tabs>
          <w:tab w:val="left" w:pos="6020"/>
        </w:tabs>
        <w:spacing w:line="360" w:lineRule="auto"/>
        <w:ind w:left="1058" w:leftChars="300" w:hanging="428" w:hangingChars="204"/>
        <w:rPr>
          <w:rFonts w:ascii="Times New Roman" w:hAnsi="Times New Roman"/>
          <w:bCs/>
          <w:szCs w:val="20"/>
        </w:rPr>
      </w:pPr>
      <w:r>
        <w:rPr>
          <w:rFonts w:hint="eastAsia" w:ascii="Times New Roman" w:hAnsi="Times New Roman"/>
          <w:bCs/>
          <w:szCs w:val="20"/>
        </w:rPr>
        <w:t>按式（</w:t>
      </w:r>
      <w:r>
        <w:rPr>
          <w:rFonts w:ascii="Times New Roman" w:hAnsi="Times New Roman"/>
          <w:bCs/>
          <w:szCs w:val="20"/>
        </w:rPr>
        <w:t>C.0.6-2</w:t>
      </w:r>
      <w:r>
        <w:rPr>
          <w:rFonts w:hint="eastAsia" w:ascii="Times New Roman" w:hAnsi="Times New Roman"/>
          <w:bCs/>
          <w:szCs w:val="20"/>
        </w:rPr>
        <w:t>）~式（</w:t>
      </w:r>
      <w:r>
        <w:rPr>
          <w:rFonts w:ascii="Times New Roman" w:hAnsi="Times New Roman"/>
          <w:bCs/>
          <w:szCs w:val="20"/>
        </w:rPr>
        <w:t>C.0.6-5</w:t>
      </w:r>
      <w:r>
        <w:rPr>
          <w:rFonts w:hint="eastAsia" w:ascii="Times New Roman" w:hAnsi="Times New Roman"/>
          <w:bCs/>
          <w:szCs w:val="20"/>
        </w:rPr>
        <w:t>）计算试件的混凝土中声速代表值</w:t>
      </w:r>
      <m:oMath>
        <m:r>
          <m:rPr>
            <m:sty m:val="p"/>
          </m:rPr>
          <w:rPr>
            <w:rFonts w:hint="eastAsia" w:ascii="Cambria Math" w:hAnsi="Cambria Math"/>
            <w:szCs w:val="20"/>
          </w:rPr>
          <m:t>（</m:t>
        </m:r>
        <m:r>
          <m:rPr/>
          <w:rPr>
            <w:rFonts w:hint="eastAsia" w:ascii="Cambria Math" w:hAnsi="Cambria Math" w:cs="Times New Roman"/>
            <w:kern w:val="0"/>
            <w:szCs w:val="21"/>
          </w:rPr>
          <m:t>v</m:t>
        </m:r>
        <m:r>
          <m:rPr>
            <m:sty m:val="p"/>
          </m:rPr>
          <w:rPr>
            <w:rFonts w:hint="eastAsia" w:ascii="Cambria Math" w:hAnsi="Cambria Math"/>
            <w:szCs w:val="20"/>
          </w:rPr>
          <m:t>）</m:t>
        </m:r>
      </m:oMath>
      <w:r>
        <w:rPr>
          <w:rFonts w:hint="eastAsia" w:ascii="Times New Roman" w:hAnsi="Times New Roman"/>
          <w:bCs/>
          <w:szCs w:val="20"/>
        </w:rPr>
        <w:t>、试件混凝土抗压强度换算值（</w:t>
      </w:r>
      <m:oMath>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oMath>
      <w:r>
        <w:rPr>
          <w:rFonts w:hint="eastAsia" w:ascii="Times New Roman" w:hAnsi="Times New Roman"/>
          <w:bCs/>
          <w:szCs w:val="20"/>
        </w:rPr>
        <w:t>）、测强曲线的平均相对误差（</w:t>
      </w:r>
      <w:r>
        <w:rPr>
          <w:rFonts w:ascii="Times New Roman" w:hAnsi="Times New Roman" w:eastAsia="宋体" w:cs="Times New Roman"/>
        </w:rPr>
        <w:t>δ</w:t>
      </w:r>
      <w:r>
        <w:rPr>
          <w:rFonts w:hint="eastAsia" w:ascii="Times New Roman" w:hAnsi="Times New Roman"/>
          <w:bCs/>
          <w:szCs w:val="20"/>
        </w:rPr>
        <w:t>）、相对标准差（</w:t>
      </w:r>
      <m:oMath>
        <m:sSub>
          <m:sSubPr>
            <m:ctrlPr>
              <w:rPr>
                <w:rFonts w:ascii="Cambria Math" w:hAnsi="Cambria Math" w:cs="Times New Roman"/>
                <w:i/>
                <w:kern w:val="0"/>
                <w:szCs w:val="21"/>
              </w:rPr>
            </m:ctrlPr>
          </m:sSubPr>
          <m:e>
            <m:r>
              <m:rPr/>
              <w:rPr>
                <w:rFonts w:hint="eastAsia" w:ascii="Cambria Math" w:hAnsi="Cambria Math" w:cs="Times New Roman"/>
                <w:kern w:val="0"/>
                <w:szCs w:val="21"/>
              </w:rPr>
              <m:t>e</m:t>
            </m:r>
            <m:ctrlPr>
              <w:rPr>
                <w:rFonts w:ascii="Cambria Math" w:hAnsi="Cambria Math" w:cs="Times New Roman"/>
                <w:i/>
                <w:kern w:val="0"/>
                <w:szCs w:val="21"/>
              </w:rPr>
            </m:ctrlPr>
          </m:e>
          <m:sub>
            <m:r>
              <m:rPr/>
              <w:rPr>
                <w:rFonts w:hint="eastAsia" w:ascii="Cambria Math" w:hAnsi="Cambria Math" w:cs="Times New Roman"/>
                <w:kern w:val="0"/>
                <w:szCs w:val="21"/>
              </w:rPr>
              <m:t>r</m:t>
            </m:r>
            <m:ctrlPr>
              <w:rPr>
                <w:rFonts w:ascii="Cambria Math" w:hAnsi="Cambria Math" w:cs="Times New Roman"/>
                <w:i/>
                <w:kern w:val="0"/>
                <w:szCs w:val="21"/>
              </w:rPr>
            </m:ctrlPr>
          </m:sub>
        </m:sSub>
      </m:oMath>
      <w:r>
        <w:rPr>
          <w:rFonts w:hint="eastAsia" w:ascii="Times New Roman" w:hAnsi="Times New Roman"/>
          <w:bCs/>
          <w:szCs w:val="20"/>
        </w:rPr>
        <w:t>）；</w:t>
      </w:r>
    </w:p>
    <w:p>
      <w:pPr>
        <w:numPr>
          <w:ilvl w:val="0"/>
          <w:numId w:val="35"/>
        </w:numPr>
        <w:tabs>
          <w:tab w:val="left" w:pos="6020"/>
        </w:tabs>
        <w:spacing w:line="360" w:lineRule="auto"/>
        <w:ind w:left="1058" w:leftChars="300" w:hanging="428" w:hangingChars="204"/>
        <w:rPr>
          <w:rFonts w:ascii="Times New Roman" w:hAnsi="Times New Roman"/>
          <w:bCs/>
          <w:szCs w:val="20"/>
        </w:rPr>
      </w:pPr>
      <w:r>
        <w:rPr>
          <w:rFonts w:hint="eastAsia" w:ascii="Times New Roman" w:hAnsi="Times New Roman"/>
          <w:bCs/>
          <w:szCs w:val="20"/>
        </w:rPr>
        <w:t>回归方程式的误差若符合C.</w:t>
      </w:r>
      <w:r>
        <w:rPr>
          <w:rFonts w:ascii="Times New Roman" w:hAnsi="Times New Roman"/>
          <w:bCs/>
          <w:szCs w:val="20"/>
        </w:rPr>
        <w:t>0</w:t>
      </w:r>
      <w:r>
        <w:rPr>
          <w:rFonts w:hint="eastAsia" w:ascii="Times New Roman" w:hAnsi="Times New Roman"/>
          <w:bCs/>
          <w:szCs w:val="20"/>
        </w:rPr>
        <w:t>.</w:t>
      </w:r>
      <w:r>
        <w:rPr>
          <w:rFonts w:ascii="Times New Roman" w:hAnsi="Times New Roman"/>
          <w:bCs/>
          <w:szCs w:val="20"/>
        </w:rPr>
        <w:t>7.2</w:t>
      </w:r>
      <w:r>
        <w:rPr>
          <w:rFonts w:hint="eastAsia" w:ascii="Times New Roman" w:hAnsi="Times New Roman"/>
          <w:bCs/>
          <w:szCs w:val="20"/>
        </w:rPr>
        <w:t>的要求，则经有关部门批准后，可作为专用测强曲线或地区测强曲线。</w:t>
      </w:r>
    </w:p>
    <w:p>
      <w:pPr>
        <w:pStyle w:val="26"/>
        <w:tabs>
          <w:tab w:val="left" w:pos="0"/>
          <w:tab w:val="left" w:pos="712"/>
          <w:tab w:val="left" w:pos="990"/>
          <w:tab w:val="left" w:pos="6020"/>
        </w:tabs>
        <w:spacing w:line="360" w:lineRule="auto"/>
        <w:rPr>
          <w:rFonts w:ascii="Times New Roman" w:hAnsi="Times New Roman"/>
          <w:bCs/>
          <w:szCs w:val="20"/>
        </w:rPr>
      </w:pPr>
    </w:p>
    <w:p>
      <w:pPr>
        <w:pStyle w:val="26"/>
        <w:tabs>
          <w:tab w:val="left" w:pos="0"/>
          <w:tab w:val="left" w:pos="712"/>
          <w:tab w:val="left" w:pos="990"/>
          <w:tab w:val="left" w:pos="6020"/>
        </w:tabs>
        <w:spacing w:line="360" w:lineRule="auto"/>
        <w:rPr>
          <w:rFonts w:hint="eastAsia" w:ascii="宋体" w:hAnsi="宋体" w:eastAsia="宋体" w:cs="宋体"/>
        </w:rPr>
      </w:pPr>
      <w:r>
        <w:rPr>
          <w:rFonts w:ascii="黑体" w:hAnsi="黑体" w:eastAsia="黑体" w:cs="黑体"/>
        </w:rPr>
        <w:t xml:space="preserve">2 </w:t>
      </w:r>
      <w:r>
        <w:rPr>
          <w:rFonts w:hint="eastAsia" w:ascii="黑体" w:hAnsi="黑体" w:eastAsia="黑体" w:cs="黑体"/>
        </w:rPr>
        <w:t xml:space="preserve"> </w:t>
      </w:r>
      <w:r>
        <w:rPr>
          <w:rFonts w:hint="eastAsia" w:ascii="宋体" w:hAnsi="宋体" w:eastAsia="宋体" w:cs="宋体"/>
        </w:rPr>
        <w:t>专用测强曲线或地区测强曲线的抗压强度平均相对误差（</w:t>
      </w:r>
      <w:r>
        <w:rPr>
          <w:rFonts w:ascii="Times New Roman" w:hAnsi="Times New Roman" w:eastAsia="宋体" w:cs="Times New Roman"/>
        </w:rPr>
        <w:t>δ</w:t>
      </w:r>
      <w:r>
        <w:rPr>
          <w:rFonts w:hint="eastAsia" w:ascii="宋体" w:hAnsi="宋体" w:eastAsia="宋体" w:cs="宋体"/>
        </w:rPr>
        <w:t>）、相对标准差（</w:t>
      </w:r>
      <m:oMath>
        <m:sSub>
          <m:sSubPr>
            <m:ctrlPr>
              <w:rPr>
                <w:rFonts w:ascii="Cambria Math" w:hAnsi="Cambria Math" w:cs="Times New Roman"/>
                <w:i/>
                <w:kern w:val="0"/>
                <w:szCs w:val="21"/>
              </w:rPr>
            </m:ctrlPr>
          </m:sSubPr>
          <m:e>
            <m:r>
              <m:rPr/>
              <w:rPr>
                <w:rFonts w:hint="eastAsia" w:ascii="Cambria Math" w:hAnsi="Cambria Math" w:cs="Times New Roman"/>
                <w:kern w:val="0"/>
                <w:szCs w:val="21"/>
              </w:rPr>
              <m:t>e</m:t>
            </m:r>
            <m:ctrlPr>
              <w:rPr>
                <w:rFonts w:ascii="Cambria Math" w:hAnsi="Cambria Math" w:cs="Times New Roman"/>
                <w:i/>
                <w:kern w:val="0"/>
                <w:szCs w:val="21"/>
              </w:rPr>
            </m:ctrlPr>
          </m:e>
          <m:sub>
            <m:r>
              <m:rPr/>
              <w:rPr>
                <w:rFonts w:hint="eastAsia" w:ascii="Cambria Math" w:hAnsi="Cambria Math" w:cs="Times New Roman"/>
                <w:kern w:val="0"/>
                <w:szCs w:val="21"/>
              </w:rPr>
              <m:t>r</m:t>
            </m:r>
            <m:ctrlPr>
              <w:rPr>
                <w:rFonts w:ascii="Cambria Math" w:hAnsi="Cambria Math" w:cs="Times New Roman"/>
                <w:i/>
                <w:kern w:val="0"/>
                <w:szCs w:val="21"/>
              </w:rPr>
            </m:ctrlPr>
          </m:sub>
        </m:sSub>
      </m:oMath>
      <w:r>
        <w:rPr>
          <w:rFonts w:hint="eastAsia" w:ascii="宋体" w:hAnsi="宋体" w:eastAsia="宋体" w:cs="宋体"/>
        </w:rPr>
        <w:t>）应符合下列要求：</w:t>
      </w:r>
    </w:p>
    <w:p>
      <w:pPr>
        <w:numPr>
          <w:ilvl w:val="0"/>
          <w:numId w:val="36"/>
        </w:numPr>
        <w:tabs>
          <w:tab w:val="left" w:pos="6020"/>
        </w:tabs>
        <w:spacing w:line="360" w:lineRule="auto"/>
        <w:ind w:left="1058" w:leftChars="334" w:hanging="357" w:hangingChars="170"/>
        <w:rPr>
          <w:rFonts w:ascii="Times New Roman" w:hAnsi="Times New Roman"/>
          <w:bCs/>
          <w:szCs w:val="20"/>
        </w:rPr>
      </w:pPr>
      <w:r>
        <w:rPr>
          <w:rFonts w:hint="eastAsia" w:ascii="Times New Roman" w:hAnsi="Times New Roman"/>
          <w:bCs/>
          <w:szCs w:val="20"/>
        </w:rPr>
        <w:t>专用测强曲线的平均相对误差（</w:t>
      </w:r>
      <w:r>
        <w:rPr>
          <w:rFonts w:ascii="Times New Roman" w:hAnsi="Times New Roman" w:eastAsia="宋体" w:cs="Times New Roman"/>
        </w:rPr>
        <w:t>δ</w:t>
      </w:r>
      <w:r>
        <w:rPr>
          <w:rFonts w:hint="eastAsia" w:ascii="Times New Roman" w:hAnsi="Times New Roman"/>
          <w:bCs/>
          <w:szCs w:val="20"/>
        </w:rPr>
        <w:t>）不应大于</w:t>
      </w:r>
      <w:r>
        <w:rPr>
          <w:rFonts w:ascii="Times New Roman" w:hAnsi="Times New Roman"/>
          <w:bCs/>
          <w:szCs w:val="20"/>
        </w:rPr>
        <w:t>10%</w:t>
      </w:r>
      <w:r>
        <w:rPr>
          <w:rFonts w:hint="eastAsia" w:ascii="Times New Roman" w:hAnsi="Times New Roman"/>
          <w:bCs/>
          <w:szCs w:val="20"/>
        </w:rPr>
        <w:t>，相对标准差（</w:t>
      </w:r>
      <m:oMath>
        <m:sSub>
          <m:sSubPr>
            <m:ctrlPr>
              <w:rPr>
                <w:rFonts w:ascii="Cambria Math" w:hAnsi="Cambria Math" w:cs="Times New Roman"/>
                <w:i/>
                <w:kern w:val="0"/>
                <w:szCs w:val="21"/>
              </w:rPr>
            </m:ctrlPr>
          </m:sSubPr>
          <m:e>
            <m:r>
              <m:rPr/>
              <w:rPr>
                <w:rFonts w:hint="eastAsia" w:ascii="Cambria Math" w:hAnsi="Cambria Math" w:cs="Times New Roman"/>
                <w:kern w:val="0"/>
                <w:szCs w:val="21"/>
              </w:rPr>
              <m:t>e</m:t>
            </m:r>
            <m:ctrlPr>
              <w:rPr>
                <w:rFonts w:ascii="Cambria Math" w:hAnsi="Cambria Math" w:cs="Times New Roman"/>
                <w:i/>
                <w:kern w:val="0"/>
                <w:szCs w:val="21"/>
              </w:rPr>
            </m:ctrlPr>
          </m:e>
          <m:sub>
            <m:r>
              <m:rPr/>
              <w:rPr>
                <w:rFonts w:hint="eastAsia" w:ascii="Cambria Math" w:hAnsi="Cambria Math" w:cs="Times New Roman"/>
                <w:kern w:val="0"/>
                <w:szCs w:val="21"/>
              </w:rPr>
              <m:t>r</m:t>
            </m:r>
            <m:ctrlPr>
              <w:rPr>
                <w:rFonts w:ascii="Cambria Math" w:hAnsi="Cambria Math" w:cs="Times New Roman"/>
                <w:i/>
                <w:kern w:val="0"/>
                <w:szCs w:val="21"/>
              </w:rPr>
            </m:ctrlPr>
          </m:sub>
        </m:sSub>
      </m:oMath>
      <w:r>
        <w:rPr>
          <w:rFonts w:hint="eastAsia" w:ascii="Times New Roman" w:hAnsi="Times New Roman"/>
          <w:bCs/>
          <w:szCs w:val="20"/>
        </w:rPr>
        <w:t>）不应大于12%；</w:t>
      </w:r>
    </w:p>
    <w:p>
      <w:pPr>
        <w:numPr>
          <w:ilvl w:val="0"/>
          <w:numId w:val="36"/>
        </w:numPr>
        <w:tabs>
          <w:tab w:val="left" w:pos="6020"/>
        </w:tabs>
        <w:spacing w:line="360" w:lineRule="auto"/>
        <w:ind w:left="1058" w:leftChars="334" w:hanging="357" w:hangingChars="170"/>
        <w:rPr>
          <w:rFonts w:ascii="Times New Roman" w:hAnsi="Times New Roman"/>
          <w:bCs/>
          <w:szCs w:val="20"/>
        </w:rPr>
      </w:pPr>
      <w:r>
        <w:rPr>
          <w:rFonts w:hint="eastAsia" w:ascii="Times New Roman" w:hAnsi="Times New Roman"/>
          <w:bCs/>
          <w:szCs w:val="20"/>
        </w:rPr>
        <w:t>地区测强曲线的平均相对误差（</w:t>
      </w:r>
      <w:r>
        <w:rPr>
          <w:rFonts w:ascii="Times New Roman" w:hAnsi="Times New Roman" w:eastAsia="宋体" w:cs="Times New Roman"/>
        </w:rPr>
        <w:t>δ</w:t>
      </w:r>
      <w:r>
        <w:rPr>
          <w:rFonts w:hint="eastAsia" w:ascii="Times New Roman" w:hAnsi="Times New Roman"/>
          <w:bCs/>
          <w:szCs w:val="20"/>
        </w:rPr>
        <w:t>）不应大于</w:t>
      </w:r>
      <w:r>
        <w:rPr>
          <w:rFonts w:ascii="Times New Roman" w:hAnsi="Times New Roman"/>
          <w:bCs/>
          <w:szCs w:val="20"/>
        </w:rPr>
        <w:t>11%</w:t>
      </w:r>
      <w:r>
        <w:rPr>
          <w:rFonts w:hint="eastAsia" w:ascii="Times New Roman" w:hAnsi="Times New Roman"/>
          <w:bCs/>
          <w:szCs w:val="20"/>
        </w:rPr>
        <w:t>，相对标准差（</w:t>
      </w:r>
      <m:oMath>
        <m:sSub>
          <m:sSubPr>
            <m:ctrlPr>
              <w:rPr>
                <w:rFonts w:ascii="Cambria Math" w:hAnsi="Cambria Math" w:cs="Times New Roman"/>
                <w:i/>
                <w:kern w:val="0"/>
                <w:szCs w:val="21"/>
              </w:rPr>
            </m:ctrlPr>
          </m:sSubPr>
          <m:e>
            <m:r>
              <m:rPr/>
              <w:rPr>
                <w:rFonts w:hint="eastAsia" w:ascii="Cambria Math" w:hAnsi="Cambria Math" w:cs="Times New Roman"/>
                <w:kern w:val="0"/>
                <w:szCs w:val="21"/>
              </w:rPr>
              <m:t>e</m:t>
            </m:r>
            <m:ctrlPr>
              <w:rPr>
                <w:rFonts w:ascii="Cambria Math" w:hAnsi="Cambria Math" w:cs="Times New Roman"/>
                <w:i/>
                <w:kern w:val="0"/>
                <w:szCs w:val="21"/>
              </w:rPr>
            </m:ctrlPr>
          </m:e>
          <m:sub>
            <m:r>
              <m:rPr/>
              <w:rPr>
                <w:rFonts w:hint="eastAsia" w:ascii="Cambria Math" w:hAnsi="Cambria Math" w:cs="Times New Roman"/>
                <w:kern w:val="0"/>
                <w:szCs w:val="21"/>
              </w:rPr>
              <m:t>r</m:t>
            </m:r>
            <m:ctrlPr>
              <w:rPr>
                <w:rFonts w:ascii="Cambria Math" w:hAnsi="Cambria Math" w:cs="Times New Roman"/>
                <w:i/>
                <w:kern w:val="0"/>
                <w:szCs w:val="21"/>
              </w:rPr>
            </m:ctrlPr>
          </m:sub>
        </m:sSub>
      </m:oMath>
      <w:r>
        <w:rPr>
          <w:rFonts w:hint="eastAsia" w:ascii="Times New Roman" w:hAnsi="Times New Roman"/>
          <w:bCs/>
          <w:szCs w:val="20"/>
        </w:rPr>
        <w:t>）不应大于14%；</w:t>
      </w:r>
    </w:p>
    <w:p>
      <w:pPr>
        <w:numPr>
          <w:ilvl w:val="0"/>
          <w:numId w:val="36"/>
        </w:numPr>
        <w:tabs>
          <w:tab w:val="left" w:pos="6020"/>
        </w:tabs>
        <w:spacing w:line="360" w:lineRule="auto"/>
        <w:ind w:firstLine="703" w:firstLineChars="335"/>
        <w:rPr>
          <w:rFonts w:ascii="Times New Roman" w:hAnsi="Times New Roman"/>
          <w:bCs/>
          <w:szCs w:val="20"/>
        </w:rPr>
      </w:pPr>
      <w:r>
        <w:rPr>
          <w:rFonts w:hint="eastAsia" w:ascii="Times New Roman" w:hAnsi="Times New Roman"/>
          <w:bCs/>
          <w:szCs w:val="20"/>
        </w:rPr>
        <w:t>平均相对误差（</w:t>
      </w:r>
      <w:r>
        <w:rPr>
          <w:rFonts w:ascii="Times New Roman" w:hAnsi="Times New Roman" w:eastAsia="宋体" w:cs="Times New Roman"/>
        </w:rPr>
        <w:t>δ</w:t>
      </w:r>
      <w:r>
        <w:rPr>
          <w:rFonts w:hint="eastAsia" w:ascii="Times New Roman" w:hAnsi="Times New Roman"/>
          <w:bCs/>
          <w:szCs w:val="20"/>
        </w:rPr>
        <w:t>）、相对标准差（</w:t>
      </w:r>
      <m:oMath>
        <m:sSub>
          <m:sSubPr>
            <m:ctrlPr>
              <w:rPr>
                <w:rFonts w:ascii="Cambria Math" w:hAnsi="Cambria Math" w:cs="Times New Roman"/>
                <w:i/>
                <w:kern w:val="0"/>
                <w:szCs w:val="21"/>
              </w:rPr>
            </m:ctrlPr>
          </m:sSubPr>
          <m:e>
            <m:r>
              <m:rPr/>
              <w:rPr>
                <w:rFonts w:hint="eastAsia" w:ascii="Cambria Math" w:hAnsi="Cambria Math" w:cs="Times New Roman"/>
                <w:kern w:val="0"/>
                <w:szCs w:val="21"/>
              </w:rPr>
              <m:t>e</m:t>
            </m:r>
            <m:ctrlPr>
              <w:rPr>
                <w:rFonts w:ascii="Cambria Math" w:hAnsi="Cambria Math" w:cs="Times New Roman"/>
                <w:i/>
                <w:kern w:val="0"/>
                <w:szCs w:val="21"/>
              </w:rPr>
            </m:ctrlPr>
          </m:e>
          <m:sub>
            <m:r>
              <m:rPr/>
              <w:rPr>
                <w:rFonts w:hint="eastAsia" w:ascii="Cambria Math" w:hAnsi="Cambria Math" w:cs="Times New Roman"/>
                <w:kern w:val="0"/>
                <w:szCs w:val="21"/>
              </w:rPr>
              <m:t>r</m:t>
            </m:r>
            <m:ctrlPr>
              <w:rPr>
                <w:rFonts w:ascii="Cambria Math" w:hAnsi="Cambria Math" w:cs="Times New Roman"/>
                <w:i/>
                <w:kern w:val="0"/>
                <w:szCs w:val="21"/>
              </w:rPr>
            </m:ctrlPr>
          </m:sub>
        </m:sSub>
      </m:oMath>
      <w:r>
        <w:rPr>
          <w:rFonts w:hint="eastAsia" w:ascii="Times New Roman" w:hAnsi="Times New Roman"/>
          <w:bCs/>
          <w:szCs w:val="20"/>
        </w:rPr>
        <w:t>）应按式（C</w:t>
      </w:r>
      <w:r>
        <w:rPr>
          <w:rFonts w:ascii="Times New Roman" w:hAnsi="Times New Roman"/>
          <w:bCs/>
          <w:szCs w:val="20"/>
        </w:rPr>
        <w:t>.0.6-4</w:t>
      </w:r>
      <w:r>
        <w:rPr>
          <w:rFonts w:hint="eastAsia" w:ascii="Times New Roman" w:hAnsi="Times New Roman"/>
          <w:bCs/>
          <w:szCs w:val="20"/>
        </w:rPr>
        <w:t>）、式（C</w:t>
      </w:r>
      <w:r>
        <w:rPr>
          <w:rFonts w:ascii="Times New Roman" w:hAnsi="Times New Roman"/>
          <w:bCs/>
          <w:szCs w:val="20"/>
        </w:rPr>
        <w:t>.0.6-5</w:t>
      </w:r>
      <w:r>
        <w:rPr>
          <w:rFonts w:hint="eastAsia" w:ascii="Times New Roman" w:hAnsi="Times New Roman"/>
          <w:bCs/>
          <w:szCs w:val="20"/>
        </w:rPr>
        <w:t>）计算。</w:t>
      </w:r>
    </w:p>
    <w:p>
      <w:pPr>
        <w:pStyle w:val="26"/>
        <w:tabs>
          <w:tab w:val="left" w:pos="0"/>
          <w:tab w:val="left" w:pos="712"/>
          <w:tab w:val="left" w:pos="990"/>
          <w:tab w:val="left" w:pos="6020"/>
        </w:tabs>
        <w:spacing w:line="360" w:lineRule="auto"/>
        <w:rPr>
          <w:rFonts w:hint="eastAsia" w:ascii="宋体" w:hAnsi="宋体" w:eastAsia="宋体" w:cs="宋体"/>
        </w:rPr>
      </w:pPr>
      <w:r>
        <w:rPr>
          <w:rFonts w:ascii="黑体" w:hAnsi="黑体" w:eastAsia="黑体" w:cs="黑体"/>
        </w:rPr>
        <w:t xml:space="preserve">3 </w:t>
      </w:r>
      <w:r>
        <w:rPr>
          <w:rFonts w:hint="eastAsia" w:ascii="黑体" w:hAnsi="黑体" w:eastAsia="黑体" w:cs="黑体"/>
        </w:rPr>
        <w:t xml:space="preserve"> </w:t>
      </w:r>
      <w:r>
        <w:rPr>
          <w:rFonts w:hint="eastAsia" w:ascii="宋体" w:hAnsi="宋体" w:eastAsia="宋体" w:cs="宋体"/>
        </w:rPr>
        <w:t>专用测强曲线或地区测强曲线应与制定测强曲线相同的混凝土相适应，不得超出测强曲线的适用范围。</w:t>
      </w:r>
    </w:p>
    <w:p>
      <w:pPr>
        <w:pStyle w:val="26"/>
        <w:tabs>
          <w:tab w:val="left" w:pos="0"/>
          <w:tab w:val="left" w:pos="712"/>
          <w:tab w:val="left" w:pos="990"/>
          <w:tab w:val="left" w:pos="6020"/>
        </w:tabs>
        <w:spacing w:line="360" w:lineRule="auto"/>
        <w:rPr>
          <w:rFonts w:hint="eastAsia" w:ascii="宋体" w:hAnsi="宋体" w:eastAsia="宋体" w:cs="宋体"/>
        </w:rPr>
      </w:pPr>
    </w:p>
    <w:p>
      <w:r>
        <w:rPr>
          <w:rFonts w:ascii="黑体" w:hAnsi="黑体" w:eastAsia="黑体" w:cs="黑体"/>
        </w:rPr>
        <w:t>C</w:t>
      </w:r>
      <w:r>
        <w:rPr>
          <w:rFonts w:hint="eastAsia" w:ascii="黑体" w:hAnsi="黑体" w:eastAsia="黑体" w:cs="黑体"/>
        </w:rPr>
        <w:t>.0.</w:t>
      </w:r>
      <w:r>
        <w:rPr>
          <w:rFonts w:ascii="黑体" w:hAnsi="黑体" w:eastAsia="黑体" w:cs="黑体"/>
        </w:rPr>
        <w:t>8</w:t>
      </w:r>
      <w:r>
        <w:rPr>
          <w:rFonts w:hint="eastAsia" w:ascii="黑体" w:hAnsi="黑体" w:eastAsia="黑体" w:cs="黑体"/>
        </w:rPr>
        <w:t xml:space="preserve">  </w:t>
      </w:r>
      <w:r>
        <w:rPr>
          <w:rFonts w:hint="eastAsia"/>
        </w:rPr>
        <w:t>混凝土抗压强度推定应符合下列要求：</w:t>
      </w:r>
    </w:p>
    <w:p>
      <w:pPr>
        <w:pStyle w:val="26"/>
        <w:tabs>
          <w:tab w:val="left" w:pos="0"/>
          <w:tab w:val="left" w:pos="712"/>
          <w:tab w:val="left" w:pos="990"/>
          <w:tab w:val="left" w:pos="6020"/>
        </w:tabs>
        <w:spacing w:line="360" w:lineRule="auto"/>
        <w:rPr>
          <w:rFonts w:ascii="Times New Roman" w:hAnsi="Times New Roman"/>
          <w:bCs/>
          <w:szCs w:val="20"/>
        </w:rPr>
      </w:pPr>
      <w:r>
        <w:rPr>
          <w:rFonts w:ascii="黑体" w:hAnsi="黑体" w:eastAsia="黑体" w:cs="黑体"/>
        </w:rPr>
        <w:t>1</w:t>
      </w:r>
      <w:r>
        <w:rPr>
          <w:rFonts w:hint="eastAsia" w:ascii="黑体" w:hAnsi="黑体" w:eastAsia="黑体" w:cs="黑体"/>
        </w:rPr>
        <w:t xml:space="preserve"> </w:t>
      </w:r>
      <w:r>
        <w:rPr>
          <w:rFonts w:ascii="黑体" w:hAnsi="黑体" w:eastAsia="黑体" w:cs="黑体"/>
        </w:rPr>
        <w:t xml:space="preserve"> </w:t>
      </w:r>
      <w:r>
        <w:rPr>
          <w:rFonts w:hint="eastAsia" w:ascii="宋体" w:hAnsi="宋体" w:eastAsia="宋体" w:cs="宋体"/>
        </w:rPr>
        <w:t>构件第</w:t>
      </w:r>
      <w:r>
        <w:rPr>
          <w:rFonts w:ascii="Times New Roman" w:hAnsi="Times New Roman" w:eastAsia="宋体" w:cs="Times New Roman"/>
          <w:i/>
        </w:rPr>
        <w:t>i</w:t>
      </w:r>
      <w:r>
        <w:rPr>
          <w:rFonts w:hint="eastAsia" w:ascii="宋体" w:hAnsi="宋体" w:eastAsia="宋体" w:cs="宋体"/>
        </w:rPr>
        <w:t>个测区的混凝土抗压强度换算值（</w:t>
      </w:r>
      <m:oMath>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cu,i</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oMath>
      <w:r>
        <w:rPr>
          <w:rFonts w:hint="eastAsia" w:ascii="宋体" w:hAnsi="宋体" w:eastAsia="宋体" w:cs="宋体"/>
        </w:rPr>
        <w:t>），可按</w:t>
      </w:r>
      <w:r>
        <w:rPr>
          <w:rFonts w:hint="eastAsia" w:ascii="Times New Roman" w:hAnsi="Times New Roman" w:eastAsia="宋体" w:cs="Times New Roman"/>
        </w:rPr>
        <w:t>C</w:t>
      </w:r>
      <w:r>
        <w:rPr>
          <w:rFonts w:ascii="Times New Roman" w:hAnsi="Times New Roman" w:eastAsia="宋体" w:cs="Times New Roman"/>
        </w:rPr>
        <w:t>.0.2</w:t>
      </w:r>
      <w:r>
        <w:rPr>
          <w:rFonts w:hint="eastAsia" w:ascii="Times New Roman" w:hAnsi="Times New Roman" w:eastAsia="宋体" w:cs="Times New Roman"/>
        </w:rPr>
        <w:t>和C</w:t>
      </w:r>
      <w:r>
        <w:rPr>
          <w:rFonts w:ascii="Times New Roman" w:hAnsi="Times New Roman" w:eastAsia="宋体" w:cs="Times New Roman"/>
        </w:rPr>
        <w:t>.0.3</w:t>
      </w:r>
      <w:r>
        <w:rPr>
          <w:rFonts w:hint="eastAsia" w:ascii="宋体" w:hAnsi="宋体" w:eastAsia="宋体" w:cs="宋体"/>
        </w:rPr>
        <w:t>的有关规定求得修正后的测区回弹代表值（</w:t>
      </w:r>
      <m:oMath>
        <m:sSub>
          <m:sSubPr>
            <m:ctrlPr>
              <w:rPr>
                <w:rFonts w:ascii="Cambria Math" w:hAnsi="Cambria Math" w:cs="Times New Roman"/>
                <w:i/>
                <w:kern w:val="0"/>
                <w:szCs w:val="21"/>
              </w:rPr>
            </m:ctrlPr>
          </m:sSubPr>
          <m:e>
            <m:r>
              <m:rPr/>
              <w:rPr>
                <w:rFonts w:ascii="Cambria Math" w:hAnsi="Cambria Math" w:cs="Times New Roman"/>
                <w:kern w:val="0"/>
                <w:szCs w:val="21"/>
              </w:rPr>
              <m:t>R</m:t>
            </m:r>
            <m:ctrlPr>
              <w:rPr>
                <w:rFonts w:ascii="Cambria Math" w:hAnsi="Cambria Math" w:cs="Times New Roman"/>
                <w:i/>
                <w:kern w:val="0"/>
                <w:szCs w:val="21"/>
              </w:rPr>
            </m:ctrlPr>
          </m:e>
          <m:sub>
            <m:r>
              <m:rPr/>
              <w:rPr>
                <w:rFonts w:hint="eastAsia" w:ascii="Cambria Math" w:hAnsi="Cambria Math" w:cs="Times New Roman"/>
                <w:kern w:val="0"/>
                <w:szCs w:val="21"/>
              </w:rPr>
              <m:t>ai</m:t>
            </m:r>
            <m:ctrlPr>
              <w:rPr>
                <w:rFonts w:ascii="Cambria Math" w:hAnsi="Cambria Math" w:cs="Times New Roman"/>
                <w:i/>
                <w:kern w:val="0"/>
                <w:szCs w:val="21"/>
              </w:rPr>
            </m:ctrlPr>
          </m:sub>
        </m:sSub>
      </m:oMath>
      <w:r>
        <w:rPr>
          <w:rFonts w:hint="eastAsia" w:ascii="宋体" w:hAnsi="宋体" w:eastAsia="宋体" w:cs="宋体"/>
        </w:rPr>
        <w:t>）和声速代表值（</w:t>
      </w:r>
      <m:oMath>
        <m:sSub>
          <m:sSubPr>
            <m:ctrlPr>
              <w:rPr>
                <w:rFonts w:ascii="Cambria Math" w:hAnsi="Cambria Math" w:cs="Times New Roman"/>
                <w:i/>
                <w:kern w:val="0"/>
                <w:szCs w:val="21"/>
              </w:rPr>
            </m:ctrlPr>
          </m:sSubPr>
          <m:e>
            <m:r>
              <m:rPr/>
              <w:rPr>
                <w:rFonts w:hint="eastAsia" w:ascii="Cambria Math" w:hAnsi="Cambria Math" w:cs="Times New Roman"/>
                <w:kern w:val="0"/>
                <w:szCs w:val="21"/>
              </w:rPr>
              <m:t>v</m:t>
            </m:r>
            <m:ctrlPr>
              <w:rPr>
                <w:rFonts w:ascii="Cambria Math" w:hAnsi="Cambria Math" w:cs="Times New Roman"/>
                <w:i/>
                <w:kern w:val="0"/>
                <w:szCs w:val="21"/>
              </w:rPr>
            </m:ctrlPr>
          </m:e>
          <m:sub>
            <m:r>
              <m:rPr/>
              <w:rPr>
                <w:rFonts w:hint="eastAsia" w:ascii="Cambria Math" w:hAnsi="Cambria Math" w:cs="Times New Roman"/>
                <w:kern w:val="0"/>
                <w:szCs w:val="21"/>
              </w:rPr>
              <m:t>ai</m:t>
            </m:r>
            <m:ctrlPr>
              <w:rPr>
                <w:rFonts w:ascii="Cambria Math" w:hAnsi="Cambria Math" w:cs="Times New Roman"/>
                <w:i/>
                <w:kern w:val="0"/>
                <w:szCs w:val="21"/>
              </w:rPr>
            </m:ctrlPr>
          </m:sub>
        </m:sSub>
      </m:oMath>
      <w:r>
        <w:rPr>
          <w:rFonts w:hint="eastAsia" w:ascii="宋体" w:hAnsi="宋体" w:eastAsia="宋体" w:cs="宋体"/>
        </w:rPr>
        <w:t>）后，采用</w:t>
      </w:r>
      <w:r>
        <w:rPr>
          <w:rFonts w:ascii="Times New Roman" w:hAnsi="Times New Roman" w:eastAsia="宋体" w:cs="Times New Roman"/>
        </w:rPr>
        <w:t>C.0.6</w:t>
      </w:r>
      <w:r>
        <w:rPr>
          <w:rFonts w:hint="eastAsia" w:ascii="宋体" w:hAnsi="宋体" w:eastAsia="宋体" w:cs="宋体"/>
        </w:rPr>
        <w:t>规定的测强曲线换算而得。</w:t>
      </w:r>
    </w:p>
    <w:p>
      <w:pPr>
        <w:pStyle w:val="26"/>
        <w:tabs>
          <w:tab w:val="left" w:pos="0"/>
          <w:tab w:val="left" w:pos="712"/>
          <w:tab w:val="left" w:pos="990"/>
          <w:tab w:val="left" w:pos="6020"/>
        </w:tabs>
        <w:spacing w:line="360" w:lineRule="auto"/>
        <w:rPr>
          <w:rFonts w:hint="eastAsia" w:ascii="宋体" w:hAnsi="宋体" w:eastAsia="宋体" w:cs="宋体"/>
        </w:rPr>
      </w:pPr>
      <w:r>
        <w:rPr>
          <w:rFonts w:ascii="黑体" w:hAnsi="黑体" w:eastAsia="黑体" w:cs="黑体"/>
        </w:rPr>
        <w:t xml:space="preserve">2 </w:t>
      </w:r>
      <w:r>
        <w:rPr>
          <w:rFonts w:hint="eastAsia" w:ascii="黑体" w:hAnsi="黑体" w:eastAsia="黑体" w:cs="黑体"/>
        </w:rPr>
        <w:t xml:space="preserve"> </w:t>
      </w:r>
      <w:r>
        <w:rPr>
          <w:rFonts w:hint="eastAsia" w:ascii="宋体" w:hAnsi="宋体" w:eastAsia="宋体" w:cs="宋体"/>
        </w:rPr>
        <w:t>当构件所采用的材料及龄期与制定测强曲线所采用的材料及龄期有较大差异时，可采用在构件上钻取混凝土芯样或同条件立方体试件对测区混凝土抗压强度换算值进行修正。</w:t>
      </w:r>
    </w:p>
    <w:p>
      <w:pPr>
        <w:pStyle w:val="26"/>
        <w:tabs>
          <w:tab w:val="left" w:pos="0"/>
          <w:tab w:val="left" w:pos="712"/>
          <w:tab w:val="left" w:pos="990"/>
          <w:tab w:val="left" w:pos="6020"/>
        </w:tabs>
        <w:spacing w:line="360" w:lineRule="auto"/>
        <w:rPr>
          <w:rFonts w:hint="eastAsia" w:ascii="宋体" w:hAnsi="宋体" w:eastAsia="宋体" w:cs="宋体"/>
        </w:rPr>
      </w:pPr>
      <w:r>
        <w:rPr>
          <w:rFonts w:ascii="黑体" w:hAnsi="黑体" w:eastAsia="黑体" w:cs="黑体"/>
        </w:rPr>
        <w:t xml:space="preserve">3  </w:t>
      </w:r>
      <w:r>
        <w:rPr>
          <w:rFonts w:hint="eastAsia" w:ascii="宋体" w:hAnsi="宋体" w:eastAsia="宋体" w:cs="宋体"/>
        </w:rPr>
        <w:t>混凝土芯样修正时，芯样数量不应少于</w:t>
      </w:r>
      <w:r>
        <w:rPr>
          <w:rFonts w:ascii="Times New Roman" w:hAnsi="Times New Roman" w:eastAsia="宋体" w:cs="Times New Roman"/>
        </w:rPr>
        <w:t>4</w:t>
      </w:r>
      <w:r>
        <w:rPr>
          <w:rFonts w:hint="eastAsia" w:ascii="宋体" w:hAnsi="宋体" w:eastAsia="宋体" w:cs="宋体"/>
        </w:rPr>
        <w:t>个，公称直径宜为</w:t>
      </w:r>
      <w:r>
        <w:rPr>
          <w:rFonts w:hint="eastAsia" w:ascii="Times New Roman" w:hAnsi="Times New Roman" w:eastAsia="宋体" w:cs="Times New Roman"/>
        </w:rPr>
        <w:t>100</w:t>
      </w:r>
      <w:r>
        <w:rPr>
          <w:rFonts w:hint="eastAsia" w:ascii="宋体" w:hAnsi="宋体" w:eastAsia="宋体" w:cs="宋体"/>
        </w:rPr>
        <w:t>mm，高径比应为</w:t>
      </w:r>
      <w:r>
        <w:rPr>
          <w:rFonts w:hint="eastAsia" w:ascii="Times New Roman" w:hAnsi="Times New Roman" w:eastAsia="宋体" w:cs="Times New Roman"/>
        </w:rPr>
        <w:t>1</w:t>
      </w:r>
      <w:r>
        <w:rPr>
          <w:rFonts w:hint="eastAsia" w:ascii="宋体" w:hAnsi="宋体" w:eastAsia="宋体" w:cs="宋体"/>
        </w:rPr>
        <w:t>。芯样应在测区内钻取，每个芯样应只加工</w:t>
      </w:r>
      <w:r>
        <w:rPr>
          <w:rFonts w:hint="eastAsia" w:ascii="Times New Roman" w:hAnsi="Times New Roman" w:eastAsia="宋体" w:cs="Times New Roman"/>
        </w:rPr>
        <w:t>1</w:t>
      </w:r>
      <w:r>
        <w:rPr>
          <w:rFonts w:hint="eastAsia" w:ascii="宋体" w:hAnsi="宋体" w:eastAsia="宋体" w:cs="宋体"/>
        </w:rPr>
        <w:t>个试件，并应符合</w:t>
      </w:r>
      <w:r>
        <w:rPr>
          <w:rFonts w:hint="eastAsia" w:ascii="Times New Roman" w:hAnsi="Times New Roman" w:eastAsia="宋体" w:cs="Times New Roman"/>
        </w:rPr>
        <w:t>JGJ/T 384</w:t>
      </w:r>
      <w:r>
        <w:rPr>
          <w:rFonts w:hint="eastAsia" w:ascii="宋体" w:hAnsi="宋体" w:eastAsia="宋体" w:cs="宋体"/>
        </w:rPr>
        <w:t>的有关规定。</w:t>
      </w:r>
    </w:p>
    <w:p>
      <w:pPr>
        <w:pStyle w:val="26"/>
        <w:tabs>
          <w:tab w:val="left" w:pos="0"/>
          <w:tab w:val="left" w:pos="712"/>
          <w:tab w:val="left" w:pos="990"/>
          <w:tab w:val="left" w:pos="6020"/>
        </w:tabs>
        <w:spacing w:line="360" w:lineRule="auto"/>
        <w:rPr>
          <w:rFonts w:hint="eastAsia" w:ascii="宋体" w:hAnsi="宋体" w:eastAsia="宋体" w:cs="宋体"/>
        </w:rPr>
      </w:pPr>
      <w:r>
        <w:rPr>
          <w:rFonts w:ascii="黑体" w:hAnsi="黑体" w:eastAsia="黑体" w:cs="黑体"/>
        </w:rPr>
        <w:t xml:space="preserve">4  </w:t>
      </w:r>
      <w:r>
        <w:rPr>
          <w:rFonts w:hint="eastAsia" w:ascii="宋体" w:hAnsi="宋体" w:eastAsia="宋体" w:cs="宋体"/>
        </w:rPr>
        <w:t>同条件立方体试件修正时，试件数量不应少于</w:t>
      </w:r>
      <w:r>
        <w:rPr>
          <w:rFonts w:ascii="Times New Roman" w:hAnsi="Times New Roman" w:eastAsia="宋体" w:cs="Times New Roman"/>
        </w:rPr>
        <w:t>4个，试件边长应为150mm，并应符合GB/T 50081</w:t>
      </w:r>
      <w:r>
        <w:rPr>
          <w:rFonts w:hint="eastAsia" w:ascii="宋体" w:hAnsi="宋体" w:eastAsia="宋体" w:cs="宋体"/>
        </w:rPr>
        <w:t>的有关规定。</w:t>
      </w:r>
    </w:p>
    <w:p>
      <w:pPr>
        <w:pStyle w:val="26"/>
        <w:tabs>
          <w:tab w:val="left" w:pos="0"/>
          <w:tab w:val="left" w:pos="712"/>
          <w:tab w:val="left" w:pos="990"/>
          <w:tab w:val="left" w:pos="6020"/>
        </w:tabs>
        <w:spacing w:line="360" w:lineRule="auto"/>
        <w:rPr>
          <w:rFonts w:hint="eastAsia" w:ascii="宋体" w:hAnsi="宋体" w:eastAsia="宋体" w:cs="宋体"/>
        </w:rPr>
      </w:pPr>
      <w:r>
        <w:rPr>
          <w:rFonts w:ascii="黑体" w:hAnsi="黑体" w:eastAsia="黑体" w:cs="黑体"/>
        </w:rPr>
        <w:t xml:space="preserve">5  </w:t>
      </w:r>
      <w:r>
        <w:rPr>
          <w:rFonts w:hint="eastAsia" w:ascii="宋体" w:hAnsi="宋体" w:eastAsia="宋体" w:cs="宋体"/>
        </w:rPr>
        <w:t>计算时，测区混凝土抗压强度修正量及测区混凝土抗压强度换算值的修正应符合下列要求：</w:t>
      </w:r>
    </w:p>
    <w:p>
      <w:pPr>
        <w:tabs>
          <w:tab w:val="left" w:pos="6020"/>
        </w:tabs>
        <w:spacing w:line="360" w:lineRule="auto"/>
        <w:ind w:firstLine="703" w:firstLineChars="335"/>
        <w:rPr>
          <w:rFonts w:hint="eastAsia" w:ascii="宋体" w:hAnsi="宋体" w:eastAsia="宋体" w:cs="宋体"/>
        </w:rPr>
      </w:pPr>
      <w:r>
        <w:rPr>
          <w:rFonts w:hint="eastAsia" w:ascii="黑体" w:hAnsi="黑体" w:eastAsia="黑体" w:cs="黑体"/>
        </w:rPr>
        <w:t>1）</w:t>
      </w:r>
      <w:r>
        <w:rPr>
          <w:rFonts w:hint="eastAsia" w:ascii="Times New Roman" w:hAnsi="Times New Roman"/>
          <w:bCs/>
          <w:szCs w:val="20"/>
        </w:rPr>
        <w:t>修正量应按下列公式计算：</w:t>
      </w:r>
    </w:p>
    <w:tbl>
      <w:tblPr>
        <w:tblStyle w:val="20"/>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985"/>
        <w:gridCol w:w="4111"/>
        <w:gridCol w:w="219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985" w:type="dxa"/>
            <w:vAlign w:val="center"/>
          </w:tcPr>
          <w:p>
            <w:pPr>
              <w:tabs>
                <w:tab w:val="left" w:pos="0"/>
                <w:tab w:val="left" w:pos="712"/>
                <w:tab w:val="left" w:pos="990"/>
                <w:tab w:val="left" w:pos="6020"/>
              </w:tabs>
              <w:jc w:val="center"/>
              <w:rPr>
                <w:rFonts w:hint="eastAsia" w:ascii="宋体" w:hAnsi="宋体" w:eastAsia="宋体" w:cs="宋体"/>
              </w:rPr>
            </w:pPr>
          </w:p>
        </w:tc>
        <w:tc>
          <w:tcPr>
            <w:tcW w:w="4111" w:type="dxa"/>
            <w:vAlign w:val="center"/>
          </w:tcPr>
          <w:p>
            <w:pPr>
              <w:tabs>
                <w:tab w:val="left" w:pos="0"/>
                <w:tab w:val="left" w:pos="712"/>
                <w:tab w:val="left" w:pos="990"/>
                <w:tab w:val="left" w:pos="6020"/>
              </w:tabs>
              <w:jc w:val="center"/>
              <w:rPr>
                <w:rFonts w:hint="eastAsia" w:ascii="宋体" w:hAnsi="宋体" w:eastAsia="宋体" w:cs="宋体"/>
              </w:rPr>
            </w:pPr>
            <m:oMathPara>
              <m:oMath>
                <m:sSub>
                  <m:sSubPr>
                    <m:ctrlPr>
                      <w:rPr>
                        <w:rFonts w:ascii="Cambria Math" w:hAnsi="Cambria Math" w:cs="Times New Roman"/>
                        <w:kern w:val="0"/>
                        <w:szCs w:val="21"/>
                      </w:rPr>
                    </m:ctrlPr>
                  </m:sSubPr>
                  <m:e>
                    <m:r>
                      <m:rPr/>
                      <w:rPr>
                        <w:rFonts w:ascii="Cambria Math" w:hAnsi="Cambria Math" w:cs="Times New Roman"/>
                        <w:kern w:val="0"/>
                        <w:szCs w:val="21"/>
                      </w:rPr>
                      <m:t>Δ</m:t>
                    </m:r>
                    <m:ctrlPr>
                      <w:rPr>
                        <w:rFonts w:ascii="Cambria Math" w:hAnsi="Cambria Math" w:cs="Times New Roman"/>
                        <w:kern w:val="0"/>
                        <w:szCs w:val="21"/>
                      </w:rPr>
                    </m:ctrlPr>
                  </m:e>
                  <m:sub>
                    <m:r>
                      <m:rPr/>
                      <w:rPr>
                        <w:rFonts w:hint="eastAsia" w:ascii="Cambria Math" w:hAnsi="Cambria Math" w:cs="Times New Roman"/>
                        <w:kern w:val="0"/>
                        <w:szCs w:val="21"/>
                      </w:rPr>
                      <m:t>tot</m:t>
                    </m:r>
                    <m:ctrlPr>
                      <w:rPr>
                        <w:rFonts w:ascii="Cambria Math" w:hAnsi="Cambria Math" w:cs="Times New Roman"/>
                        <w:kern w:val="0"/>
                        <w:szCs w:val="21"/>
                      </w:rPr>
                    </m:ctrlPr>
                  </m:sub>
                </m:sSub>
                <m:r>
                  <m:rPr/>
                  <w:rPr>
                    <w:rFonts w:ascii="Cambria Math" w:hAnsi="Cambria Math" w:cs="Times New Roman"/>
                    <w:kern w:val="0"/>
                    <w:szCs w:val="21"/>
                  </w:rPr>
                  <m:t>=</m:t>
                </m:r>
                <m:sSub>
                  <m:sSubPr>
                    <m:ctrlPr>
                      <w:rPr>
                        <w:rFonts w:ascii="Cambria Math" w:hAnsi="Cambria Math" w:cs="Times New Roman"/>
                        <w:i/>
                        <w:kern w:val="0"/>
                        <w:szCs w:val="21"/>
                      </w:rPr>
                    </m:ctrlPr>
                  </m:sSub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m:t>
                    </m:r>
                    <m:r>
                      <m:rPr/>
                      <w:rPr>
                        <w:rFonts w:hint="eastAsia" w:ascii="Cambria Math" w:hAnsi="Cambria Math" w:cs="Times New Roman"/>
                        <w:kern w:val="0"/>
                        <w:szCs w:val="21"/>
                      </w:rPr>
                      <m:t>or</m:t>
                    </m:r>
                    <m:r>
                      <m:rPr/>
                      <w:rPr>
                        <w:rFonts w:ascii="Cambria Math" w:hAnsi="Cambria Math" w:cs="Times New Roman"/>
                        <w:kern w:val="0"/>
                        <w:szCs w:val="21"/>
                      </w:rPr>
                      <m:t>,m</m:t>
                    </m:r>
                    <m:ctrlPr>
                      <w:rPr>
                        <w:rFonts w:ascii="Cambria Math" w:hAnsi="Cambria Math" w:cs="Times New Roman"/>
                        <w:i/>
                        <w:kern w:val="0"/>
                        <w:szCs w:val="21"/>
                      </w:rPr>
                    </m:ctrlPr>
                  </m:sub>
                </m:sSub>
                <m:r>
                  <m:rPr/>
                  <w:rPr>
                    <w:rFonts w:ascii="Cambria Math" w:hAnsi="Cambria Math" w:cs="Times New Roman"/>
                    <w:kern w:val="0"/>
                    <w:szCs w:val="21"/>
                  </w:rPr>
                  <m:t>−</m:t>
                </m:r>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cu,m0</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oMath>
            </m:oMathPara>
          </w:p>
        </w:tc>
        <w:tc>
          <w:tcPr>
            <w:tcW w:w="2194" w:type="dxa"/>
            <w:vAlign w:val="center"/>
          </w:tcPr>
          <w:p>
            <w:pPr>
              <w:tabs>
                <w:tab w:val="left" w:pos="0"/>
                <w:tab w:val="left" w:pos="712"/>
                <w:tab w:val="left" w:pos="990"/>
                <w:tab w:val="left" w:pos="6020"/>
              </w:tabs>
              <w:jc w:val="center"/>
              <w:rPr>
                <w:rFonts w:hint="eastAsia" w:ascii="宋体" w:hAnsi="宋体" w:eastAsia="宋体" w:cs="宋体"/>
              </w:rPr>
            </w:pPr>
            <w:r>
              <w:rPr>
                <w:rFonts w:hint="eastAsia" w:ascii="宋体" w:hAnsi="宋体" w:eastAsia="宋体" w:cs="宋体"/>
              </w:rPr>
              <w:t>（</w:t>
            </w:r>
            <w:r>
              <w:rPr>
                <w:rFonts w:ascii="黑体" w:hAnsi="黑体" w:eastAsia="黑体" w:cs="黑体"/>
              </w:rPr>
              <w:t>C</w:t>
            </w:r>
            <w:r>
              <w:rPr>
                <w:rFonts w:hint="eastAsia" w:ascii="黑体" w:hAnsi="黑体" w:eastAsia="黑体" w:cs="黑体"/>
              </w:rPr>
              <w:t>.0.</w:t>
            </w:r>
            <w:r>
              <w:rPr>
                <w:rFonts w:ascii="黑体" w:hAnsi="黑体" w:eastAsia="黑体" w:cs="黑体"/>
              </w:rPr>
              <w:t>8-1</w:t>
            </w:r>
            <w:r>
              <w:rPr>
                <w:rFonts w:hint="eastAsia" w:ascii="宋体" w:hAnsi="宋体" w:eastAsia="宋体" w:cs="宋体"/>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985" w:type="dxa"/>
            <w:vAlign w:val="center"/>
          </w:tcPr>
          <w:p>
            <w:pPr>
              <w:tabs>
                <w:tab w:val="left" w:pos="0"/>
                <w:tab w:val="left" w:pos="712"/>
                <w:tab w:val="left" w:pos="990"/>
                <w:tab w:val="left" w:pos="6020"/>
              </w:tabs>
              <w:jc w:val="center"/>
              <w:rPr>
                <w:rFonts w:hint="eastAsia" w:ascii="宋体" w:hAnsi="宋体" w:eastAsia="宋体" w:cs="宋体"/>
              </w:rPr>
            </w:pPr>
          </w:p>
        </w:tc>
        <w:tc>
          <w:tcPr>
            <w:tcW w:w="4111" w:type="dxa"/>
            <w:vAlign w:val="center"/>
          </w:tcPr>
          <w:p>
            <w:pPr>
              <w:tabs>
                <w:tab w:val="left" w:pos="0"/>
                <w:tab w:val="left" w:pos="712"/>
                <w:tab w:val="left" w:pos="990"/>
                <w:tab w:val="left" w:pos="6020"/>
              </w:tabs>
              <w:jc w:val="center"/>
              <w:rPr>
                <w:rFonts w:hint="eastAsia" w:ascii="宋体" w:hAnsi="宋体" w:eastAsia="宋体" w:cs="宋体"/>
              </w:rPr>
            </w:pPr>
            <m:oMathPara>
              <m:oMath>
                <m:sSub>
                  <m:sSubPr>
                    <m:ctrlPr>
                      <w:rPr>
                        <w:rFonts w:ascii="Cambria Math" w:hAnsi="Cambria Math" w:cs="Times New Roman"/>
                        <w:kern w:val="0"/>
                        <w:szCs w:val="21"/>
                      </w:rPr>
                    </m:ctrlPr>
                  </m:sSubPr>
                  <m:e>
                    <m:r>
                      <m:rPr/>
                      <w:rPr>
                        <w:rFonts w:ascii="Cambria Math" w:hAnsi="Cambria Math" w:cs="Times New Roman"/>
                        <w:kern w:val="0"/>
                        <w:szCs w:val="21"/>
                      </w:rPr>
                      <m:t>Δ</m:t>
                    </m:r>
                    <m:ctrlPr>
                      <w:rPr>
                        <w:rFonts w:ascii="Cambria Math" w:hAnsi="Cambria Math" w:cs="Times New Roman"/>
                        <w:kern w:val="0"/>
                        <w:szCs w:val="21"/>
                      </w:rPr>
                    </m:ctrlPr>
                  </m:e>
                  <m:sub>
                    <m:r>
                      <m:rPr/>
                      <w:rPr>
                        <w:rFonts w:hint="eastAsia" w:ascii="Cambria Math" w:hAnsi="Cambria Math" w:cs="Times New Roman"/>
                        <w:kern w:val="0"/>
                        <w:szCs w:val="21"/>
                      </w:rPr>
                      <m:t>tot</m:t>
                    </m:r>
                    <m:ctrlPr>
                      <w:rPr>
                        <w:rFonts w:ascii="Cambria Math" w:hAnsi="Cambria Math" w:cs="Times New Roman"/>
                        <w:kern w:val="0"/>
                        <w:szCs w:val="21"/>
                      </w:rPr>
                    </m:ctrlPr>
                  </m:sub>
                </m:sSub>
                <m:r>
                  <m:rPr/>
                  <w:rPr>
                    <w:rFonts w:ascii="Cambria Math" w:hAnsi="Cambria Math" w:cs="Times New Roman"/>
                    <w:kern w:val="0"/>
                    <w:szCs w:val="21"/>
                  </w:rPr>
                  <m:t>=</m:t>
                </m:r>
                <m:sSub>
                  <m:sSubPr>
                    <m:ctrlPr>
                      <w:rPr>
                        <w:rFonts w:ascii="Cambria Math" w:hAnsi="Cambria Math" w:cs="Times New Roman"/>
                        <w:i/>
                        <w:kern w:val="0"/>
                        <w:szCs w:val="21"/>
                      </w:rPr>
                    </m:ctrlPr>
                  </m:sSub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m:t>
                    </m:r>
                    <m:ctrlPr>
                      <w:rPr>
                        <w:rFonts w:ascii="Cambria Math" w:hAnsi="Cambria Math" w:cs="Times New Roman"/>
                        <w:i/>
                        <w:kern w:val="0"/>
                        <w:szCs w:val="21"/>
                      </w:rPr>
                    </m:ctrlPr>
                  </m:sub>
                </m:sSub>
                <m:r>
                  <m:rPr/>
                  <w:rPr>
                    <w:rFonts w:ascii="Cambria Math" w:hAnsi="Cambria Math" w:cs="Times New Roman"/>
                    <w:kern w:val="0"/>
                    <w:szCs w:val="21"/>
                  </w:rPr>
                  <m:t>−</m:t>
                </m:r>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cu,m0</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oMath>
            </m:oMathPara>
          </w:p>
        </w:tc>
        <w:tc>
          <w:tcPr>
            <w:tcW w:w="2194" w:type="dxa"/>
            <w:vAlign w:val="center"/>
          </w:tcPr>
          <w:p>
            <w:pPr>
              <w:tabs>
                <w:tab w:val="left" w:pos="0"/>
                <w:tab w:val="left" w:pos="712"/>
                <w:tab w:val="left" w:pos="990"/>
                <w:tab w:val="left" w:pos="6020"/>
              </w:tabs>
              <w:jc w:val="center"/>
              <w:rPr>
                <w:rFonts w:hint="eastAsia" w:ascii="宋体" w:hAnsi="宋体" w:eastAsia="宋体" w:cs="宋体"/>
              </w:rPr>
            </w:pPr>
            <w:r>
              <w:rPr>
                <w:rFonts w:hint="eastAsia" w:ascii="宋体" w:hAnsi="宋体" w:eastAsia="宋体" w:cs="宋体"/>
              </w:rPr>
              <w:t>（</w:t>
            </w:r>
            <w:r>
              <w:rPr>
                <w:rFonts w:ascii="黑体" w:hAnsi="黑体" w:eastAsia="黑体" w:cs="黑体"/>
              </w:rPr>
              <w:t>C</w:t>
            </w:r>
            <w:r>
              <w:rPr>
                <w:rFonts w:hint="eastAsia" w:ascii="黑体" w:hAnsi="黑体" w:eastAsia="黑体" w:cs="黑体"/>
              </w:rPr>
              <w:t>.0.</w:t>
            </w:r>
            <w:r>
              <w:rPr>
                <w:rFonts w:ascii="黑体" w:hAnsi="黑体" w:eastAsia="黑体" w:cs="黑体"/>
              </w:rPr>
              <w:t>8-2</w:t>
            </w:r>
            <w:r>
              <w:rPr>
                <w:rFonts w:hint="eastAsia" w:ascii="宋体" w:hAnsi="宋体" w:eastAsia="宋体" w:cs="宋体"/>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60" w:hRule="atLeast"/>
        </w:trPr>
        <w:tc>
          <w:tcPr>
            <w:tcW w:w="1985" w:type="dxa"/>
            <w:vAlign w:val="center"/>
          </w:tcPr>
          <w:p>
            <w:pPr>
              <w:tabs>
                <w:tab w:val="left" w:pos="0"/>
                <w:tab w:val="left" w:pos="712"/>
                <w:tab w:val="left" w:pos="990"/>
                <w:tab w:val="left" w:pos="6020"/>
              </w:tabs>
              <w:jc w:val="center"/>
              <w:rPr>
                <w:rFonts w:hint="eastAsia" w:ascii="宋体" w:hAnsi="宋体" w:eastAsia="宋体" w:cs="宋体"/>
              </w:rPr>
            </w:pPr>
          </w:p>
        </w:tc>
        <w:tc>
          <w:tcPr>
            <w:tcW w:w="4111" w:type="dxa"/>
            <w:vAlign w:val="center"/>
          </w:tcPr>
          <w:p>
            <w:pPr>
              <w:tabs>
                <w:tab w:val="left" w:pos="0"/>
                <w:tab w:val="left" w:pos="712"/>
                <w:tab w:val="left" w:pos="990"/>
                <w:tab w:val="left" w:pos="6020"/>
              </w:tabs>
              <w:jc w:val="center"/>
              <w:rPr>
                <w:rFonts w:hint="eastAsia" w:ascii="宋体" w:hAnsi="宋体" w:eastAsia="宋体" w:cs="宋体"/>
              </w:rPr>
            </w:pPr>
            <m:oMathPara>
              <m:oMath>
                <m:sSub>
                  <m:sSubPr>
                    <m:ctrlPr>
                      <w:rPr>
                        <w:rFonts w:ascii="Cambria Math" w:hAnsi="Cambria Math" w:cs="Times New Roman"/>
                        <w:i/>
                        <w:kern w:val="0"/>
                        <w:szCs w:val="21"/>
                      </w:rPr>
                    </m:ctrlPr>
                  </m:sSub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m:t>
                    </m:r>
                    <m:r>
                      <m:rPr/>
                      <w:rPr>
                        <w:rFonts w:hint="eastAsia" w:ascii="Cambria Math" w:hAnsi="Cambria Math" w:cs="Times New Roman"/>
                        <w:kern w:val="0"/>
                        <w:szCs w:val="21"/>
                      </w:rPr>
                      <m:t>or</m:t>
                    </m:r>
                    <m:r>
                      <m:rPr/>
                      <w:rPr>
                        <w:rFonts w:ascii="Cambria Math" w:hAnsi="Cambria Math" w:cs="Times New Roman"/>
                        <w:kern w:val="0"/>
                        <w:szCs w:val="21"/>
                      </w:rPr>
                      <m:t>,m</m:t>
                    </m:r>
                    <m:ctrlPr>
                      <w:rPr>
                        <w:rFonts w:ascii="Cambria Math" w:hAnsi="Cambria Math" w:cs="Times New Roman"/>
                        <w:i/>
                        <w:kern w:val="0"/>
                        <w:szCs w:val="21"/>
                      </w:rPr>
                    </m:ctrlPr>
                  </m:sub>
                </m:sSub>
                <m:r>
                  <m:rPr/>
                  <w:rPr>
                    <w:rFonts w:ascii="Cambria Math" w:hAnsi="Cambria Math" w:cs="Times New Roman"/>
                    <w:kern w:val="0"/>
                    <w:szCs w:val="21"/>
                  </w:rPr>
                  <m:t>=</m:t>
                </m:r>
                <m:f>
                  <m:fPr>
                    <m:ctrlPr>
                      <w:rPr>
                        <w:rFonts w:ascii="Cambria Math" w:hAnsi="Cambria Math" w:cs="Times New Roman"/>
                        <w:i/>
                        <w:kern w:val="0"/>
                        <w:szCs w:val="21"/>
                      </w:rPr>
                    </m:ctrlPr>
                  </m:fPr>
                  <m:num>
                    <m:r>
                      <m:rPr/>
                      <w:rPr>
                        <w:rFonts w:ascii="Cambria Math" w:hAnsi="Cambria Math" w:cs="Times New Roman"/>
                        <w:kern w:val="0"/>
                        <w:szCs w:val="21"/>
                      </w:rPr>
                      <m:t>1</m:t>
                    </m:r>
                    <m:ctrlPr>
                      <w:rPr>
                        <w:rFonts w:ascii="Cambria Math" w:hAnsi="Cambria Math" w:cs="Times New Roman"/>
                        <w:i/>
                        <w:kern w:val="0"/>
                        <w:szCs w:val="21"/>
                      </w:rPr>
                    </m:ctrlPr>
                  </m:num>
                  <m:den>
                    <m:r>
                      <m:rPr/>
                      <w:rPr>
                        <w:rFonts w:ascii="Cambria Math" w:hAnsi="Cambria Math" w:cs="Times New Roman"/>
                        <w:kern w:val="0"/>
                        <w:szCs w:val="21"/>
                      </w:rPr>
                      <m:t>n</m:t>
                    </m:r>
                    <m:ctrlPr>
                      <w:rPr>
                        <w:rFonts w:ascii="Cambria Math" w:hAnsi="Cambria Math" w:cs="Times New Roman"/>
                        <w:i/>
                        <w:kern w:val="0"/>
                        <w:szCs w:val="21"/>
                      </w:rPr>
                    </m:ctrlPr>
                  </m:den>
                </m:f>
                <m:nary>
                  <m:naryPr>
                    <m:chr m:val="∑"/>
                    <m:limLoc m:val="undOvr"/>
                    <m:ctrlPr>
                      <w:rPr>
                        <w:rFonts w:ascii="Cambria Math" w:hAnsi="Cambria Math" w:cs="Times New Roman"/>
                        <w:i/>
                        <w:kern w:val="0"/>
                        <w:szCs w:val="21"/>
                      </w:rPr>
                    </m:ctrlPr>
                  </m:naryPr>
                  <m:sub>
                    <m:r>
                      <m:rPr/>
                      <w:rPr>
                        <w:rFonts w:ascii="Cambria Math" w:hAnsi="Cambria Math" w:cs="Times New Roman"/>
                        <w:kern w:val="0"/>
                        <w:szCs w:val="21"/>
                      </w:rPr>
                      <m:t>i=1</m:t>
                    </m:r>
                    <m:ctrlPr>
                      <w:rPr>
                        <w:rFonts w:ascii="Cambria Math" w:hAnsi="Cambria Math" w:cs="Times New Roman"/>
                        <w:i/>
                        <w:kern w:val="0"/>
                        <w:szCs w:val="21"/>
                      </w:rPr>
                    </m:ctrlPr>
                  </m:sub>
                  <m:sup>
                    <m:r>
                      <m:rPr/>
                      <w:rPr>
                        <w:rFonts w:ascii="Cambria Math" w:hAnsi="Cambria Math" w:cs="Times New Roman"/>
                        <w:kern w:val="0"/>
                        <w:szCs w:val="21"/>
                      </w:rPr>
                      <m:t>n</m:t>
                    </m:r>
                    <m:ctrlPr>
                      <w:rPr>
                        <w:rFonts w:ascii="Cambria Math" w:hAnsi="Cambria Math" w:cs="Times New Roman"/>
                        <w:i/>
                        <w:kern w:val="0"/>
                        <w:szCs w:val="21"/>
                      </w:rPr>
                    </m:ctrlPr>
                  </m:sup>
                  <m:e>
                    <m:sSub>
                      <m:sSubPr>
                        <m:ctrlPr>
                          <w:rPr>
                            <w:rFonts w:ascii="Cambria Math" w:hAnsi="Cambria Math" w:cs="Times New Roman"/>
                            <w:i/>
                            <w:kern w:val="0"/>
                            <w:szCs w:val="21"/>
                          </w:rPr>
                        </m:ctrlPr>
                      </m:sSub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m:t>
                        </m:r>
                        <m:r>
                          <m:rPr/>
                          <w:rPr>
                            <w:rFonts w:hint="eastAsia" w:ascii="Cambria Math" w:hAnsi="Cambria Math" w:cs="Times New Roman"/>
                            <w:kern w:val="0"/>
                            <w:szCs w:val="21"/>
                          </w:rPr>
                          <m:t>or</m:t>
                        </m:r>
                        <m:r>
                          <m:rPr/>
                          <w:rPr>
                            <w:rFonts w:ascii="Cambria Math" w:hAnsi="Cambria Math" w:cs="Times New Roman"/>
                            <w:kern w:val="0"/>
                            <w:szCs w:val="21"/>
                          </w:rPr>
                          <m:t>,i</m:t>
                        </m:r>
                        <m:ctrlPr>
                          <w:rPr>
                            <w:rFonts w:ascii="Cambria Math" w:hAnsi="Cambria Math" w:cs="Times New Roman"/>
                            <w:i/>
                            <w:kern w:val="0"/>
                            <w:szCs w:val="21"/>
                          </w:rPr>
                        </m:ctrlPr>
                      </m:sub>
                    </m:sSub>
                    <m:ctrlPr>
                      <w:rPr>
                        <w:rFonts w:ascii="Cambria Math" w:hAnsi="Cambria Math" w:cs="Times New Roman"/>
                        <w:i/>
                        <w:kern w:val="0"/>
                        <w:szCs w:val="21"/>
                      </w:rPr>
                    </m:ctrlPr>
                  </m:e>
                </m:nary>
              </m:oMath>
            </m:oMathPara>
          </w:p>
        </w:tc>
        <w:tc>
          <w:tcPr>
            <w:tcW w:w="2194" w:type="dxa"/>
            <w:vAlign w:val="center"/>
          </w:tcPr>
          <w:p>
            <w:pPr>
              <w:tabs>
                <w:tab w:val="left" w:pos="0"/>
                <w:tab w:val="left" w:pos="712"/>
                <w:tab w:val="left" w:pos="990"/>
                <w:tab w:val="left" w:pos="6020"/>
              </w:tabs>
              <w:jc w:val="center"/>
              <w:rPr>
                <w:rFonts w:hint="eastAsia" w:ascii="宋体" w:hAnsi="宋体" w:eastAsia="宋体" w:cs="宋体"/>
              </w:rPr>
            </w:pPr>
            <w:r>
              <w:rPr>
                <w:rFonts w:hint="eastAsia" w:ascii="宋体" w:hAnsi="宋体" w:eastAsia="宋体" w:cs="宋体"/>
              </w:rPr>
              <w:t>（</w:t>
            </w:r>
            <w:r>
              <w:rPr>
                <w:rFonts w:ascii="黑体" w:hAnsi="黑体" w:eastAsia="黑体" w:cs="黑体"/>
              </w:rPr>
              <w:t>C</w:t>
            </w:r>
            <w:r>
              <w:rPr>
                <w:rFonts w:hint="eastAsia" w:ascii="黑体" w:hAnsi="黑体" w:eastAsia="黑体" w:cs="黑体"/>
              </w:rPr>
              <w:t>.0.</w:t>
            </w:r>
            <w:r>
              <w:rPr>
                <w:rFonts w:ascii="黑体" w:hAnsi="黑体" w:eastAsia="黑体" w:cs="黑体"/>
              </w:rPr>
              <w:t>8-3</w:t>
            </w:r>
            <w:r>
              <w:rPr>
                <w:rFonts w:hint="eastAsia" w:ascii="宋体" w:hAnsi="宋体" w:eastAsia="宋体" w:cs="宋体"/>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60" w:hRule="atLeast"/>
        </w:trPr>
        <w:tc>
          <w:tcPr>
            <w:tcW w:w="1985" w:type="dxa"/>
            <w:vAlign w:val="center"/>
          </w:tcPr>
          <w:p>
            <w:pPr>
              <w:tabs>
                <w:tab w:val="left" w:pos="0"/>
                <w:tab w:val="left" w:pos="712"/>
                <w:tab w:val="left" w:pos="990"/>
                <w:tab w:val="left" w:pos="6020"/>
              </w:tabs>
              <w:jc w:val="center"/>
              <w:rPr>
                <w:rFonts w:hint="eastAsia" w:ascii="宋体" w:hAnsi="宋体" w:eastAsia="宋体" w:cs="宋体"/>
              </w:rPr>
            </w:pPr>
          </w:p>
        </w:tc>
        <w:tc>
          <w:tcPr>
            <w:tcW w:w="4111" w:type="dxa"/>
            <w:vAlign w:val="center"/>
          </w:tcPr>
          <w:p>
            <w:pPr>
              <w:tabs>
                <w:tab w:val="left" w:pos="0"/>
                <w:tab w:val="left" w:pos="712"/>
                <w:tab w:val="left" w:pos="990"/>
                <w:tab w:val="left" w:pos="6020"/>
              </w:tabs>
              <w:jc w:val="center"/>
              <w:rPr>
                <w:rFonts w:hint="eastAsia" w:ascii="宋体" w:hAnsi="宋体" w:eastAsia="宋体" w:cs="宋体"/>
              </w:rPr>
            </w:pPr>
            <m:oMathPara>
              <m:oMath>
                <m:sSub>
                  <m:sSubPr>
                    <m:ctrlPr>
                      <w:rPr>
                        <w:rFonts w:ascii="Cambria Math" w:hAnsi="Cambria Math" w:cs="Times New Roman"/>
                        <w:i/>
                        <w:kern w:val="0"/>
                        <w:szCs w:val="21"/>
                      </w:rPr>
                    </m:ctrlPr>
                  </m:sSub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m:t>
                    </m:r>
                    <m:ctrlPr>
                      <w:rPr>
                        <w:rFonts w:ascii="Cambria Math" w:hAnsi="Cambria Math" w:cs="Times New Roman"/>
                        <w:i/>
                        <w:kern w:val="0"/>
                        <w:szCs w:val="21"/>
                      </w:rPr>
                    </m:ctrlPr>
                  </m:sub>
                </m:sSub>
                <m:r>
                  <m:rPr/>
                  <w:rPr>
                    <w:rFonts w:ascii="Cambria Math" w:hAnsi="Cambria Math" w:cs="Times New Roman"/>
                    <w:kern w:val="0"/>
                    <w:szCs w:val="21"/>
                  </w:rPr>
                  <m:t>=</m:t>
                </m:r>
                <m:f>
                  <m:fPr>
                    <m:ctrlPr>
                      <w:rPr>
                        <w:rFonts w:ascii="Cambria Math" w:hAnsi="Cambria Math" w:cs="Times New Roman"/>
                        <w:i/>
                        <w:kern w:val="0"/>
                        <w:szCs w:val="21"/>
                      </w:rPr>
                    </m:ctrlPr>
                  </m:fPr>
                  <m:num>
                    <m:r>
                      <m:rPr/>
                      <w:rPr>
                        <w:rFonts w:ascii="Cambria Math" w:hAnsi="Cambria Math" w:cs="Times New Roman"/>
                        <w:kern w:val="0"/>
                        <w:szCs w:val="21"/>
                      </w:rPr>
                      <m:t>1</m:t>
                    </m:r>
                    <m:ctrlPr>
                      <w:rPr>
                        <w:rFonts w:ascii="Cambria Math" w:hAnsi="Cambria Math" w:cs="Times New Roman"/>
                        <w:i/>
                        <w:kern w:val="0"/>
                        <w:szCs w:val="21"/>
                      </w:rPr>
                    </m:ctrlPr>
                  </m:num>
                  <m:den>
                    <m:r>
                      <m:rPr/>
                      <w:rPr>
                        <w:rFonts w:ascii="Cambria Math" w:hAnsi="Cambria Math" w:cs="Times New Roman"/>
                        <w:kern w:val="0"/>
                        <w:szCs w:val="21"/>
                      </w:rPr>
                      <m:t>n</m:t>
                    </m:r>
                    <m:ctrlPr>
                      <w:rPr>
                        <w:rFonts w:ascii="Cambria Math" w:hAnsi="Cambria Math" w:cs="Times New Roman"/>
                        <w:i/>
                        <w:kern w:val="0"/>
                        <w:szCs w:val="21"/>
                      </w:rPr>
                    </m:ctrlPr>
                  </m:den>
                </m:f>
                <m:nary>
                  <m:naryPr>
                    <m:chr m:val="∑"/>
                    <m:limLoc m:val="undOvr"/>
                    <m:ctrlPr>
                      <w:rPr>
                        <w:rFonts w:ascii="Cambria Math" w:hAnsi="Cambria Math" w:cs="Times New Roman"/>
                        <w:i/>
                        <w:kern w:val="0"/>
                        <w:szCs w:val="21"/>
                      </w:rPr>
                    </m:ctrlPr>
                  </m:naryPr>
                  <m:sub>
                    <m:r>
                      <m:rPr/>
                      <w:rPr>
                        <w:rFonts w:ascii="Cambria Math" w:hAnsi="Cambria Math" w:cs="Times New Roman"/>
                        <w:kern w:val="0"/>
                        <w:szCs w:val="21"/>
                      </w:rPr>
                      <m:t>i=1</m:t>
                    </m:r>
                    <m:ctrlPr>
                      <w:rPr>
                        <w:rFonts w:ascii="Cambria Math" w:hAnsi="Cambria Math" w:cs="Times New Roman"/>
                        <w:i/>
                        <w:kern w:val="0"/>
                        <w:szCs w:val="21"/>
                      </w:rPr>
                    </m:ctrlPr>
                  </m:sub>
                  <m:sup>
                    <m:r>
                      <m:rPr/>
                      <w:rPr>
                        <w:rFonts w:ascii="Cambria Math" w:hAnsi="Cambria Math" w:cs="Times New Roman"/>
                        <w:kern w:val="0"/>
                        <w:szCs w:val="21"/>
                      </w:rPr>
                      <m:t>n</m:t>
                    </m:r>
                    <m:ctrlPr>
                      <w:rPr>
                        <w:rFonts w:ascii="Cambria Math" w:hAnsi="Cambria Math" w:cs="Times New Roman"/>
                        <w:i/>
                        <w:kern w:val="0"/>
                        <w:szCs w:val="21"/>
                      </w:rPr>
                    </m:ctrlPr>
                  </m:sup>
                  <m:e>
                    <m:sSub>
                      <m:sSubPr>
                        <m:ctrlPr>
                          <w:rPr>
                            <w:rFonts w:ascii="Cambria Math" w:hAnsi="Cambria Math" w:cs="Times New Roman"/>
                            <w:i/>
                            <w:kern w:val="0"/>
                            <w:szCs w:val="21"/>
                          </w:rPr>
                        </m:ctrlPr>
                      </m:sSub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cu,i</m:t>
                        </m:r>
                        <m:ctrlPr>
                          <w:rPr>
                            <w:rFonts w:ascii="Cambria Math" w:hAnsi="Cambria Math" w:cs="Times New Roman"/>
                            <w:i/>
                            <w:kern w:val="0"/>
                            <w:szCs w:val="21"/>
                          </w:rPr>
                        </m:ctrlPr>
                      </m:sub>
                    </m:sSub>
                    <m:ctrlPr>
                      <w:rPr>
                        <w:rFonts w:ascii="Cambria Math" w:hAnsi="Cambria Math" w:cs="Times New Roman"/>
                        <w:i/>
                        <w:kern w:val="0"/>
                        <w:szCs w:val="21"/>
                      </w:rPr>
                    </m:ctrlPr>
                  </m:e>
                </m:nary>
              </m:oMath>
            </m:oMathPara>
          </w:p>
        </w:tc>
        <w:tc>
          <w:tcPr>
            <w:tcW w:w="2194" w:type="dxa"/>
            <w:vAlign w:val="center"/>
          </w:tcPr>
          <w:p>
            <w:pPr>
              <w:tabs>
                <w:tab w:val="left" w:pos="0"/>
                <w:tab w:val="left" w:pos="712"/>
                <w:tab w:val="left" w:pos="990"/>
                <w:tab w:val="left" w:pos="6020"/>
              </w:tabs>
              <w:jc w:val="center"/>
              <w:rPr>
                <w:rFonts w:hint="eastAsia" w:ascii="宋体" w:hAnsi="宋体" w:eastAsia="宋体" w:cs="宋体"/>
              </w:rPr>
            </w:pPr>
            <w:r>
              <w:rPr>
                <w:rFonts w:hint="eastAsia" w:ascii="宋体" w:hAnsi="宋体" w:eastAsia="宋体" w:cs="宋体"/>
              </w:rPr>
              <w:t>（</w:t>
            </w:r>
            <w:r>
              <w:rPr>
                <w:rFonts w:ascii="黑体" w:hAnsi="黑体" w:eastAsia="黑体" w:cs="黑体"/>
              </w:rPr>
              <w:t>C</w:t>
            </w:r>
            <w:r>
              <w:rPr>
                <w:rFonts w:hint="eastAsia" w:ascii="黑体" w:hAnsi="黑体" w:eastAsia="黑体" w:cs="黑体"/>
              </w:rPr>
              <w:t>.0.</w:t>
            </w:r>
            <w:r>
              <w:rPr>
                <w:rFonts w:ascii="黑体" w:hAnsi="黑体" w:eastAsia="黑体" w:cs="黑体"/>
              </w:rPr>
              <w:t>8-4</w:t>
            </w:r>
            <w:r>
              <w:rPr>
                <w:rFonts w:hint="eastAsia" w:ascii="宋体" w:hAnsi="宋体" w:eastAsia="宋体" w:cs="宋体"/>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60" w:hRule="atLeast"/>
        </w:trPr>
        <w:tc>
          <w:tcPr>
            <w:tcW w:w="1985" w:type="dxa"/>
            <w:vAlign w:val="center"/>
          </w:tcPr>
          <w:p>
            <w:pPr>
              <w:tabs>
                <w:tab w:val="left" w:pos="0"/>
                <w:tab w:val="left" w:pos="712"/>
                <w:tab w:val="left" w:pos="990"/>
                <w:tab w:val="left" w:pos="6020"/>
              </w:tabs>
              <w:jc w:val="center"/>
              <w:rPr>
                <w:rFonts w:hint="eastAsia" w:ascii="宋体" w:hAnsi="宋体" w:eastAsia="宋体" w:cs="宋体"/>
              </w:rPr>
            </w:pPr>
          </w:p>
        </w:tc>
        <w:tc>
          <w:tcPr>
            <w:tcW w:w="4111" w:type="dxa"/>
            <w:vAlign w:val="center"/>
          </w:tcPr>
          <w:p>
            <w:pPr>
              <w:tabs>
                <w:tab w:val="left" w:pos="0"/>
                <w:tab w:val="left" w:pos="712"/>
                <w:tab w:val="left" w:pos="990"/>
                <w:tab w:val="left" w:pos="6020"/>
              </w:tabs>
              <w:jc w:val="center"/>
              <w:rPr>
                <w:rFonts w:hint="eastAsia" w:ascii="宋体" w:hAnsi="宋体" w:eastAsia="宋体" w:cs="宋体"/>
              </w:rPr>
            </w:pPr>
            <m:oMathPara>
              <m:oMath>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cu,m0</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r>
                  <m:rPr/>
                  <w:rPr>
                    <w:rFonts w:ascii="Cambria Math" w:hAnsi="Cambria Math" w:cs="Times New Roman"/>
                    <w:kern w:val="0"/>
                    <w:szCs w:val="21"/>
                  </w:rPr>
                  <m:t>=</m:t>
                </m:r>
                <m:f>
                  <m:fPr>
                    <m:ctrlPr>
                      <w:rPr>
                        <w:rFonts w:ascii="Cambria Math" w:hAnsi="Cambria Math" w:cs="Times New Roman"/>
                        <w:i/>
                        <w:kern w:val="0"/>
                        <w:szCs w:val="21"/>
                      </w:rPr>
                    </m:ctrlPr>
                  </m:fPr>
                  <m:num>
                    <m:r>
                      <m:rPr/>
                      <w:rPr>
                        <w:rFonts w:ascii="Cambria Math" w:hAnsi="Cambria Math" w:cs="Times New Roman"/>
                        <w:kern w:val="0"/>
                        <w:szCs w:val="21"/>
                      </w:rPr>
                      <m:t>1</m:t>
                    </m:r>
                    <m:ctrlPr>
                      <w:rPr>
                        <w:rFonts w:ascii="Cambria Math" w:hAnsi="Cambria Math" w:cs="Times New Roman"/>
                        <w:i/>
                        <w:kern w:val="0"/>
                        <w:szCs w:val="21"/>
                      </w:rPr>
                    </m:ctrlPr>
                  </m:num>
                  <m:den>
                    <m:r>
                      <m:rPr/>
                      <w:rPr>
                        <w:rFonts w:ascii="Cambria Math" w:hAnsi="Cambria Math" w:cs="Times New Roman"/>
                        <w:kern w:val="0"/>
                        <w:szCs w:val="21"/>
                      </w:rPr>
                      <m:t>n</m:t>
                    </m:r>
                    <m:ctrlPr>
                      <w:rPr>
                        <w:rFonts w:ascii="Cambria Math" w:hAnsi="Cambria Math" w:cs="Times New Roman"/>
                        <w:i/>
                        <w:kern w:val="0"/>
                        <w:szCs w:val="21"/>
                      </w:rPr>
                    </m:ctrlPr>
                  </m:den>
                </m:f>
                <m:nary>
                  <m:naryPr>
                    <m:chr m:val="∑"/>
                    <m:limLoc m:val="undOvr"/>
                    <m:ctrlPr>
                      <w:rPr>
                        <w:rFonts w:ascii="Cambria Math" w:hAnsi="Cambria Math" w:cs="Times New Roman"/>
                        <w:i/>
                        <w:kern w:val="0"/>
                        <w:szCs w:val="21"/>
                      </w:rPr>
                    </m:ctrlPr>
                  </m:naryPr>
                  <m:sub>
                    <m:r>
                      <m:rPr/>
                      <w:rPr>
                        <w:rFonts w:ascii="Cambria Math" w:hAnsi="Cambria Math" w:cs="Times New Roman"/>
                        <w:kern w:val="0"/>
                        <w:szCs w:val="21"/>
                      </w:rPr>
                      <m:t>i=1</m:t>
                    </m:r>
                    <m:ctrlPr>
                      <w:rPr>
                        <w:rFonts w:ascii="Cambria Math" w:hAnsi="Cambria Math" w:cs="Times New Roman"/>
                        <w:i/>
                        <w:kern w:val="0"/>
                        <w:szCs w:val="21"/>
                      </w:rPr>
                    </m:ctrlPr>
                  </m:sub>
                  <m:sup>
                    <m:r>
                      <m:rPr/>
                      <w:rPr>
                        <w:rFonts w:ascii="Cambria Math" w:hAnsi="Cambria Math" w:cs="Times New Roman"/>
                        <w:kern w:val="0"/>
                        <w:szCs w:val="21"/>
                      </w:rPr>
                      <m:t>n</m:t>
                    </m:r>
                    <m:ctrlPr>
                      <w:rPr>
                        <w:rFonts w:ascii="Cambria Math" w:hAnsi="Cambria Math" w:cs="Times New Roman"/>
                        <w:i/>
                        <w:kern w:val="0"/>
                        <w:szCs w:val="21"/>
                      </w:rPr>
                    </m:ctrlPr>
                  </m:sup>
                  <m:e>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cu,i</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ctrlPr>
                      <w:rPr>
                        <w:rFonts w:ascii="Cambria Math" w:hAnsi="Cambria Math" w:cs="Times New Roman"/>
                        <w:i/>
                        <w:kern w:val="0"/>
                        <w:szCs w:val="21"/>
                      </w:rPr>
                    </m:ctrlPr>
                  </m:e>
                </m:nary>
              </m:oMath>
            </m:oMathPara>
          </w:p>
        </w:tc>
        <w:tc>
          <w:tcPr>
            <w:tcW w:w="2194" w:type="dxa"/>
            <w:vAlign w:val="center"/>
          </w:tcPr>
          <w:p>
            <w:pPr>
              <w:tabs>
                <w:tab w:val="left" w:pos="0"/>
                <w:tab w:val="left" w:pos="712"/>
                <w:tab w:val="left" w:pos="990"/>
                <w:tab w:val="left" w:pos="6020"/>
              </w:tabs>
              <w:jc w:val="center"/>
              <w:rPr>
                <w:rFonts w:hint="eastAsia" w:ascii="宋体" w:hAnsi="宋体" w:eastAsia="宋体" w:cs="宋体"/>
              </w:rPr>
            </w:pPr>
            <w:r>
              <w:rPr>
                <w:rFonts w:hint="eastAsia" w:ascii="宋体" w:hAnsi="宋体" w:eastAsia="宋体" w:cs="宋体"/>
              </w:rPr>
              <w:t>（</w:t>
            </w:r>
            <w:r>
              <w:rPr>
                <w:rFonts w:ascii="黑体" w:hAnsi="黑体" w:eastAsia="黑体" w:cs="黑体"/>
              </w:rPr>
              <w:t>C</w:t>
            </w:r>
            <w:r>
              <w:rPr>
                <w:rFonts w:hint="eastAsia" w:ascii="黑体" w:hAnsi="黑体" w:eastAsia="黑体" w:cs="黑体"/>
              </w:rPr>
              <w:t>.0.</w:t>
            </w:r>
            <w:r>
              <w:rPr>
                <w:rFonts w:ascii="黑体" w:hAnsi="黑体" w:eastAsia="黑体" w:cs="黑体"/>
              </w:rPr>
              <w:t>8-5</w:t>
            </w:r>
            <w:r>
              <w:rPr>
                <w:rFonts w:hint="eastAsia" w:ascii="宋体" w:hAnsi="宋体" w:eastAsia="宋体" w:cs="宋体"/>
              </w:rPr>
              <w:t>）</w:t>
            </w:r>
          </w:p>
        </w:tc>
      </w:tr>
    </w:tbl>
    <w:p>
      <w:pPr>
        <w:tabs>
          <w:tab w:val="left" w:pos="712"/>
          <w:tab w:val="left" w:pos="990"/>
          <w:tab w:val="left" w:pos="6020"/>
        </w:tabs>
        <w:spacing w:line="360" w:lineRule="auto"/>
        <w:ind w:firstLine="1058" w:firstLineChars="504"/>
        <w:rPr>
          <w:rFonts w:hint="eastAsia" w:ascii="宋体" w:hAnsi="宋体" w:eastAsia="宋体" w:cs="宋体"/>
        </w:rPr>
      </w:pPr>
      <w:r>
        <w:rPr>
          <w:rFonts w:hint="eastAsia" w:ascii="宋体" w:hAnsi="宋体" w:eastAsia="宋体" w:cs="宋体"/>
        </w:rPr>
        <w:t>式中：</w:t>
      </w:r>
      <m:oMath>
        <m:sSub>
          <m:sSubPr>
            <m:ctrlPr>
              <w:rPr>
                <w:rFonts w:ascii="Cambria Math" w:hAnsi="Cambria Math" w:cs="Times New Roman"/>
                <w:kern w:val="0"/>
                <w:szCs w:val="21"/>
              </w:rPr>
            </m:ctrlPr>
          </m:sSubPr>
          <m:e>
            <m:r>
              <m:rPr/>
              <w:rPr>
                <w:rFonts w:ascii="Cambria Math" w:hAnsi="Cambria Math" w:cs="Times New Roman"/>
                <w:kern w:val="0"/>
                <w:szCs w:val="21"/>
              </w:rPr>
              <m:t>Δ</m:t>
            </m:r>
            <m:ctrlPr>
              <w:rPr>
                <w:rFonts w:ascii="Cambria Math" w:hAnsi="Cambria Math" w:cs="Times New Roman"/>
                <w:kern w:val="0"/>
                <w:szCs w:val="21"/>
              </w:rPr>
            </m:ctrlPr>
          </m:e>
          <m:sub>
            <m:r>
              <m:rPr/>
              <w:rPr>
                <w:rFonts w:hint="eastAsia" w:ascii="Cambria Math" w:hAnsi="Cambria Math" w:cs="Times New Roman"/>
                <w:kern w:val="0"/>
                <w:szCs w:val="21"/>
              </w:rPr>
              <m:t>tot</m:t>
            </m:r>
            <m:ctrlPr>
              <w:rPr>
                <w:rFonts w:ascii="Cambria Math" w:hAnsi="Cambria Math" w:cs="Times New Roman"/>
                <w:kern w:val="0"/>
                <w:szCs w:val="21"/>
              </w:rPr>
            </m:ctrlPr>
          </m:sub>
        </m:sSub>
      </m:oMath>
      <w:r>
        <w:rPr>
          <w:rFonts w:ascii="宋体" w:hAnsi="宋体" w:eastAsia="宋体" w:cs="宋体"/>
        </w:rPr>
        <w:t xml:space="preserve"> —— </w:t>
      </w:r>
      <w:r>
        <w:rPr>
          <w:rFonts w:ascii="Times New Roman" w:hAnsi="Times New Roman" w:eastAsia="宋体" w:cs="Times New Roman"/>
        </w:rPr>
        <w:t>测区混凝土抗压强度修正量（MPa），精确至0.1MPa</w:t>
      </w:r>
      <w:r>
        <w:rPr>
          <w:rFonts w:hint="eastAsia" w:ascii="宋体" w:hAnsi="宋体" w:eastAsia="宋体" w:cs="宋体"/>
        </w:rPr>
        <w:t>；</w:t>
      </w:r>
    </w:p>
    <w:p>
      <w:pPr>
        <w:pStyle w:val="26"/>
        <w:tabs>
          <w:tab w:val="left" w:pos="0"/>
          <w:tab w:val="left" w:pos="712"/>
          <w:tab w:val="left" w:pos="990"/>
          <w:tab w:val="left" w:pos="6020"/>
        </w:tabs>
        <w:spacing w:line="360" w:lineRule="auto"/>
        <w:ind w:firstLine="1680" w:firstLineChars="800"/>
        <w:rPr>
          <w:rFonts w:ascii="Times New Roman" w:hAnsi="Times New Roman"/>
          <w:bCs/>
          <w:szCs w:val="20"/>
        </w:rPr>
      </w:pPr>
      <m:oMath>
        <m:sSub>
          <m:sSubPr>
            <m:ctrlPr>
              <w:rPr>
                <w:rFonts w:ascii="Cambria Math" w:hAnsi="Cambria Math" w:cs="Times New Roman"/>
                <w:i/>
                <w:kern w:val="0"/>
                <w:szCs w:val="21"/>
              </w:rPr>
            </m:ctrlPr>
          </m:sSub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m:t>
            </m:r>
            <m:r>
              <m:rPr/>
              <w:rPr>
                <w:rFonts w:hint="eastAsia" w:ascii="Cambria Math" w:hAnsi="Cambria Math" w:cs="Times New Roman"/>
                <w:kern w:val="0"/>
                <w:szCs w:val="21"/>
              </w:rPr>
              <m:t>or</m:t>
            </m:r>
            <m:r>
              <m:rPr/>
              <w:rPr>
                <w:rFonts w:ascii="Cambria Math" w:hAnsi="Cambria Math" w:cs="Times New Roman"/>
                <w:kern w:val="0"/>
                <w:szCs w:val="21"/>
              </w:rPr>
              <m:t>,m</m:t>
            </m:r>
            <m:ctrlPr>
              <w:rPr>
                <w:rFonts w:ascii="Cambria Math" w:hAnsi="Cambria Math" w:cs="Times New Roman"/>
                <w:i/>
                <w:kern w:val="0"/>
                <w:szCs w:val="21"/>
              </w:rPr>
            </m:ctrlPr>
          </m:sub>
        </m:sSub>
      </m:oMath>
      <w:r>
        <w:rPr>
          <w:rFonts w:hint="eastAsia" w:ascii="Times New Roman" w:hAnsi="Times New Roman"/>
          <w:bCs/>
          <w:szCs w:val="20"/>
        </w:rPr>
        <w:t xml:space="preserve"> —— 芯样试件混凝土抗压强度平均值（MPa），精确至0.1MPa；</w:t>
      </w:r>
    </w:p>
    <w:p>
      <w:pPr>
        <w:pStyle w:val="26"/>
        <w:tabs>
          <w:tab w:val="left" w:pos="0"/>
          <w:tab w:val="left" w:pos="712"/>
          <w:tab w:val="left" w:pos="990"/>
          <w:tab w:val="left" w:pos="6020"/>
        </w:tabs>
        <w:spacing w:line="360" w:lineRule="auto"/>
        <w:ind w:firstLine="1680" w:firstLineChars="800"/>
        <w:rPr>
          <w:rFonts w:ascii="Times New Roman" w:hAnsi="Times New Roman"/>
          <w:bCs/>
          <w:szCs w:val="20"/>
        </w:rPr>
      </w:pPr>
      <m:oMath>
        <m:sSub>
          <m:sSubPr>
            <m:ctrlPr>
              <w:rPr>
                <w:rFonts w:ascii="Cambria Math" w:hAnsi="Cambria Math" w:cs="Times New Roman"/>
                <w:i/>
                <w:kern w:val="0"/>
                <w:szCs w:val="21"/>
              </w:rPr>
            </m:ctrlPr>
          </m:sSub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m:t>
            </m:r>
            <m:ctrlPr>
              <w:rPr>
                <w:rFonts w:ascii="Cambria Math" w:hAnsi="Cambria Math" w:cs="Times New Roman"/>
                <w:i/>
                <w:kern w:val="0"/>
                <w:szCs w:val="21"/>
              </w:rPr>
            </m:ctrlPr>
          </m:sub>
        </m:sSub>
      </m:oMath>
      <w:r>
        <w:rPr>
          <w:rFonts w:hint="eastAsia" w:ascii="Times New Roman" w:hAnsi="Times New Roman"/>
          <w:bCs/>
          <w:szCs w:val="20"/>
        </w:rPr>
        <w:t xml:space="preserve"> —— 同条件试件混凝土抗压强度平均值（MPa），精确至0.1MPa；</w:t>
      </w:r>
    </w:p>
    <w:p>
      <w:pPr>
        <w:pStyle w:val="26"/>
        <w:tabs>
          <w:tab w:val="left" w:pos="712"/>
          <w:tab w:val="left" w:pos="990"/>
          <w:tab w:val="left" w:pos="6020"/>
        </w:tabs>
        <w:spacing w:line="360" w:lineRule="auto"/>
        <w:ind w:left="1058" w:leftChars="504" w:firstLine="619" w:firstLineChars="295"/>
        <w:rPr>
          <w:rFonts w:ascii="Times New Roman" w:hAnsi="Times New Roman"/>
          <w:bCs/>
          <w:szCs w:val="20"/>
        </w:rPr>
      </w:pPr>
      <m:oMath>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cu,m0</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oMath>
      <w:r>
        <w:rPr>
          <w:rFonts w:hint="eastAsia" w:ascii="Times New Roman" w:hAnsi="Times New Roman"/>
          <w:bCs/>
          <w:szCs w:val="20"/>
        </w:rPr>
        <w:t xml:space="preserve"> —— 对应于芯样部位或同条件立方体试件测区混凝土抗压强度换算值的平均值（MPa），精确至0.1MPa；</w:t>
      </w:r>
    </w:p>
    <w:p>
      <w:pPr>
        <w:pStyle w:val="26"/>
        <w:tabs>
          <w:tab w:val="left" w:pos="0"/>
          <w:tab w:val="left" w:pos="712"/>
          <w:tab w:val="left" w:pos="990"/>
          <w:tab w:val="left" w:pos="6020"/>
        </w:tabs>
        <w:spacing w:line="360" w:lineRule="auto"/>
        <w:ind w:firstLine="1680" w:firstLineChars="800"/>
        <w:rPr>
          <w:rFonts w:ascii="Times New Roman" w:hAnsi="Times New Roman"/>
          <w:bCs/>
          <w:szCs w:val="20"/>
        </w:rPr>
      </w:pPr>
      <m:oMath>
        <m:sSub>
          <m:sSubPr>
            <m:ctrlPr>
              <w:rPr>
                <w:rFonts w:ascii="Cambria Math" w:hAnsi="Cambria Math" w:cs="Times New Roman"/>
                <w:i/>
                <w:kern w:val="0"/>
                <w:szCs w:val="21"/>
              </w:rPr>
            </m:ctrlPr>
          </m:sSub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m:t>
            </m:r>
            <m:r>
              <m:rPr/>
              <w:rPr>
                <w:rFonts w:hint="eastAsia" w:ascii="Cambria Math" w:hAnsi="Cambria Math" w:cs="Times New Roman"/>
                <w:kern w:val="0"/>
                <w:szCs w:val="21"/>
              </w:rPr>
              <m:t>or</m:t>
            </m:r>
            <m:r>
              <m:rPr/>
              <w:rPr>
                <w:rFonts w:ascii="Cambria Math" w:hAnsi="Cambria Math" w:cs="Times New Roman"/>
                <w:kern w:val="0"/>
                <w:szCs w:val="21"/>
              </w:rPr>
              <m:t>,i</m:t>
            </m:r>
            <m:ctrlPr>
              <w:rPr>
                <w:rFonts w:ascii="Cambria Math" w:hAnsi="Cambria Math" w:cs="Times New Roman"/>
                <w:i/>
                <w:kern w:val="0"/>
                <w:szCs w:val="21"/>
              </w:rPr>
            </m:ctrlPr>
          </m:sub>
        </m:sSub>
      </m:oMath>
      <w:r>
        <w:rPr>
          <w:rFonts w:hint="eastAsia" w:ascii="Times New Roman" w:hAnsi="Times New Roman"/>
          <w:bCs/>
          <w:szCs w:val="20"/>
        </w:rPr>
        <w:t xml:space="preserve"> —— 第</w:t>
      </w:r>
      <w:r>
        <w:rPr>
          <w:rFonts w:hint="eastAsia" w:ascii="Times New Roman" w:hAnsi="Times New Roman"/>
          <w:bCs/>
          <w:i/>
          <w:szCs w:val="20"/>
        </w:rPr>
        <w:t>i</w:t>
      </w:r>
      <w:r>
        <w:rPr>
          <w:rFonts w:hint="eastAsia" w:ascii="Times New Roman" w:hAnsi="Times New Roman"/>
          <w:bCs/>
          <w:szCs w:val="20"/>
        </w:rPr>
        <w:t>个混凝土芯样试件的抗压强度；</w:t>
      </w:r>
    </w:p>
    <w:p>
      <w:pPr>
        <w:pStyle w:val="26"/>
        <w:tabs>
          <w:tab w:val="left" w:pos="0"/>
          <w:tab w:val="left" w:pos="712"/>
          <w:tab w:val="left" w:pos="990"/>
          <w:tab w:val="left" w:pos="6020"/>
        </w:tabs>
        <w:spacing w:line="360" w:lineRule="auto"/>
        <w:ind w:firstLine="1680" w:firstLineChars="800"/>
        <w:rPr>
          <w:rFonts w:ascii="Times New Roman" w:hAnsi="Times New Roman"/>
          <w:bCs/>
          <w:szCs w:val="20"/>
        </w:rPr>
      </w:pPr>
      <m:oMath>
        <m:sSub>
          <m:sSubPr>
            <m:ctrlPr>
              <w:rPr>
                <w:rFonts w:ascii="Cambria Math" w:hAnsi="Cambria Math" w:cs="Times New Roman"/>
                <w:i/>
                <w:kern w:val="0"/>
                <w:szCs w:val="21"/>
              </w:rPr>
            </m:ctrlPr>
          </m:sSub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cu,i</m:t>
            </m:r>
            <m:ctrlPr>
              <w:rPr>
                <w:rFonts w:ascii="Cambria Math" w:hAnsi="Cambria Math" w:cs="Times New Roman"/>
                <w:i/>
                <w:kern w:val="0"/>
                <w:szCs w:val="21"/>
              </w:rPr>
            </m:ctrlPr>
          </m:sub>
        </m:sSub>
      </m:oMath>
      <w:r>
        <w:rPr>
          <w:rFonts w:hint="eastAsia" w:ascii="Times New Roman" w:hAnsi="Times New Roman"/>
          <w:bCs/>
          <w:szCs w:val="20"/>
        </w:rPr>
        <w:t xml:space="preserve"> —— 第</w:t>
      </w:r>
      <w:r>
        <w:rPr>
          <w:rFonts w:hint="eastAsia" w:ascii="Times New Roman" w:hAnsi="Times New Roman"/>
          <w:bCs/>
          <w:i/>
          <w:szCs w:val="20"/>
        </w:rPr>
        <w:t>i</w:t>
      </w:r>
      <w:r>
        <w:rPr>
          <w:rFonts w:hint="eastAsia" w:ascii="Times New Roman" w:hAnsi="Times New Roman"/>
          <w:bCs/>
          <w:szCs w:val="20"/>
        </w:rPr>
        <w:t>个混凝土立方体试件的抗压强度；</w:t>
      </w:r>
    </w:p>
    <w:p>
      <w:pPr>
        <w:pStyle w:val="26"/>
        <w:tabs>
          <w:tab w:val="left" w:pos="712"/>
          <w:tab w:val="left" w:pos="990"/>
          <w:tab w:val="left" w:pos="1060"/>
          <w:tab w:val="left" w:pos="6020"/>
        </w:tabs>
        <w:spacing w:line="360" w:lineRule="auto"/>
        <w:ind w:left="1058" w:leftChars="504" w:firstLine="619" w:firstLineChars="295"/>
        <w:rPr>
          <w:rFonts w:ascii="Times New Roman" w:hAnsi="Times New Roman"/>
          <w:bCs/>
          <w:szCs w:val="20"/>
        </w:rPr>
      </w:pPr>
      <m:oMath>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cu,i</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oMath>
      <w:r>
        <w:rPr>
          <w:rFonts w:hint="eastAsia" w:ascii="Times New Roman" w:hAnsi="Times New Roman"/>
          <w:bCs/>
          <w:szCs w:val="20"/>
        </w:rPr>
        <w:t xml:space="preserve"> —— 对应于第</w:t>
      </w:r>
      <w:r>
        <w:rPr>
          <w:rFonts w:hint="eastAsia" w:ascii="Times New Roman" w:hAnsi="Times New Roman"/>
          <w:bCs/>
          <w:i/>
          <w:szCs w:val="20"/>
        </w:rPr>
        <w:t>i</w:t>
      </w:r>
      <w:r>
        <w:rPr>
          <w:rFonts w:hint="eastAsia" w:ascii="Times New Roman" w:hAnsi="Times New Roman"/>
          <w:bCs/>
          <w:szCs w:val="20"/>
        </w:rPr>
        <w:t>个芯样部位或同条件立方体试件测区回弹值和声速值的混凝土抗压强度换算值，按</w:t>
      </w:r>
      <w:r>
        <w:rPr>
          <w:rFonts w:ascii="Times New Roman" w:hAnsi="Times New Roman" w:eastAsia="宋体" w:cs="Times New Roman"/>
        </w:rPr>
        <w:t>表</w:t>
      </w:r>
      <w:r>
        <w:rPr>
          <w:rFonts w:ascii="Times New Roman" w:hAnsi="Times New Roman" w:eastAsia="黑体" w:cs="Times New Roman"/>
        </w:rPr>
        <w:t>C.0.6</w:t>
      </w:r>
      <w:r>
        <w:rPr>
          <w:rFonts w:hint="eastAsia" w:ascii="Times New Roman" w:hAnsi="Times New Roman"/>
          <w:bCs/>
          <w:szCs w:val="20"/>
        </w:rPr>
        <w:t>取值；</w:t>
      </w:r>
    </w:p>
    <w:p>
      <w:pPr>
        <w:pStyle w:val="26"/>
        <w:tabs>
          <w:tab w:val="left" w:pos="0"/>
          <w:tab w:val="left" w:pos="712"/>
          <w:tab w:val="left" w:pos="990"/>
          <w:tab w:val="left" w:pos="6020"/>
        </w:tabs>
        <w:spacing w:line="360" w:lineRule="auto"/>
        <w:ind w:firstLine="1680" w:firstLineChars="800"/>
        <w:rPr>
          <w:rFonts w:ascii="Times New Roman" w:hAnsi="Times New Roman"/>
          <w:bCs/>
          <w:szCs w:val="20"/>
        </w:rPr>
      </w:pPr>
      <w:r>
        <w:rPr>
          <w:rFonts w:hint="eastAsia" w:ascii="Times New Roman" w:hAnsi="Times New Roman"/>
          <w:bCs/>
          <w:i/>
          <w:szCs w:val="20"/>
        </w:rPr>
        <w:t>n</w:t>
      </w:r>
      <w:r>
        <w:rPr>
          <w:rFonts w:hint="eastAsia" w:ascii="Times New Roman" w:hAnsi="Times New Roman"/>
          <w:bCs/>
          <w:szCs w:val="20"/>
        </w:rPr>
        <w:t xml:space="preserve"> —— 芯样或试件数量。</w:t>
      </w:r>
    </w:p>
    <w:p>
      <w:pPr>
        <w:tabs>
          <w:tab w:val="left" w:pos="6020"/>
        </w:tabs>
        <w:spacing w:line="360" w:lineRule="auto"/>
        <w:ind w:firstLine="703" w:firstLineChars="335"/>
        <w:rPr>
          <w:rFonts w:hint="eastAsia" w:ascii="宋体" w:hAnsi="宋体" w:eastAsia="宋体" w:cs="宋体"/>
        </w:rPr>
      </w:pPr>
      <w:r>
        <w:rPr>
          <w:rFonts w:ascii="黑体" w:hAnsi="黑体" w:eastAsia="黑体" w:cs="黑体"/>
        </w:rPr>
        <w:t>2</w:t>
      </w:r>
      <w:r>
        <w:rPr>
          <w:rFonts w:hint="eastAsia" w:ascii="黑体" w:hAnsi="黑体" w:eastAsia="黑体" w:cs="黑体"/>
        </w:rPr>
        <w:t>）</w:t>
      </w:r>
      <w:r>
        <w:rPr>
          <w:rFonts w:hint="eastAsia" w:ascii="Times New Roman" w:hAnsi="Times New Roman"/>
          <w:bCs/>
          <w:szCs w:val="20"/>
        </w:rPr>
        <w:t>测区混凝土抗压强度换算值的修正应按下式计算：</w:t>
      </w:r>
    </w:p>
    <w:tbl>
      <w:tblPr>
        <w:tblStyle w:val="20"/>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985"/>
        <w:gridCol w:w="4111"/>
        <w:gridCol w:w="219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985" w:type="dxa"/>
            <w:vAlign w:val="center"/>
          </w:tcPr>
          <w:p>
            <w:pPr>
              <w:tabs>
                <w:tab w:val="left" w:pos="0"/>
                <w:tab w:val="left" w:pos="712"/>
                <w:tab w:val="left" w:pos="990"/>
                <w:tab w:val="left" w:pos="6020"/>
              </w:tabs>
              <w:jc w:val="center"/>
              <w:rPr>
                <w:rFonts w:hint="eastAsia" w:ascii="宋体" w:hAnsi="宋体" w:eastAsia="宋体" w:cs="宋体"/>
              </w:rPr>
            </w:pPr>
          </w:p>
        </w:tc>
        <w:tc>
          <w:tcPr>
            <w:tcW w:w="4111" w:type="dxa"/>
            <w:vAlign w:val="center"/>
          </w:tcPr>
          <w:p>
            <w:pPr>
              <w:tabs>
                <w:tab w:val="left" w:pos="0"/>
                <w:tab w:val="left" w:pos="712"/>
                <w:tab w:val="left" w:pos="990"/>
                <w:tab w:val="left" w:pos="6020"/>
              </w:tabs>
              <w:jc w:val="center"/>
              <w:rPr>
                <w:rFonts w:hint="eastAsia" w:ascii="宋体" w:hAnsi="宋体" w:eastAsia="宋体" w:cs="宋体"/>
              </w:rPr>
            </w:pPr>
            <m:oMathPara>
              <m:oMath>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cu,i1</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r>
                  <m:rPr/>
                  <w:rPr>
                    <w:rFonts w:ascii="Cambria Math" w:hAnsi="Cambria Math" w:cs="Times New Roman"/>
                    <w:kern w:val="0"/>
                    <w:szCs w:val="21"/>
                  </w:rPr>
                  <m:t>=</m:t>
                </m:r>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cu,i0</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r>
                  <m:rPr/>
                  <w:rPr>
                    <w:rFonts w:ascii="Cambria Math" w:hAnsi="Cambria Math" w:cs="Times New Roman"/>
                    <w:kern w:val="0"/>
                    <w:szCs w:val="21"/>
                  </w:rPr>
                  <m:t>+</m:t>
                </m:r>
                <m:sSub>
                  <m:sSubPr>
                    <m:ctrlPr>
                      <w:rPr>
                        <w:rFonts w:ascii="Cambria Math" w:hAnsi="Cambria Math" w:cs="Times New Roman"/>
                        <w:kern w:val="0"/>
                        <w:szCs w:val="21"/>
                      </w:rPr>
                    </m:ctrlPr>
                  </m:sSubPr>
                  <m:e>
                    <m:r>
                      <m:rPr/>
                      <w:rPr>
                        <w:rFonts w:ascii="Cambria Math" w:hAnsi="Cambria Math" w:cs="Times New Roman"/>
                        <w:kern w:val="0"/>
                        <w:szCs w:val="21"/>
                      </w:rPr>
                      <m:t>Δ</m:t>
                    </m:r>
                    <m:ctrlPr>
                      <w:rPr>
                        <w:rFonts w:ascii="Cambria Math" w:hAnsi="Cambria Math" w:cs="Times New Roman"/>
                        <w:kern w:val="0"/>
                        <w:szCs w:val="21"/>
                      </w:rPr>
                    </m:ctrlPr>
                  </m:e>
                  <m:sub>
                    <m:r>
                      <m:rPr/>
                      <w:rPr>
                        <w:rFonts w:hint="eastAsia" w:ascii="Cambria Math" w:hAnsi="Cambria Math" w:cs="Times New Roman"/>
                        <w:kern w:val="0"/>
                        <w:szCs w:val="21"/>
                      </w:rPr>
                      <m:t>tot</m:t>
                    </m:r>
                    <m:ctrlPr>
                      <w:rPr>
                        <w:rFonts w:ascii="Cambria Math" w:hAnsi="Cambria Math" w:cs="Times New Roman"/>
                        <w:kern w:val="0"/>
                        <w:szCs w:val="21"/>
                      </w:rPr>
                    </m:ctrlPr>
                  </m:sub>
                </m:sSub>
              </m:oMath>
            </m:oMathPara>
          </w:p>
        </w:tc>
        <w:tc>
          <w:tcPr>
            <w:tcW w:w="2194" w:type="dxa"/>
            <w:vAlign w:val="center"/>
          </w:tcPr>
          <w:p>
            <w:pPr>
              <w:tabs>
                <w:tab w:val="left" w:pos="0"/>
                <w:tab w:val="left" w:pos="712"/>
                <w:tab w:val="left" w:pos="990"/>
                <w:tab w:val="left" w:pos="6020"/>
              </w:tabs>
              <w:jc w:val="center"/>
              <w:rPr>
                <w:rFonts w:hint="eastAsia" w:ascii="宋体" w:hAnsi="宋体" w:eastAsia="宋体" w:cs="宋体"/>
              </w:rPr>
            </w:pPr>
            <w:r>
              <w:rPr>
                <w:rFonts w:hint="eastAsia" w:ascii="宋体" w:hAnsi="宋体" w:eastAsia="宋体" w:cs="宋体"/>
              </w:rPr>
              <w:t>（</w:t>
            </w:r>
            <w:r>
              <w:rPr>
                <w:rFonts w:ascii="黑体" w:hAnsi="黑体" w:eastAsia="黑体" w:cs="黑体"/>
              </w:rPr>
              <w:t>C</w:t>
            </w:r>
            <w:r>
              <w:rPr>
                <w:rFonts w:hint="eastAsia" w:ascii="黑体" w:hAnsi="黑体" w:eastAsia="黑体" w:cs="黑体"/>
              </w:rPr>
              <w:t>.0.</w:t>
            </w:r>
            <w:r>
              <w:rPr>
                <w:rFonts w:ascii="黑体" w:hAnsi="黑体" w:eastAsia="黑体" w:cs="黑体"/>
              </w:rPr>
              <w:t>8-2</w:t>
            </w:r>
            <w:r>
              <w:rPr>
                <w:rFonts w:hint="eastAsia" w:ascii="宋体" w:hAnsi="宋体" w:eastAsia="宋体" w:cs="宋体"/>
              </w:rPr>
              <w:t>）</w:t>
            </w:r>
          </w:p>
        </w:tc>
      </w:tr>
    </w:tbl>
    <w:p>
      <w:pPr>
        <w:tabs>
          <w:tab w:val="left" w:pos="0"/>
          <w:tab w:val="left" w:pos="712"/>
          <w:tab w:val="left" w:pos="990"/>
          <w:tab w:val="left" w:pos="6020"/>
        </w:tabs>
        <w:spacing w:line="360" w:lineRule="auto"/>
        <w:ind w:firstLine="1058" w:firstLineChars="504"/>
        <w:rPr>
          <w:rFonts w:ascii="Times New Roman" w:hAnsi="Times New Roman"/>
          <w:bCs/>
          <w:szCs w:val="20"/>
        </w:rPr>
      </w:pPr>
      <w:r>
        <w:rPr>
          <w:rFonts w:hint="eastAsia" w:ascii="Times New Roman" w:hAnsi="Times New Roman"/>
          <w:bCs/>
          <w:szCs w:val="20"/>
        </w:rPr>
        <w:t>式中：</w:t>
      </w:r>
      <m:oMath>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cu,i1</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oMath>
      <w:r>
        <w:rPr>
          <w:rFonts w:hint="eastAsia" w:ascii="Times New Roman" w:hAnsi="Times New Roman"/>
          <w:kern w:val="0"/>
          <w:szCs w:val="21"/>
        </w:rPr>
        <w:t xml:space="preserve"> </w:t>
      </w:r>
      <w:r>
        <w:rPr>
          <w:rFonts w:hint="eastAsia" w:ascii="Times New Roman" w:hAnsi="Times New Roman"/>
          <w:bCs/>
          <w:szCs w:val="20"/>
        </w:rPr>
        <w:t>—— 第</w:t>
      </w:r>
      <w:r>
        <w:rPr>
          <w:rFonts w:hint="eastAsia" w:ascii="Times New Roman" w:hAnsi="Times New Roman"/>
          <w:bCs/>
          <w:i/>
          <w:szCs w:val="20"/>
        </w:rPr>
        <w:t>i</w:t>
      </w:r>
      <w:r>
        <w:rPr>
          <w:rFonts w:hint="eastAsia" w:ascii="Times New Roman" w:hAnsi="Times New Roman"/>
          <w:bCs/>
          <w:szCs w:val="20"/>
        </w:rPr>
        <w:t>个测区修正后的混凝土强度换算值（MPa），精确至0.1MPa；</w:t>
      </w:r>
    </w:p>
    <w:p>
      <w:pPr>
        <w:pStyle w:val="26"/>
        <w:tabs>
          <w:tab w:val="left" w:pos="712"/>
          <w:tab w:val="left" w:pos="840"/>
          <w:tab w:val="left" w:pos="6020"/>
        </w:tabs>
        <w:spacing w:line="360" w:lineRule="auto"/>
        <w:ind w:left="1050" w:leftChars="500" w:firstLine="426" w:firstLineChars="203"/>
        <w:rPr>
          <w:rFonts w:ascii="Times New Roman" w:hAnsi="Times New Roman"/>
          <w:bCs/>
          <w:szCs w:val="20"/>
        </w:rPr>
      </w:pPr>
      <m:oMath>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cu,i0</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oMath>
      <w:r>
        <w:rPr>
          <w:rFonts w:hint="eastAsia" w:ascii="Times New Roman" w:hAnsi="Times New Roman"/>
          <w:bCs/>
          <w:szCs w:val="20"/>
        </w:rPr>
        <w:t xml:space="preserve"> —— 第</w:t>
      </w:r>
      <w:r>
        <w:rPr>
          <w:rFonts w:hint="eastAsia" w:ascii="Times New Roman" w:hAnsi="Times New Roman"/>
          <w:bCs/>
          <w:i/>
          <w:szCs w:val="20"/>
        </w:rPr>
        <w:t>i</w:t>
      </w:r>
      <w:r>
        <w:rPr>
          <w:rFonts w:hint="eastAsia" w:ascii="Times New Roman" w:hAnsi="Times New Roman"/>
          <w:bCs/>
          <w:szCs w:val="20"/>
        </w:rPr>
        <w:t>个测区修正前的混凝土强度换算值（MPa），精确至0.1MPa。</w:t>
      </w:r>
    </w:p>
    <w:p>
      <w:pPr>
        <w:pStyle w:val="26"/>
        <w:tabs>
          <w:tab w:val="left" w:pos="0"/>
          <w:tab w:val="left" w:pos="712"/>
          <w:tab w:val="left" w:pos="990"/>
          <w:tab w:val="left" w:pos="6020"/>
        </w:tabs>
        <w:spacing w:line="360" w:lineRule="auto"/>
        <w:rPr>
          <w:rFonts w:ascii="Times New Roman" w:hAnsi="Times New Roman"/>
          <w:bCs/>
          <w:szCs w:val="20"/>
        </w:rPr>
      </w:pPr>
    </w:p>
    <w:p>
      <w:pPr>
        <w:pStyle w:val="26"/>
        <w:tabs>
          <w:tab w:val="left" w:pos="0"/>
          <w:tab w:val="left" w:pos="712"/>
          <w:tab w:val="left" w:pos="990"/>
          <w:tab w:val="left" w:pos="6020"/>
        </w:tabs>
        <w:spacing w:line="360" w:lineRule="auto"/>
        <w:rPr>
          <w:rFonts w:ascii="Times New Roman" w:hAnsi="Times New Roman"/>
          <w:bCs/>
          <w:szCs w:val="20"/>
        </w:rPr>
      </w:pPr>
      <w:r>
        <w:rPr>
          <w:rFonts w:ascii="黑体" w:hAnsi="黑体" w:eastAsia="黑体" w:cs="黑体"/>
        </w:rPr>
        <w:t xml:space="preserve">3 </w:t>
      </w:r>
      <w:r>
        <w:rPr>
          <w:rFonts w:hint="eastAsia" w:ascii="宋体" w:hAnsi="宋体" w:eastAsia="宋体" w:cs="宋体"/>
        </w:rPr>
        <w:t>构件混凝土抗压强度推定值（</w:t>
      </w:r>
      <m:oMath>
        <m:sSub>
          <m:sSubPr>
            <m:ctrlPr>
              <w:rPr>
                <w:rFonts w:ascii="Cambria Math" w:hAnsi="Cambria Math" w:cs="Times New Roman"/>
                <w:i/>
                <w:kern w:val="0"/>
                <w:szCs w:val="21"/>
              </w:rPr>
            </m:ctrlPr>
          </m:sSub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t>
            </m:r>
            <m:r>
              <m:rPr/>
              <w:rPr>
                <w:rFonts w:hint="eastAsia" w:ascii="Cambria Math" w:hAnsi="Cambria Math" w:cs="Times New Roman"/>
                <w:kern w:val="0"/>
                <w:szCs w:val="21"/>
              </w:rPr>
              <m:t>e</m:t>
            </m:r>
            <m:ctrlPr>
              <w:rPr>
                <w:rFonts w:ascii="Cambria Math" w:hAnsi="Cambria Math" w:cs="Times New Roman"/>
                <w:i/>
                <w:kern w:val="0"/>
                <w:szCs w:val="21"/>
              </w:rPr>
            </m:ctrlPr>
          </m:sub>
        </m:sSub>
      </m:oMath>
      <w:r>
        <w:rPr>
          <w:rFonts w:hint="eastAsia" w:ascii="宋体" w:hAnsi="宋体" w:eastAsia="宋体" w:cs="宋体"/>
        </w:rPr>
        <w:t>）的确定，应符合下列要求：</w:t>
      </w:r>
    </w:p>
    <w:p>
      <w:pPr>
        <w:tabs>
          <w:tab w:val="left" w:pos="6020"/>
        </w:tabs>
        <w:spacing w:line="360" w:lineRule="auto"/>
        <w:ind w:left="1058" w:leftChars="334" w:hanging="357" w:hangingChars="170"/>
        <w:rPr>
          <w:rFonts w:ascii="Times New Roman" w:hAnsi="Times New Roman"/>
          <w:bCs/>
          <w:szCs w:val="20"/>
        </w:rPr>
      </w:pPr>
      <w:r>
        <w:rPr>
          <w:rFonts w:hint="eastAsia" w:ascii="黑体" w:hAnsi="黑体" w:eastAsia="黑体" w:cs="黑体"/>
        </w:rPr>
        <w:t>1）</w:t>
      </w:r>
      <w:r>
        <w:rPr>
          <w:rFonts w:hint="eastAsia" w:ascii="Times New Roman" w:hAnsi="Times New Roman"/>
          <w:bCs/>
          <w:szCs w:val="20"/>
        </w:rPr>
        <w:t>当构件的测区混凝土抗压强度换算值中出现小于10.0MPa 的值时，构件的混凝土抗压强度推定值（</w:t>
      </w:r>
      <m:oMath>
        <m:sSub>
          <m:sSubPr>
            <m:ctrlPr>
              <w:rPr>
                <w:rFonts w:ascii="Cambria Math" w:hAnsi="Cambria Math" w:cs="Times New Roman"/>
                <w:i/>
                <w:kern w:val="0"/>
                <w:szCs w:val="21"/>
              </w:rPr>
            </m:ctrlPr>
          </m:sSub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t>
            </m:r>
            <m:r>
              <m:rPr/>
              <w:rPr>
                <w:rFonts w:hint="eastAsia" w:ascii="Cambria Math" w:hAnsi="Cambria Math" w:cs="Times New Roman"/>
                <w:kern w:val="0"/>
                <w:szCs w:val="21"/>
              </w:rPr>
              <m:t>e</m:t>
            </m:r>
            <m:ctrlPr>
              <w:rPr>
                <w:rFonts w:ascii="Cambria Math" w:hAnsi="Cambria Math" w:cs="Times New Roman"/>
                <w:i/>
                <w:kern w:val="0"/>
                <w:szCs w:val="21"/>
              </w:rPr>
            </m:ctrlPr>
          </m:sub>
        </m:sSub>
      </m:oMath>
      <w:r>
        <w:rPr>
          <w:rFonts w:hint="eastAsia" w:ascii="Times New Roman" w:hAnsi="Times New Roman"/>
          <w:bCs/>
          <w:szCs w:val="20"/>
        </w:rPr>
        <w:t>）应为小于10.0MPa。</w:t>
      </w:r>
    </w:p>
    <w:p>
      <w:pPr>
        <w:tabs>
          <w:tab w:val="left" w:pos="6020"/>
        </w:tabs>
        <w:spacing w:line="360" w:lineRule="auto"/>
        <w:ind w:firstLine="703" w:firstLineChars="335"/>
        <w:rPr>
          <w:rFonts w:ascii="Times New Roman" w:hAnsi="Times New Roman"/>
          <w:bCs/>
          <w:szCs w:val="20"/>
        </w:rPr>
      </w:pPr>
      <w:r>
        <w:rPr>
          <w:rFonts w:hint="eastAsia" w:ascii="黑体" w:hAnsi="黑体" w:eastAsia="黑体" w:cs="黑体"/>
        </w:rPr>
        <w:t>2）</w:t>
      </w:r>
      <w:r>
        <w:rPr>
          <w:rFonts w:hint="eastAsia" w:ascii="Times New Roman" w:hAnsi="Times New Roman"/>
          <w:bCs/>
          <w:szCs w:val="20"/>
        </w:rPr>
        <w:t>当构件中测区数少于10个时，应按下式计算：</w:t>
      </w:r>
    </w:p>
    <w:p>
      <w:pPr>
        <w:tabs>
          <w:tab w:val="left" w:pos="6020"/>
        </w:tabs>
        <w:spacing w:line="360" w:lineRule="auto"/>
        <w:ind w:firstLine="703" w:firstLineChars="335"/>
        <w:jc w:val="right"/>
        <w:rPr>
          <w:rFonts w:ascii="Times New Roman" w:hAnsi="Times New Roman"/>
          <w:bCs/>
          <w:szCs w:val="20"/>
        </w:rPr>
      </w:pPr>
      <m:oMath>
        <m:sSub>
          <m:sSubPr>
            <m:ctrlPr>
              <w:rPr>
                <w:rFonts w:ascii="Cambria Math" w:hAnsi="Cambria Math" w:cs="Times New Roman"/>
                <w:i/>
                <w:kern w:val="0"/>
                <w:szCs w:val="21"/>
              </w:rPr>
            </m:ctrlPr>
          </m:sSub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t>
            </m:r>
            <m:r>
              <m:rPr/>
              <w:rPr>
                <w:rFonts w:hint="eastAsia" w:ascii="Cambria Math" w:hAnsi="Cambria Math" w:cs="Times New Roman"/>
                <w:kern w:val="0"/>
                <w:szCs w:val="21"/>
              </w:rPr>
              <m:t>e</m:t>
            </m:r>
            <m:ctrlPr>
              <w:rPr>
                <w:rFonts w:ascii="Cambria Math" w:hAnsi="Cambria Math" w:cs="Times New Roman"/>
                <w:i/>
                <w:kern w:val="0"/>
                <w:szCs w:val="21"/>
              </w:rPr>
            </m:ctrlPr>
          </m:sub>
        </m:sSub>
        <m:r>
          <m:rPr/>
          <w:rPr>
            <w:rFonts w:ascii="Cambria Math" w:hAnsi="Cambria Math" w:cs="Times New Roman"/>
            <w:kern w:val="0"/>
            <w:szCs w:val="21"/>
          </w:rPr>
          <m:t>=</m:t>
        </m:r>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cu,min</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oMath>
      <w:r>
        <w:rPr>
          <w:rFonts w:hint="eastAsia" w:ascii="Times New Roman" w:hAnsi="Times New Roman"/>
          <w:bCs/>
          <w:szCs w:val="20"/>
        </w:rPr>
        <w:t xml:space="preserve"> </w:t>
      </w:r>
      <w:r>
        <w:rPr>
          <w:rFonts w:ascii="Times New Roman" w:hAnsi="Times New Roman"/>
          <w:bCs/>
          <w:szCs w:val="20"/>
        </w:rPr>
        <w:t xml:space="preserve">                             </w:t>
      </w:r>
      <w:r>
        <w:rPr>
          <w:rFonts w:hint="eastAsia" w:ascii="Times New Roman" w:hAnsi="Times New Roman"/>
          <w:bCs/>
          <w:szCs w:val="20"/>
        </w:rPr>
        <w:t>（</w:t>
      </w:r>
      <w:r>
        <w:rPr>
          <w:rFonts w:ascii="黑体" w:hAnsi="黑体" w:eastAsia="黑体" w:cs="黑体"/>
        </w:rPr>
        <w:t>C</w:t>
      </w:r>
      <w:r>
        <w:rPr>
          <w:rFonts w:hint="eastAsia" w:ascii="黑体" w:hAnsi="黑体" w:eastAsia="黑体" w:cs="黑体"/>
        </w:rPr>
        <w:t>.0.</w:t>
      </w:r>
      <w:r>
        <w:rPr>
          <w:rFonts w:ascii="黑体" w:hAnsi="黑体" w:eastAsia="黑体" w:cs="黑体"/>
        </w:rPr>
        <w:t>8-1</w:t>
      </w:r>
      <w:r>
        <w:rPr>
          <w:rFonts w:hint="eastAsia" w:ascii="Times New Roman" w:hAnsi="Times New Roman"/>
          <w:bCs/>
          <w:szCs w:val="20"/>
        </w:rPr>
        <w:t>）</w:t>
      </w:r>
    </w:p>
    <w:p>
      <w:pPr>
        <w:tabs>
          <w:tab w:val="left" w:pos="6020"/>
        </w:tabs>
        <w:spacing w:line="360" w:lineRule="auto"/>
        <w:ind w:firstLine="1058" w:firstLineChars="504"/>
        <w:rPr>
          <w:rFonts w:ascii="Times New Roman" w:hAnsi="Times New Roman"/>
          <w:bCs/>
          <w:szCs w:val="20"/>
        </w:rPr>
      </w:pPr>
      <w:r>
        <w:rPr>
          <w:rFonts w:hint="eastAsia" w:ascii="Times New Roman" w:hAnsi="Times New Roman"/>
          <w:bCs/>
          <w:szCs w:val="20"/>
        </w:rPr>
        <w:t>式中：</w:t>
      </w:r>
      <m:oMath>
        <m:sSub>
          <m:sSubPr>
            <m:ctrlPr>
              <w:rPr>
                <w:rFonts w:ascii="Cambria Math" w:hAnsi="Cambria Math" w:cs="Times New Roman"/>
                <w:i/>
                <w:kern w:val="0"/>
                <w:szCs w:val="21"/>
              </w:rPr>
            </m:ctrlPr>
          </m:sSub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t>
            </m:r>
            <m:r>
              <m:rPr/>
              <w:rPr>
                <w:rFonts w:hint="eastAsia" w:ascii="Cambria Math" w:hAnsi="Cambria Math" w:cs="Times New Roman"/>
                <w:kern w:val="0"/>
                <w:szCs w:val="21"/>
              </w:rPr>
              <m:t>e</m:t>
            </m:r>
            <m:ctrlPr>
              <w:rPr>
                <w:rFonts w:ascii="Cambria Math" w:hAnsi="Cambria Math" w:cs="Times New Roman"/>
                <w:i/>
                <w:kern w:val="0"/>
                <w:szCs w:val="21"/>
              </w:rPr>
            </m:ctrlPr>
          </m:sub>
        </m:sSub>
      </m:oMath>
      <w:r>
        <w:rPr>
          <w:rFonts w:hint="eastAsia" w:ascii="Times New Roman" w:hAnsi="Times New Roman"/>
          <w:bCs/>
          <w:szCs w:val="20"/>
        </w:rPr>
        <w:t>——构件混凝土抗压强度推定值；</w:t>
      </w:r>
    </w:p>
    <w:p>
      <w:pPr>
        <w:pStyle w:val="26"/>
        <w:tabs>
          <w:tab w:val="left" w:pos="640"/>
          <w:tab w:val="left" w:pos="712"/>
          <w:tab w:val="left" w:pos="990"/>
          <w:tab w:val="left" w:pos="6020"/>
        </w:tabs>
        <w:spacing w:line="360" w:lineRule="auto"/>
        <w:ind w:firstLine="1680" w:firstLineChars="800"/>
        <w:rPr>
          <w:rFonts w:ascii="Times New Roman" w:hAnsi="Times New Roman"/>
          <w:bCs/>
          <w:szCs w:val="20"/>
        </w:rPr>
      </w:pPr>
      <m:oMath>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cu,min</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oMath>
      <w:r>
        <w:rPr>
          <w:rFonts w:hint="eastAsia" w:ascii="Times New Roman" w:hAnsi="Times New Roman"/>
          <w:bCs/>
          <w:szCs w:val="20"/>
        </w:rPr>
        <w:t>——构件最小的测区混凝土抗压强度换算值（MPa），精确至0.1MPa。</w:t>
      </w:r>
    </w:p>
    <w:p>
      <w:pPr>
        <w:tabs>
          <w:tab w:val="left" w:pos="6020"/>
        </w:tabs>
        <w:spacing w:line="360" w:lineRule="auto"/>
        <w:ind w:firstLine="703" w:firstLineChars="335"/>
        <w:rPr>
          <w:rFonts w:ascii="Times New Roman" w:hAnsi="Times New Roman"/>
          <w:bCs/>
          <w:szCs w:val="20"/>
        </w:rPr>
      </w:pPr>
      <w:r>
        <w:rPr>
          <w:rFonts w:hint="eastAsia" w:ascii="黑体" w:hAnsi="黑体" w:eastAsia="黑体" w:cs="黑体"/>
        </w:rPr>
        <w:t>3）</w:t>
      </w:r>
      <w:r>
        <w:rPr>
          <w:rFonts w:hint="eastAsia" w:ascii="Times New Roman" w:hAnsi="Times New Roman"/>
          <w:bCs/>
          <w:szCs w:val="20"/>
        </w:rPr>
        <w:t>当构件中测区数不少于10个或按批量检测时，应按下列公式计算：</w:t>
      </w:r>
    </w:p>
    <w:tbl>
      <w:tblPr>
        <w:tblStyle w:val="20"/>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810"/>
        <w:gridCol w:w="4683"/>
        <w:gridCol w:w="20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4" w:hRule="atLeast"/>
        </w:trPr>
        <w:tc>
          <w:tcPr>
            <w:tcW w:w="1062" w:type="pct"/>
            <w:vAlign w:val="center"/>
          </w:tcPr>
          <w:p>
            <w:pPr>
              <w:jc w:val="center"/>
              <w:rPr>
                <w:rFonts w:hint="eastAsia" w:ascii="宋体" w:hAnsi="宋体" w:eastAsia="宋体" w:cs="宋体"/>
              </w:rPr>
            </w:pPr>
          </w:p>
        </w:tc>
        <w:tc>
          <w:tcPr>
            <w:tcW w:w="2747" w:type="pct"/>
            <w:vAlign w:val="center"/>
          </w:tcPr>
          <w:p>
            <w:pPr>
              <w:jc w:val="center"/>
              <w:rPr>
                <w:rFonts w:hint="eastAsia" w:ascii="宋体" w:hAnsi="宋体" w:eastAsia="宋体" w:cs="宋体"/>
              </w:rPr>
            </w:pPr>
            <m:oMathPara>
              <m:oMath>
                <m:sSub>
                  <m:sSubPr>
                    <m:ctrlPr>
                      <w:rPr>
                        <w:rFonts w:ascii="Cambria Math" w:hAnsi="Cambria Math" w:cs="Times New Roman"/>
                        <w:i/>
                        <w:kern w:val="0"/>
                        <w:szCs w:val="21"/>
                      </w:rPr>
                    </m:ctrlPr>
                  </m:sSub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t>
                    </m:r>
                    <m:r>
                      <m:rPr/>
                      <w:rPr>
                        <w:rFonts w:hint="eastAsia" w:ascii="Cambria Math" w:hAnsi="Cambria Math" w:cs="Times New Roman"/>
                        <w:kern w:val="0"/>
                        <w:szCs w:val="21"/>
                      </w:rPr>
                      <m:t>e</m:t>
                    </m:r>
                    <m:ctrlPr>
                      <w:rPr>
                        <w:rFonts w:ascii="Cambria Math" w:hAnsi="Cambria Math" w:cs="Times New Roman"/>
                        <w:i/>
                        <w:kern w:val="0"/>
                        <w:szCs w:val="21"/>
                      </w:rPr>
                    </m:ctrlPr>
                  </m:sub>
                </m:sSub>
                <m:r>
                  <m:rPr/>
                  <w:rPr>
                    <w:rFonts w:ascii="Cambria Math" w:hAnsi="Cambria Math" w:cs="Times New Roman"/>
                    <w:kern w:val="0"/>
                    <w:szCs w:val="21"/>
                  </w:rPr>
                  <m:t>=</m:t>
                </m:r>
                <m:sSub>
                  <m:sSubPr>
                    <m:ctrlPr>
                      <w:rPr>
                        <w:rFonts w:ascii="Cambria Math" w:hAnsi="Cambria Math" w:cs="Times New Roman"/>
                        <w:i/>
                        <w:kern w:val="0"/>
                        <w:szCs w:val="21"/>
                      </w:rPr>
                    </m:ctrlPr>
                  </m:sSubPr>
                  <m:e>
                    <m:r>
                      <m:rPr/>
                      <w:rPr>
                        <w:rFonts w:ascii="Cambria Math" w:hAnsi="Cambria Math" w:cs="Times New Roman"/>
                        <w:kern w:val="0"/>
                        <w:szCs w:val="21"/>
                      </w:rPr>
                      <m:t>m</m:t>
                    </m:r>
                    <m:ctrlPr>
                      <w:rPr>
                        <w:rFonts w:ascii="Cambria Math" w:hAnsi="Cambria Math" w:cs="Times New Roman"/>
                        <w:i/>
                        <w:kern w:val="0"/>
                        <w:szCs w:val="21"/>
                      </w:rPr>
                    </m:ctrlPr>
                  </m:e>
                  <m:sub>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ctrlPr>
                      <w:rPr>
                        <w:rFonts w:ascii="Cambria Math" w:hAnsi="Cambria Math" w:cs="Times New Roman"/>
                        <w:i/>
                        <w:kern w:val="0"/>
                        <w:szCs w:val="21"/>
                      </w:rPr>
                    </m:ctrlPr>
                  </m:sub>
                </m:sSub>
                <m:r>
                  <m:rPr/>
                  <w:rPr>
                    <w:rFonts w:ascii="Cambria Math" w:hAnsi="Cambria Math" w:cs="Times New Roman"/>
                    <w:kern w:val="0"/>
                    <w:szCs w:val="21"/>
                  </w:rPr>
                  <m:t>−1.645</m:t>
                </m:r>
                <m:sSub>
                  <m:sSubPr>
                    <m:ctrlPr>
                      <w:rPr>
                        <w:rFonts w:ascii="Cambria Math" w:hAnsi="Cambria Math" w:cs="Times New Roman"/>
                        <w:i/>
                        <w:kern w:val="0"/>
                        <w:szCs w:val="21"/>
                      </w:rPr>
                    </m:ctrlPr>
                  </m:sSubPr>
                  <m:e>
                    <m:r>
                      <m:rPr/>
                      <w:rPr>
                        <w:rFonts w:ascii="Cambria Math" w:hAnsi="Cambria Math" w:cs="Times New Roman"/>
                        <w:kern w:val="0"/>
                        <w:szCs w:val="21"/>
                      </w:rPr>
                      <m:t>s</m:t>
                    </m:r>
                    <m:ctrlPr>
                      <w:rPr>
                        <w:rFonts w:ascii="Cambria Math" w:hAnsi="Cambria Math" w:cs="Times New Roman"/>
                        <w:i/>
                        <w:kern w:val="0"/>
                        <w:szCs w:val="21"/>
                      </w:rPr>
                    </m:ctrlPr>
                  </m:e>
                  <m:sub>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ctrlPr>
                      <w:rPr>
                        <w:rFonts w:ascii="Cambria Math" w:hAnsi="Cambria Math" w:cs="Times New Roman"/>
                        <w:i/>
                        <w:kern w:val="0"/>
                        <w:szCs w:val="21"/>
                      </w:rPr>
                    </m:ctrlPr>
                  </m:sub>
                </m:sSub>
              </m:oMath>
            </m:oMathPara>
          </w:p>
        </w:tc>
        <w:tc>
          <w:tcPr>
            <w:tcW w:w="1191" w:type="pct"/>
            <w:vAlign w:val="center"/>
          </w:tcPr>
          <w:p>
            <w:pPr>
              <w:jc w:val="right"/>
              <w:rPr>
                <w:rFonts w:hint="eastAsia" w:ascii="宋体" w:hAnsi="宋体" w:eastAsia="宋体" w:cs="宋体"/>
              </w:rPr>
            </w:pPr>
            <w:r>
              <w:rPr>
                <w:rFonts w:hint="eastAsia" w:ascii="Times New Roman" w:hAnsi="Times New Roman"/>
                <w:bCs/>
                <w:szCs w:val="20"/>
              </w:rPr>
              <w:t>（</w:t>
            </w:r>
            <w:r>
              <w:rPr>
                <w:rFonts w:ascii="黑体" w:hAnsi="黑体" w:eastAsia="黑体" w:cs="黑体"/>
              </w:rPr>
              <w:t>C</w:t>
            </w:r>
            <w:r>
              <w:rPr>
                <w:rFonts w:hint="eastAsia" w:ascii="黑体" w:hAnsi="黑体" w:eastAsia="黑体" w:cs="黑体"/>
              </w:rPr>
              <w:t>.0.</w:t>
            </w:r>
            <w:r>
              <w:rPr>
                <w:rFonts w:ascii="黑体" w:hAnsi="黑体" w:eastAsia="黑体" w:cs="黑体"/>
              </w:rPr>
              <w:t>8-2</w:t>
            </w:r>
            <w:r>
              <w:rPr>
                <w:rFonts w:hint="eastAsia" w:ascii="Times New Roman" w:hAnsi="Times New Roman"/>
                <w:bCs/>
                <w:szCs w:val="20"/>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4" w:hRule="atLeast"/>
        </w:trPr>
        <w:tc>
          <w:tcPr>
            <w:tcW w:w="1062" w:type="pct"/>
            <w:vAlign w:val="center"/>
          </w:tcPr>
          <w:p>
            <w:pPr>
              <w:jc w:val="center"/>
              <w:rPr>
                <w:rFonts w:hint="eastAsia" w:ascii="宋体" w:hAnsi="宋体" w:eastAsia="宋体" w:cs="宋体"/>
              </w:rPr>
            </w:pPr>
          </w:p>
        </w:tc>
        <w:tc>
          <w:tcPr>
            <w:tcW w:w="2747" w:type="pct"/>
            <w:vAlign w:val="center"/>
          </w:tcPr>
          <w:p>
            <w:pPr>
              <w:jc w:val="center"/>
              <w:rPr>
                <w:rFonts w:hint="eastAsia" w:ascii="宋体" w:hAnsi="宋体" w:eastAsia="宋体" w:cs="宋体"/>
              </w:rPr>
            </w:pPr>
            <m:oMathPara>
              <m:oMath>
                <m:sSub>
                  <m:sSubPr>
                    <m:ctrlPr>
                      <w:rPr>
                        <w:rFonts w:ascii="Cambria Math" w:hAnsi="Cambria Math" w:cs="Times New Roman"/>
                        <w:i/>
                        <w:kern w:val="0"/>
                        <w:szCs w:val="21"/>
                      </w:rPr>
                    </m:ctrlPr>
                  </m:sSubPr>
                  <m:e>
                    <m:r>
                      <m:rPr/>
                      <w:rPr>
                        <w:rFonts w:ascii="Cambria Math" w:hAnsi="Cambria Math" w:cs="Times New Roman"/>
                        <w:kern w:val="0"/>
                        <w:szCs w:val="21"/>
                      </w:rPr>
                      <m:t>m</m:t>
                    </m:r>
                    <m:ctrlPr>
                      <w:rPr>
                        <w:rFonts w:ascii="Cambria Math" w:hAnsi="Cambria Math" w:cs="Times New Roman"/>
                        <w:i/>
                        <w:kern w:val="0"/>
                        <w:szCs w:val="21"/>
                      </w:rPr>
                    </m:ctrlPr>
                  </m:e>
                  <m:sub>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ctrlPr>
                      <w:rPr>
                        <w:rFonts w:ascii="Cambria Math" w:hAnsi="Cambria Math" w:cs="Times New Roman"/>
                        <w:i/>
                        <w:kern w:val="0"/>
                        <w:szCs w:val="21"/>
                      </w:rPr>
                    </m:ctrlPr>
                  </m:sub>
                </m:sSub>
                <m:r>
                  <m:rPr/>
                  <w:rPr>
                    <w:rFonts w:ascii="Cambria Math" w:hAnsi="Cambria Math" w:cs="Times New Roman"/>
                    <w:kern w:val="0"/>
                    <w:szCs w:val="21"/>
                  </w:rPr>
                  <m:t>=</m:t>
                </m:r>
                <m:f>
                  <m:fPr>
                    <m:ctrlPr>
                      <w:rPr>
                        <w:rFonts w:ascii="Cambria Math" w:hAnsi="Cambria Math" w:cs="Times New Roman"/>
                        <w:i/>
                        <w:kern w:val="0"/>
                        <w:szCs w:val="21"/>
                      </w:rPr>
                    </m:ctrlPr>
                  </m:fPr>
                  <m:num>
                    <m:r>
                      <m:rPr/>
                      <w:rPr>
                        <w:rFonts w:ascii="Cambria Math" w:hAnsi="Cambria Math" w:cs="Times New Roman"/>
                        <w:kern w:val="0"/>
                        <w:szCs w:val="21"/>
                      </w:rPr>
                      <m:t>1</m:t>
                    </m:r>
                    <m:ctrlPr>
                      <w:rPr>
                        <w:rFonts w:ascii="Cambria Math" w:hAnsi="Cambria Math" w:cs="Times New Roman"/>
                        <w:i/>
                        <w:kern w:val="0"/>
                        <w:szCs w:val="21"/>
                      </w:rPr>
                    </m:ctrlPr>
                  </m:num>
                  <m:den>
                    <m:r>
                      <m:rPr/>
                      <w:rPr>
                        <w:rFonts w:ascii="Cambria Math" w:hAnsi="Cambria Math" w:cs="Times New Roman"/>
                        <w:kern w:val="0"/>
                        <w:szCs w:val="21"/>
                      </w:rPr>
                      <m:t>n</m:t>
                    </m:r>
                    <m:ctrlPr>
                      <w:rPr>
                        <w:rFonts w:ascii="Cambria Math" w:hAnsi="Cambria Math" w:cs="Times New Roman"/>
                        <w:i/>
                        <w:kern w:val="0"/>
                        <w:szCs w:val="21"/>
                      </w:rPr>
                    </m:ctrlPr>
                  </m:den>
                </m:f>
                <m:nary>
                  <m:naryPr>
                    <m:chr m:val="∑"/>
                    <m:limLoc m:val="undOvr"/>
                    <m:ctrlPr>
                      <w:rPr>
                        <w:rFonts w:ascii="Cambria Math" w:hAnsi="Cambria Math" w:cs="Times New Roman"/>
                        <w:i/>
                        <w:kern w:val="0"/>
                        <w:szCs w:val="21"/>
                      </w:rPr>
                    </m:ctrlPr>
                  </m:naryPr>
                  <m:sub>
                    <m:r>
                      <m:rPr/>
                      <w:rPr>
                        <w:rFonts w:ascii="Cambria Math" w:hAnsi="Cambria Math" w:cs="Times New Roman"/>
                        <w:kern w:val="0"/>
                        <w:szCs w:val="21"/>
                      </w:rPr>
                      <m:t>i=1</m:t>
                    </m:r>
                    <m:ctrlPr>
                      <w:rPr>
                        <w:rFonts w:ascii="Cambria Math" w:hAnsi="Cambria Math" w:cs="Times New Roman"/>
                        <w:i/>
                        <w:kern w:val="0"/>
                        <w:szCs w:val="21"/>
                      </w:rPr>
                    </m:ctrlPr>
                  </m:sub>
                  <m:sup>
                    <m:r>
                      <m:rPr/>
                      <w:rPr>
                        <w:rFonts w:ascii="Cambria Math" w:hAnsi="Cambria Math" w:cs="Times New Roman"/>
                        <w:kern w:val="0"/>
                        <w:szCs w:val="21"/>
                      </w:rPr>
                      <m:t>n</m:t>
                    </m:r>
                    <m:ctrlPr>
                      <w:rPr>
                        <w:rFonts w:ascii="Cambria Math" w:hAnsi="Cambria Math" w:cs="Times New Roman"/>
                        <w:i/>
                        <w:kern w:val="0"/>
                        <w:szCs w:val="21"/>
                      </w:rPr>
                    </m:ctrlPr>
                  </m:sup>
                  <m:e>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cu,i</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ctrlPr>
                      <w:rPr>
                        <w:rFonts w:ascii="Cambria Math" w:hAnsi="Cambria Math" w:cs="Times New Roman"/>
                        <w:i/>
                        <w:kern w:val="0"/>
                        <w:szCs w:val="21"/>
                      </w:rPr>
                    </m:ctrlPr>
                  </m:e>
                </m:nary>
              </m:oMath>
            </m:oMathPara>
          </w:p>
        </w:tc>
        <w:tc>
          <w:tcPr>
            <w:tcW w:w="1191" w:type="pct"/>
            <w:vAlign w:val="center"/>
          </w:tcPr>
          <w:p>
            <w:pPr>
              <w:jc w:val="right"/>
              <w:rPr>
                <w:rFonts w:hint="eastAsia" w:ascii="宋体" w:hAnsi="宋体" w:eastAsia="宋体" w:cs="宋体"/>
              </w:rPr>
            </w:pPr>
            <w:r>
              <w:rPr>
                <w:rFonts w:hint="eastAsia" w:ascii="Times New Roman" w:hAnsi="Times New Roman"/>
                <w:bCs/>
                <w:szCs w:val="20"/>
              </w:rPr>
              <w:t>（</w:t>
            </w:r>
            <w:r>
              <w:rPr>
                <w:rFonts w:ascii="黑体" w:hAnsi="黑体" w:eastAsia="黑体" w:cs="黑体"/>
              </w:rPr>
              <w:t>C</w:t>
            </w:r>
            <w:r>
              <w:rPr>
                <w:rFonts w:hint="eastAsia" w:ascii="黑体" w:hAnsi="黑体" w:eastAsia="黑体" w:cs="黑体"/>
              </w:rPr>
              <w:t>.0.</w:t>
            </w:r>
            <w:r>
              <w:rPr>
                <w:rFonts w:ascii="黑体" w:hAnsi="黑体" w:eastAsia="黑体" w:cs="黑体"/>
              </w:rPr>
              <w:t>8-3</w:t>
            </w:r>
            <w:r>
              <w:rPr>
                <w:rFonts w:hint="eastAsia" w:ascii="Times New Roman" w:hAnsi="Times New Roman"/>
                <w:bCs/>
                <w:szCs w:val="20"/>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4" w:hRule="atLeast"/>
        </w:trPr>
        <w:tc>
          <w:tcPr>
            <w:tcW w:w="1062" w:type="pct"/>
            <w:vAlign w:val="center"/>
          </w:tcPr>
          <w:p>
            <w:pPr>
              <w:jc w:val="center"/>
              <w:rPr>
                <w:rFonts w:hint="eastAsia" w:ascii="宋体" w:hAnsi="宋体" w:eastAsia="宋体" w:cs="宋体"/>
              </w:rPr>
            </w:pPr>
          </w:p>
        </w:tc>
        <w:tc>
          <w:tcPr>
            <w:tcW w:w="2747" w:type="pct"/>
            <w:vAlign w:val="center"/>
          </w:tcPr>
          <w:p>
            <w:pPr>
              <w:jc w:val="center"/>
              <w:rPr>
                <w:rFonts w:hint="eastAsia" w:ascii="宋体" w:hAnsi="宋体" w:eastAsia="宋体" w:cs="宋体"/>
              </w:rPr>
            </w:pPr>
            <m:oMathPara>
              <m:oMath>
                <m:sSub>
                  <m:sSubPr>
                    <m:ctrlPr>
                      <w:rPr>
                        <w:rFonts w:ascii="Cambria Math" w:hAnsi="Cambria Math" w:cs="Times New Roman"/>
                        <w:i/>
                        <w:kern w:val="0"/>
                        <w:szCs w:val="21"/>
                      </w:rPr>
                    </m:ctrlPr>
                  </m:sSubPr>
                  <m:e>
                    <m:r>
                      <m:rPr/>
                      <w:rPr>
                        <w:rFonts w:ascii="Cambria Math" w:hAnsi="Cambria Math" w:cs="Times New Roman"/>
                        <w:kern w:val="0"/>
                        <w:szCs w:val="21"/>
                      </w:rPr>
                      <m:t>s</m:t>
                    </m:r>
                    <m:ctrlPr>
                      <w:rPr>
                        <w:rFonts w:ascii="Cambria Math" w:hAnsi="Cambria Math" w:cs="Times New Roman"/>
                        <w:i/>
                        <w:kern w:val="0"/>
                        <w:szCs w:val="21"/>
                      </w:rPr>
                    </m:ctrlPr>
                  </m:e>
                  <m:sub>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ctrlPr>
                      <w:rPr>
                        <w:rFonts w:ascii="Cambria Math" w:hAnsi="Cambria Math" w:cs="Times New Roman"/>
                        <w:i/>
                        <w:kern w:val="0"/>
                        <w:szCs w:val="21"/>
                      </w:rPr>
                    </m:ctrlPr>
                  </m:sub>
                </m:sSub>
                <m:r>
                  <m:rPr/>
                  <w:rPr>
                    <w:rFonts w:ascii="Cambria Math" w:hAnsi="Cambria Math" w:cs="Times New Roman"/>
                    <w:kern w:val="0"/>
                    <w:szCs w:val="21"/>
                  </w:rPr>
                  <m:t>=</m:t>
                </m:r>
                <m:rad>
                  <m:radPr>
                    <m:degHide m:val="1"/>
                    <m:ctrlPr>
                      <w:rPr>
                        <w:rFonts w:ascii="Cambria Math" w:hAnsi="Cambria Math" w:cs="Times New Roman"/>
                        <w:i/>
                        <w:kern w:val="0"/>
                        <w:szCs w:val="21"/>
                      </w:rPr>
                    </m:ctrlPr>
                  </m:radPr>
                  <m:deg>
                    <m:ctrlPr>
                      <w:rPr>
                        <w:rFonts w:ascii="Cambria Math" w:hAnsi="Cambria Math" w:cs="Times New Roman"/>
                        <w:i/>
                        <w:kern w:val="0"/>
                        <w:szCs w:val="21"/>
                      </w:rPr>
                    </m:ctrlPr>
                  </m:deg>
                  <m:e>
                    <m:f>
                      <m:fPr>
                        <m:ctrlPr>
                          <w:rPr>
                            <w:rFonts w:ascii="Cambria Math" w:hAnsi="Cambria Math" w:cs="Times New Roman"/>
                            <w:i/>
                            <w:kern w:val="0"/>
                            <w:szCs w:val="21"/>
                          </w:rPr>
                        </m:ctrlPr>
                      </m:fPr>
                      <m:num>
                        <m:nary>
                          <m:naryPr>
                            <m:chr m:val="∑"/>
                            <m:limLoc m:val="undOvr"/>
                            <m:ctrlPr>
                              <w:rPr>
                                <w:rFonts w:ascii="Cambria Math" w:hAnsi="Cambria Math" w:cs="Times New Roman"/>
                                <w:i/>
                                <w:kern w:val="0"/>
                                <w:szCs w:val="21"/>
                              </w:rPr>
                            </m:ctrlPr>
                          </m:naryPr>
                          <m:sub>
                            <m:r>
                              <m:rPr/>
                              <w:rPr>
                                <w:rFonts w:ascii="Cambria Math" w:hAnsi="Cambria Math" w:cs="Times New Roman"/>
                                <w:kern w:val="0"/>
                                <w:szCs w:val="21"/>
                              </w:rPr>
                              <m:t>i=1</m:t>
                            </m:r>
                            <m:ctrlPr>
                              <w:rPr>
                                <w:rFonts w:ascii="Cambria Math" w:hAnsi="Cambria Math" w:cs="Times New Roman"/>
                                <w:i/>
                                <w:kern w:val="0"/>
                                <w:szCs w:val="21"/>
                              </w:rPr>
                            </m:ctrlPr>
                          </m:sub>
                          <m:sup>
                            <m:r>
                              <m:rPr/>
                              <w:rPr>
                                <w:rFonts w:ascii="Cambria Math" w:hAnsi="Cambria Math" w:cs="Times New Roman"/>
                                <w:kern w:val="0"/>
                                <w:szCs w:val="21"/>
                              </w:rPr>
                              <m:t>n</m:t>
                            </m:r>
                            <m:ctrlPr>
                              <w:rPr>
                                <w:rFonts w:ascii="Cambria Math" w:hAnsi="Cambria Math" w:cs="Times New Roman"/>
                                <w:i/>
                                <w:kern w:val="0"/>
                                <w:szCs w:val="21"/>
                              </w:rPr>
                            </m:ctrlPr>
                          </m:sup>
                          <m:e>
                            <m:sSup>
                              <m:sSupPr>
                                <m:ctrlPr>
                                  <w:rPr>
                                    <w:rFonts w:ascii="Cambria Math" w:hAnsi="Cambria Math" w:cs="Times New Roman"/>
                                    <w:i/>
                                    <w:kern w:val="0"/>
                                    <w:szCs w:val="21"/>
                                  </w:rPr>
                                </m:ctrlPr>
                              </m:sSupPr>
                              <m:e>
                                <m:d>
                                  <m:dPr>
                                    <m:ctrlPr>
                                      <w:rPr>
                                        <w:rFonts w:ascii="Cambria Math" w:hAnsi="Cambria Math" w:cs="Times New Roman"/>
                                        <w:i/>
                                        <w:kern w:val="0"/>
                                        <w:szCs w:val="21"/>
                                      </w:rPr>
                                    </m:ctrlPr>
                                  </m:dPr>
                                  <m:e>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cu,i</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ctrlPr>
                                      <w:rPr>
                                        <w:rFonts w:ascii="Cambria Math" w:hAnsi="Cambria Math" w:cs="Times New Roman"/>
                                        <w:i/>
                                        <w:kern w:val="0"/>
                                        <w:szCs w:val="21"/>
                                      </w:rPr>
                                    </m:ctrlPr>
                                  </m:e>
                                </m:d>
                                <m:ctrlPr>
                                  <w:rPr>
                                    <w:rFonts w:ascii="Cambria Math" w:hAnsi="Cambria Math" w:cs="Times New Roman"/>
                                    <w:i/>
                                    <w:kern w:val="0"/>
                                    <w:szCs w:val="21"/>
                                  </w:rPr>
                                </m:ctrlPr>
                              </m:e>
                              <m:sup>
                                <m:r>
                                  <m:rPr/>
                                  <w:rPr>
                                    <w:rFonts w:ascii="Cambria Math" w:hAnsi="Cambria Math" w:cs="Times New Roman"/>
                                    <w:kern w:val="0"/>
                                    <w:szCs w:val="21"/>
                                  </w:rPr>
                                  <m:t>2</m:t>
                                </m:r>
                                <m:ctrlPr>
                                  <w:rPr>
                                    <w:rFonts w:ascii="Cambria Math" w:hAnsi="Cambria Math" w:cs="Times New Roman"/>
                                    <w:i/>
                                    <w:kern w:val="0"/>
                                    <w:szCs w:val="21"/>
                                  </w:rPr>
                                </m:ctrlPr>
                              </m:sup>
                            </m:sSup>
                            <m:r>
                              <m:rPr/>
                              <w:rPr>
                                <w:rFonts w:ascii="Cambria Math" w:hAnsi="Cambria Math" w:cs="Times New Roman"/>
                                <w:kern w:val="0"/>
                                <w:szCs w:val="21"/>
                              </w:rPr>
                              <m:t>−n</m:t>
                            </m:r>
                            <m:sSup>
                              <m:sSupPr>
                                <m:ctrlPr>
                                  <w:rPr>
                                    <w:rFonts w:ascii="Cambria Math" w:hAnsi="Cambria Math" w:cs="Times New Roman"/>
                                    <w:i/>
                                    <w:kern w:val="0"/>
                                    <w:szCs w:val="21"/>
                                  </w:rPr>
                                </m:ctrlPr>
                              </m:sSupPr>
                              <m:e>
                                <m:d>
                                  <m:dPr>
                                    <m:ctrlPr>
                                      <w:rPr>
                                        <w:rFonts w:ascii="Cambria Math" w:hAnsi="Cambria Math" w:cs="Times New Roman"/>
                                        <w:i/>
                                        <w:kern w:val="0"/>
                                        <w:szCs w:val="21"/>
                                      </w:rPr>
                                    </m:ctrlPr>
                                  </m:dPr>
                                  <m:e>
                                    <m:sSub>
                                      <m:sSubPr>
                                        <m:ctrlPr>
                                          <w:rPr>
                                            <w:rFonts w:ascii="Cambria Math" w:hAnsi="Cambria Math" w:cs="Times New Roman"/>
                                            <w:i/>
                                            <w:kern w:val="0"/>
                                            <w:szCs w:val="21"/>
                                          </w:rPr>
                                        </m:ctrlPr>
                                      </m:sSubPr>
                                      <m:e>
                                        <m:r>
                                          <m:rPr/>
                                          <w:rPr>
                                            <w:rFonts w:ascii="Cambria Math" w:hAnsi="Cambria Math" w:cs="Times New Roman"/>
                                            <w:kern w:val="0"/>
                                            <w:szCs w:val="21"/>
                                          </w:rPr>
                                          <m:t>m</m:t>
                                        </m:r>
                                        <m:ctrlPr>
                                          <w:rPr>
                                            <w:rFonts w:ascii="Cambria Math" w:hAnsi="Cambria Math" w:cs="Times New Roman"/>
                                            <w:i/>
                                            <w:kern w:val="0"/>
                                            <w:szCs w:val="21"/>
                                          </w:rPr>
                                        </m:ctrlPr>
                                      </m:e>
                                      <m:sub>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ctrlPr>
                                          <w:rPr>
                                            <w:rFonts w:ascii="Cambria Math" w:hAnsi="Cambria Math" w:cs="Times New Roman"/>
                                            <w:i/>
                                            <w:kern w:val="0"/>
                                            <w:szCs w:val="21"/>
                                          </w:rPr>
                                        </m:ctrlPr>
                                      </m:sub>
                                    </m:sSub>
                                    <m:ctrlPr>
                                      <w:rPr>
                                        <w:rFonts w:ascii="Cambria Math" w:hAnsi="Cambria Math" w:cs="Times New Roman"/>
                                        <w:i/>
                                        <w:kern w:val="0"/>
                                        <w:szCs w:val="21"/>
                                      </w:rPr>
                                    </m:ctrlPr>
                                  </m:e>
                                </m:d>
                                <m:ctrlPr>
                                  <w:rPr>
                                    <w:rFonts w:ascii="Cambria Math" w:hAnsi="Cambria Math" w:cs="Times New Roman"/>
                                    <w:i/>
                                    <w:kern w:val="0"/>
                                    <w:szCs w:val="21"/>
                                  </w:rPr>
                                </m:ctrlPr>
                              </m:e>
                              <m:sup>
                                <m:r>
                                  <m:rPr/>
                                  <w:rPr>
                                    <w:rFonts w:ascii="Cambria Math" w:hAnsi="Cambria Math" w:cs="Times New Roman"/>
                                    <w:kern w:val="0"/>
                                    <w:szCs w:val="21"/>
                                  </w:rPr>
                                  <m:t>2</m:t>
                                </m:r>
                                <m:ctrlPr>
                                  <w:rPr>
                                    <w:rFonts w:ascii="Cambria Math" w:hAnsi="Cambria Math" w:cs="Times New Roman"/>
                                    <w:i/>
                                    <w:kern w:val="0"/>
                                    <w:szCs w:val="21"/>
                                  </w:rPr>
                                </m:ctrlPr>
                              </m:sup>
                            </m:sSup>
                            <m:ctrlPr>
                              <w:rPr>
                                <w:rFonts w:ascii="Cambria Math" w:hAnsi="Cambria Math" w:cs="Times New Roman"/>
                                <w:i/>
                                <w:kern w:val="0"/>
                                <w:szCs w:val="21"/>
                              </w:rPr>
                            </m:ctrlPr>
                          </m:e>
                        </m:nary>
                        <m:ctrlPr>
                          <w:rPr>
                            <w:rFonts w:ascii="Cambria Math" w:hAnsi="Cambria Math" w:cs="Times New Roman"/>
                            <w:i/>
                            <w:kern w:val="0"/>
                            <w:szCs w:val="21"/>
                          </w:rPr>
                        </m:ctrlPr>
                      </m:num>
                      <m:den>
                        <m:r>
                          <m:rPr/>
                          <w:rPr>
                            <w:rFonts w:ascii="Cambria Math" w:hAnsi="Cambria Math" w:cs="Times New Roman"/>
                            <w:kern w:val="0"/>
                            <w:szCs w:val="21"/>
                          </w:rPr>
                          <m:t>n−1</m:t>
                        </m:r>
                        <m:ctrlPr>
                          <w:rPr>
                            <w:rFonts w:ascii="Cambria Math" w:hAnsi="Cambria Math" w:cs="Times New Roman"/>
                            <w:i/>
                            <w:kern w:val="0"/>
                            <w:szCs w:val="21"/>
                          </w:rPr>
                        </m:ctrlPr>
                      </m:den>
                    </m:f>
                    <m:ctrlPr>
                      <w:rPr>
                        <w:rFonts w:ascii="Cambria Math" w:hAnsi="Cambria Math" w:cs="Times New Roman"/>
                        <w:i/>
                        <w:kern w:val="0"/>
                        <w:szCs w:val="21"/>
                      </w:rPr>
                    </m:ctrlPr>
                  </m:e>
                </m:rad>
              </m:oMath>
            </m:oMathPara>
          </w:p>
        </w:tc>
        <w:tc>
          <w:tcPr>
            <w:tcW w:w="1191" w:type="pct"/>
            <w:vAlign w:val="center"/>
          </w:tcPr>
          <w:p>
            <w:pPr>
              <w:jc w:val="right"/>
              <w:rPr>
                <w:rFonts w:hint="eastAsia" w:ascii="宋体" w:hAnsi="宋体" w:eastAsia="宋体" w:cs="宋体"/>
              </w:rPr>
            </w:pPr>
            <w:r>
              <w:rPr>
                <w:rFonts w:hint="eastAsia" w:ascii="Times New Roman" w:hAnsi="Times New Roman"/>
                <w:bCs/>
                <w:szCs w:val="20"/>
              </w:rPr>
              <w:t>（</w:t>
            </w:r>
            <w:r>
              <w:rPr>
                <w:rFonts w:ascii="黑体" w:hAnsi="黑体" w:eastAsia="黑体" w:cs="黑体"/>
              </w:rPr>
              <w:t>C</w:t>
            </w:r>
            <w:r>
              <w:rPr>
                <w:rFonts w:hint="eastAsia" w:ascii="黑体" w:hAnsi="黑体" w:eastAsia="黑体" w:cs="黑体"/>
              </w:rPr>
              <w:t>.0.</w:t>
            </w:r>
            <w:r>
              <w:rPr>
                <w:rFonts w:ascii="黑体" w:hAnsi="黑体" w:eastAsia="黑体" w:cs="黑体"/>
              </w:rPr>
              <w:t>8-4</w:t>
            </w:r>
            <w:r>
              <w:rPr>
                <w:rFonts w:hint="eastAsia" w:ascii="Times New Roman" w:hAnsi="Times New Roman"/>
                <w:bCs/>
                <w:szCs w:val="20"/>
              </w:rPr>
              <w:t>）</w:t>
            </w:r>
          </w:p>
        </w:tc>
      </w:tr>
    </w:tbl>
    <w:p>
      <w:pPr>
        <w:spacing w:line="360" w:lineRule="auto"/>
        <w:ind w:firstLine="1058" w:firstLineChars="504"/>
        <w:rPr>
          <w:rFonts w:hint="eastAsia" w:ascii="宋体" w:hAnsi="宋体" w:eastAsia="宋体" w:cs="宋体"/>
        </w:rPr>
      </w:pPr>
      <w:r>
        <w:rPr>
          <w:rFonts w:hint="eastAsia" w:ascii="Times New Roman" w:hAnsi="Times New Roman"/>
          <w:bCs/>
          <w:szCs w:val="20"/>
        </w:rPr>
        <w:t xml:space="preserve">式中： </w:t>
      </w:r>
      <m:oMath>
        <m:sSub>
          <m:sSubPr>
            <m:ctrlPr>
              <w:rPr>
                <w:rFonts w:ascii="Cambria Math" w:hAnsi="Cambria Math" w:cs="Times New Roman"/>
                <w:i/>
                <w:kern w:val="0"/>
                <w:szCs w:val="21"/>
              </w:rPr>
            </m:ctrlPr>
          </m:sSubPr>
          <m:e>
            <m:r>
              <m:rPr/>
              <w:rPr>
                <w:rFonts w:ascii="Cambria Math" w:hAnsi="Cambria Math" w:cs="Times New Roman"/>
                <w:kern w:val="0"/>
                <w:szCs w:val="21"/>
              </w:rPr>
              <m:t>m</m:t>
            </m:r>
            <m:ctrlPr>
              <w:rPr>
                <w:rFonts w:ascii="Cambria Math" w:hAnsi="Cambria Math" w:cs="Times New Roman"/>
                <w:i/>
                <w:kern w:val="0"/>
                <w:szCs w:val="21"/>
              </w:rPr>
            </m:ctrlPr>
          </m:e>
          <m:sub>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ctrlPr>
              <w:rPr>
                <w:rFonts w:ascii="Cambria Math" w:hAnsi="Cambria Math" w:cs="Times New Roman"/>
                <w:i/>
                <w:kern w:val="0"/>
                <w:szCs w:val="21"/>
              </w:rPr>
            </m:ctrlPr>
          </m:sub>
        </m:sSub>
      </m:oMath>
      <w:r>
        <w:rPr>
          <w:rFonts w:hint="eastAsia" w:ascii="Times New Roman" w:hAnsi="Times New Roman"/>
          <w:bCs/>
          <w:szCs w:val="20"/>
        </w:rPr>
        <w:t>—— 测区混凝土抗压强度换算值的平均值（MPa），精确至0.1MPa；</w:t>
      </w:r>
    </w:p>
    <w:p>
      <w:pPr>
        <w:pStyle w:val="26"/>
        <w:tabs>
          <w:tab w:val="left" w:pos="0"/>
          <w:tab w:val="left" w:pos="712"/>
          <w:tab w:val="left" w:pos="990"/>
          <w:tab w:val="left" w:pos="6020"/>
        </w:tabs>
        <w:spacing w:line="360" w:lineRule="auto"/>
        <w:ind w:firstLine="1680" w:firstLineChars="800"/>
        <w:rPr>
          <w:rFonts w:hint="eastAsia" w:ascii="宋体" w:hAnsi="宋体" w:eastAsia="宋体" w:cs="宋体"/>
        </w:rPr>
      </w:pPr>
      <m:oMath>
        <m:sSub>
          <m:sSubPr>
            <m:ctrlPr>
              <w:rPr>
                <w:rFonts w:ascii="Cambria Math" w:hAnsi="Cambria Math" w:cs="Times New Roman"/>
                <w:i/>
                <w:kern w:val="0"/>
                <w:szCs w:val="21"/>
              </w:rPr>
            </m:ctrlPr>
          </m:sSubPr>
          <m:e>
            <m:r>
              <m:rPr/>
              <w:rPr>
                <w:rFonts w:ascii="Cambria Math" w:hAnsi="Cambria Math" w:cs="Times New Roman"/>
                <w:kern w:val="0"/>
                <w:szCs w:val="21"/>
              </w:rPr>
              <m:t>s</m:t>
            </m:r>
            <m:ctrlPr>
              <w:rPr>
                <w:rFonts w:ascii="Cambria Math" w:hAnsi="Cambria Math" w:cs="Times New Roman"/>
                <w:i/>
                <w:kern w:val="0"/>
                <w:szCs w:val="21"/>
              </w:rPr>
            </m:ctrlPr>
          </m:e>
          <m:sub>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ctrlPr>
              <w:rPr>
                <w:rFonts w:ascii="Cambria Math" w:hAnsi="Cambria Math" w:cs="Times New Roman"/>
                <w:i/>
                <w:kern w:val="0"/>
                <w:szCs w:val="21"/>
              </w:rPr>
            </m:ctrlPr>
          </m:sub>
        </m:sSub>
      </m:oMath>
      <w:r>
        <w:rPr>
          <w:rFonts w:hint="eastAsia" w:ascii="Times New Roman" w:hAnsi="Times New Roman"/>
          <w:bCs/>
          <w:szCs w:val="20"/>
        </w:rPr>
        <w:t>——</w:t>
      </w:r>
      <w:r>
        <w:rPr>
          <w:rFonts w:hint="eastAsia" w:ascii="宋体" w:hAnsi="宋体" w:eastAsia="宋体" w:cs="宋体"/>
        </w:rPr>
        <w:t>测区</w:t>
      </w:r>
      <w:r>
        <w:rPr>
          <w:rFonts w:hint="eastAsia" w:ascii="Times New Roman" w:hAnsi="Times New Roman"/>
          <w:bCs/>
          <w:szCs w:val="20"/>
        </w:rPr>
        <w:t>混凝土</w:t>
      </w:r>
      <w:r>
        <w:rPr>
          <w:rFonts w:hint="eastAsia" w:ascii="宋体" w:hAnsi="宋体" w:eastAsia="宋体" w:cs="宋体"/>
        </w:rPr>
        <w:t>抗压强度换算值的标准差（</w:t>
      </w:r>
      <w:r>
        <w:rPr>
          <w:rFonts w:hint="eastAsia" w:ascii="Times New Roman" w:hAnsi="Times New Roman" w:eastAsia="宋体" w:cs="Times New Roman"/>
        </w:rPr>
        <w:t>MPa</w:t>
      </w:r>
      <w:r>
        <w:rPr>
          <w:rFonts w:hint="eastAsia" w:ascii="宋体" w:hAnsi="宋体" w:eastAsia="宋体" w:cs="宋体"/>
        </w:rPr>
        <w:t>），精确至</w:t>
      </w:r>
      <w:r>
        <w:rPr>
          <w:rFonts w:hint="eastAsia" w:ascii="Times New Roman" w:hAnsi="Times New Roman" w:eastAsia="宋体" w:cs="Times New Roman"/>
        </w:rPr>
        <w:t>0.01MPa；</w:t>
      </w:r>
    </w:p>
    <w:p>
      <w:pPr>
        <w:pStyle w:val="26"/>
        <w:tabs>
          <w:tab w:val="left" w:pos="712"/>
          <w:tab w:val="left" w:pos="990"/>
          <w:tab w:val="left" w:pos="6020"/>
        </w:tabs>
        <w:spacing w:line="360" w:lineRule="auto"/>
        <w:ind w:left="1058" w:leftChars="504" w:firstLine="619" w:firstLineChars="295"/>
        <w:rPr>
          <w:rFonts w:hint="eastAsia" w:ascii="宋体" w:hAnsi="宋体" w:eastAsia="宋体" w:cs="宋体"/>
        </w:rPr>
      </w:pPr>
      <m:oMath>
        <m:r>
          <m:rPr/>
          <w:rPr>
            <w:rFonts w:ascii="Cambria Math" w:hAnsi="Cambria Math" w:cs="Times New Roman"/>
            <w:kern w:val="0"/>
            <w:szCs w:val="21"/>
          </w:rPr>
          <m:t>n</m:t>
        </m:r>
      </m:oMath>
      <w:r>
        <w:rPr>
          <w:rFonts w:hint="eastAsia" w:ascii="宋体" w:hAnsi="宋体" w:eastAsia="宋体" w:cs="宋体"/>
        </w:rPr>
        <w:t xml:space="preserve"> —— 测区数。对于单个检测的构件，取构件的测区数；对批量检测的构件，取所有被抽检构件测区数之总和。</w:t>
      </w:r>
    </w:p>
    <w:p>
      <w:pPr>
        <w:spacing w:line="360" w:lineRule="auto"/>
        <w:rPr>
          <w:rFonts w:hint="eastAsia" w:ascii="宋体" w:hAnsi="宋体" w:eastAsia="宋体" w:cs="宋体"/>
        </w:rPr>
      </w:pPr>
      <w:r>
        <w:rPr>
          <w:rFonts w:ascii="黑体" w:hAnsi="黑体" w:eastAsia="黑体" w:cs="黑体"/>
        </w:rPr>
        <w:t>C</w:t>
      </w:r>
      <w:r>
        <w:rPr>
          <w:rFonts w:hint="eastAsia" w:ascii="黑体" w:hAnsi="黑体" w:eastAsia="黑体" w:cs="黑体"/>
        </w:rPr>
        <w:t>.0.</w:t>
      </w:r>
      <w:r>
        <w:rPr>
          <w:rFonts w:ascii="黑体" w:hAnsi="黑体" w:eastAsia="黑体" w:cs="黑体"/>
        </w:rPr>
        <w:t>9</w:t>
      </w:r>
      <w:r>
        <w:rPr>
          <w:rFonts w:hint="eastAsia" w:ascii="宋体" w:hAnsi="宋体" w:eastAsia="宋体" w:cs="宋体"/>
        </w:rPr>
        <w:t xml:space="preserve">  对按批量检测的构件，当测区混凝土抗压强度标准差出现下列情况之一时，构件应全部按单个构件进行强度推定：</w:t>
      </w:r>
    </w:p>
    <w:p>
      <w:pPr>
        <w:pStyle w:val="26"/>
        <w:tabs>
          <w:tab w:val="left" w:pos="0"/>
          <w:tab w:val="left" w:pos="712"/>
          <w:tab w:val="left" w:pos="990"/>
          <w:tab w:val="left" w:pos="6020"/>
        </w:tabs>
        <w:spacing w:line="360" w:lineRule="auto"/>
        <w:rPr>
          <w:rFonts w:ascii="Times New Roman" w:hAnsi="Times New Roman"/>
          <w:bCs/>
          <w:szCs w:val="20"/>
        </w:rPr>
      </w:pPr>
      <w:r>
        <w:rPr>
          <w:rFonts w:ascii="黑体" w:hAnsi="黑体" w:eastAsia="黑体" w:cs="黑体"/>
        </w:rPr>
        <w:t xml:space="preserve">1 </w:t>
      </w:r>
      <w:r>
        <w:rPr>
          <w:rFonts w:hint="eastAsia" w:ascii="宋体" w:hAnsi="宋体" w:eastAsia="宋体" w:cs="宋体"/>
        </w:rPr>
        <w:t>测区混凝土抗压强度换算值的平均值（</w:t>
      </w:r>
      <m:oMath>
        <m:sSub>
          <m:sSubPr>
            <m:ctrlPr>
              <w:rPr>
                <w:rFonts w:ascii="Cambria Math" w:hAnsi="Cambria Math" w:cs="Times New Roman"/>
                <w:i/>
                <w:kern w:val="0"/>
                <w:szCs w:val="21"/>
              </w:rPr>
            </m:ctrlPr>
          </m:sSubPr>
          <m:e>
            <m:r>
              <m:rPr/>
              <w:rPr>
                <w:rFonts w:ascii="Cambria Math" w:hAnsi="Cambria Math" w:cs="Times New Roman"/>
                <w:kern w:val="0"/>
                <w:szCs w:val="21"/>
              </w:rPr>
              <m:t>m</m:t>
            </m:r>
            <m:ctrlPr>
              <w:rPr>
                <w:rFonts w:ascii="Cambria Math" w:hAnsi="Cambria Math" w:cs="Times New Roman"/>
                <w:i/>
                <w:kern w:val="0"/>
                <w:szCs w:val="21"/>
              </w:rPr>
            </m:ctrlPr>
          </m:e>
          <m:sub>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ctrlPr>
              <w:rPr>
                <w:rFonts w:ascii="Cambria Math" w:hAnsi="Cambria Math" w:cs="Times New Roman"/>
                <w:i/>
                <w:kern w:val="0"/>
                <w:szCs w:val="21"/>
              </w:rPr>
            </m:ctrlPr>
          </m:sub>
        </m:sSub>
      </m:oMath>
      <w:r>
        <w:rPr>
          <w:rFonts w:hint="eastAsia" w:ascii="宋体" w:hAnsi="宋体" w:eastAsia="宋体" w:cs="宋体"/>
        </w:rPr>
        <w:t>）小于</w:t>
      </w:r>
      <w:r>
        <w:rPr>
          <w:rFonts w:ascii="Times New Roman" w:hAnsi="Times New Roman" w:eastAsia="宋体" w:cs="Times New Roman"/>
        </w:rPr>
        <w:t>25.0</w:t>
      </w:r>
      <w:r>
        <w:rPr>
          <w:rFonts w:hint="eastAsia" w:ascii="Times New Roman" w:hAnsi="Times New Roman" w:eastAsia="宋体" w:cs="Times New Roman"/>
        </w:rPr>
        <w:t>MPa</w:t>
      </w:r>
      <w:r>
        <w:rPr>
          <w:rFonts w:hint="eastAsia" w:ascii="宋体" w:hAnsi="宋体" w:eastAsia="宋体" w:cs="宋体"/>
        </w:rPr>
        <w:t>，测区混凝土抗压强度换算值的标准差（</w:t>
      </w:r>
      <m:oMath>
        <m:sSub>
          <m:sSubPr>
            <m:ctrlPr>
              <w:rPr>
                <w:rFonts w:ascii="Cambria Math" w:hAnsi="Cambria Math" w:cs="Times New Roman"/>
                <w:i/>
                <w:kern w:val="0"/>
                <w:szCs w:val="21"/>
              </w:rPr>
            </m:ctrlPr>
          </m:sSubPr>
          <m:e>
            <m:r>
              <m:rPr/>
              <w:rPr>
                <w:rFonts w:ascii="Cambria Math" w:hAnsi="Cambria Math" w:cs="Times New Roman"/>
                <w:kern w:val="0"/>
                <w:szCs w:val="21"/>
              </w:rPr>
              <m:t>s</m:t>
            </m:r>
            <m:ctrlPr>
              <w:rPr>
                <w:rFonts w:ascii="Cambria Math" w:hAnsi="Cambria Math" w:cs="Times New Roman"/>
                <w:i/>
                <w:kern w:val="0"/>
                <w:szCs w:val="21"/>
              </w:rPr>
            </m:ctrlPr>
          </m:e>
          <m:sub>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ctrlPr>
              <w:rPr>
                <w:rFonts w:ascii="Cambria Math" w:hAnsi="Cambria Math" w:cs="Times New Roman"/>
                <w:i/>
                <w:kern w:val="0"/>
                <w:szCs w:val="21"/>
              </w:rPr>
            </m:ctrlPr>
          </m:sub>
        </m:sSub>
      </m:oMath>
      <w:r>
        <w:rPr>
          <w:rFonts w:hint="eastAsia" w:ascii="宋体" w:hAnsi="宋体" w:eastAsia="宋体" w:cs="宋体"/>
        </w:rPr>
        <w:t>）大于</w:t>
      </w:r>
      <w:r>
        <w:rPr>
          <w:rFonts w:hint="eastAsia" w:ascii="Times New Roman" w:hAnsi="Times New Roman" w:eastAsia="宋体" w:cs="Times New Roman"/>
        </w:rPr>
        <w:t>4.50MPa</w:t>
      </w:r>
      <w:r>
        <w:rPr>
          <w:rFonts w:hint="eastAsia" w:ascii="宋体" w:hAnsi="宋体" w:eastAsia="宋体" w:cs="宋体"/>
        </w:rPr>
        <w:t>；</w:t>
      </w:r>
    </w:p>
    <w:p>
      <w:pPr>
        <w:pStyle w:val="26"/>
        <w:tabs>
          <w:tab w:val="left" w:pos="0"/>
          <w:tab w:val="left" w:pos="712"/>
          <w:tab w:val="left" w:pos="990"/>
          <w:tab w:val="left" w:pos="6020"/>
        </w:tabs>
        <w:spacing w:line="360" w:lineRule="auto"/>
        <w:rPr>
          <w:rFonts w:ascii="Times New Roman" w:hAnsi="Times New Roman"/>
          <w:bCs/>
          <w:szCs w:val="20"/>
        </w:rPr>
      </w:pPr>
      <w:r>
        <w:rPr>
          <w:rFonts w:ascii="黑体" w:hAnsi="黑体" w:eastAsia="黑体" w:cs="黑体"/>
        </w:rPr>
        <w:t xml:space="preserve">2 </w:t>
      </w:r>
      <w:r>
        <w:rPr>
          <w:rFonts w:hint="eastAsia" w:ascii="宋体" w:hAnsi="宋体" w:eastAsia="宋体" w:cs="宋体"/>
        </w:rPr>
        <w:t>测区混凝土抗压强度换算值的平均值（</w:t>
      </w:r>
      <m:oMath>
        <m:sSub>
          <m:sSubPr>
            <m:ctrlPr>
              <w:rPr>
                <w:rFonts w:ascii="Cambria Math" w:hAnsi="Cambria Math" w:cs="Times New Roman"/>
                <w:i/>
                <w:kern w:val="0"/>
                <w:szCs w:val="21"/>
              </w:rPr>
            </m:ctrlPr>
          </m:sSubPr>
          <m:e>
            <m:r>
              <m:rPr/>
              <w:rPr>
                <w:rFonts w:ascii="Cambria Math" w:hAnsi="Cambria Math" w:cs="Times New Roman"/>
                <w:kern w:val="0"/>
                <w:szCs w:val="21"/>
              </w:rPr>
              <m:t>m</m:t>
            </m:r>
            <m:ctrlPr>
              <w:rPr>
                <w:rFonts w:ascii="Cambria Math" w:hAnsi="Cambria Math" w:cs="Times New Roman"/>
                <w:i/>
                <w:kern w:val="0"/>
                <w:szCs w:val="21"/>
              </w:rPr>
            </m:ctrlPr>
          </m:e>
          <m:sub>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ctrlPr>
              <w:rPr>
                <w:rFonts w:ascii="Cambria Math" w:hAnsi="Cambria Math" w:cs="Times New Roman"/>
                <w:i/>
                <w:kern w:val="0"/>
                <w:szCs w:val="21"/>
              </w:rPr>
            </m:ctrlPr>
          </m:sub>
        </m:sSub>
      </m:oMath>
      <w:r>
        <w:rPr>
          <w:rFonts w:hint="eastAsia" w:ascii="宋体" w:hAnsi="宋体" w:eastAsia="宋体" w:cs="宋体"/>
        </w:rPr>
        <w:t>）不小于</w:t>
      </w:r>
      <w:r>
        <w:rPr>
          <w:rFonts w:hint="eastAsia" w:ascii="Times New Roman" w:hAnsi="Times New Roman" w:eastAsia="宋体" w:cs="Times New Roman"/>
        </w:rPr>
        <w:t>25.0MPa</w:t>
      </w:r>
      <w:r>
        <w:rPr>
          <w:rFonts w:hint="eastAsia" w:ascii="宋体" w:hAnsi="宋体" w:eastAsia="宋体" w:cs="宋体"/>
        </w:rPr>
        <w:t>且不大于</w:t>
      </w:r>
      <w:r>
        <w:rPr>
          <w:rFonts w:hint="eastAsia" w:ascii="Times New Roman" w:hAnsi="Times New Roman" w:eastAsia="宋体" w:cs="Times New Roman"/>
        </w:rPr>
        <w:t>50.0MPa</w:t>
      </w:r>
      <w:r>
        <w:rPr>
          <w:rFonts w:hint="eastAsia" w:ascii="宋体" w:hAnsi="宋体" w:eastAsia="宋体" w:cs="宋体"/>
        </w:rPr>
        <w:t>，测区混凝土抗压强度换算值的标准差（</w:t>
      </w:r>
      <m:oMath>
        <m:sSub>
          <m:sSubPr>
            <m:ctrlPr>
              <w:rPr>
                <w:rFonts w:ascii="Cambria Math" w:hAnsi="Cambria Math" w:cs="Times New Roman"/>
                <w:i/>
                <w:kern w:val="0"/>
                <w:szCs w:val="21"/>
              </w:rPr>
            </m:ctrlPr>
          </m:sSubPr>
          <m:e>
            <m:r>
              <m:rPr/>
              <w:rPr>
                <w:rFonts w:ascii="Cambria Math" w:hAnsi="Cambria Math" w:cs="Times New Roman"/>
                <w:kern w:val="0"/>
                <w:szCs w:val="21"/>
              </w:rPr>
              <m:t>s</m:t>
            </m:r>
            <m:ctrlPr>
              <w:rPr>
                <w:rFonts w:ascii="Cambria Math" w:hAnsi="Cambria Math" w:cs="Times New Roman"/>
                <w:i/>
                <w:kern w:val="0"/>
                <w:szCs w:val="21"/>
              </w:rPr>
            </m:ctrlPr>
          </m:e>
          <m:sub>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ctrlPr>
              <w:rPr>
                <w:rFonts w:ascii="Cambria Math" w:hAnsi="Cambria Math" w:cs="Times New Roman"/>
                <w:i/>
                <w:kern w:val="0"/>
                <w:szCs w:val="21"/>
              </w:rPr>
            </m:ctrlPr>
          </m:sub>
        </m:sSub>
      </m:oMath>
      <w:r>
        <w:rPr>
          <w:rFonts w:hint="eastAsia" w:ascii="宋体" w:hAnsi="宋体" w:eastAsia="宋体" w:cs="宋体"/>
        </w:rPr>
        <w:t>）大于</w:t>
      </w:r>
      <w:r>
        <w:rPr>
          <w:rFonts w:hint="eastAsia" w:ascii="Times New Roman" w:hAnsi="Times New Roman" w:eastAsia="宋体" w:cs="Times New Roman"/>
        </w:rPr>
        <w:t>5.50MPa</w:t>
      </w:r>
      <w:r>
        <w:rPr>
          <w:rFonts w:hint="eastAsia" w:ascii="宋体" w:hAnsi="宋体" w:eastAsia="宋体" w:cs="宋体"/>
        </w:rPr>
        <w:t>；</w:t>
      </w:r>
    </w:p>
    <w:p>
      <w:pPr>
        <w:pStyle w:val="26"/>
        <w:tabs>
          <w:tab w:val="left" w:pos="0"/>
          <w:tab w:val="left" w:pos="712"/>
          <w:tab w:val="left" w:pos="990"/>
          <w:tab w:val="left" w:pos="6020"/>
        </w:tabs>
        <w:spacing w:line="360" w:lineRule="auto"/>
        <w:rPr>
          <w:rFonts w:hint="eastAsia" w:ascii="宋体" w:hAnsi="宋体" w:eastAsia="宋体" w:cs="宋体"/>
        </w:rPr>
      </w:pPr>
      <w:r>
        <w:rPr>
          <w:rFonts w:ascii="黑体" w:hAnsi="黑体" w:eastAsia="黑体" w:cs="黑体"/>
        </w:rPr>
        <w:t xml:space="preserve">3 </w:t>
      </w:r>
      <w:r>
        <w:rPr>
          <w:rFonts w:hint="eastAsia" w:ascii="宋体" w:hAnsi="宋体" w:eastAsia="宋体" w:cs="宋体"/>
        </w:rPr>
        <w:t>测区混凝土抗压强度换算值的平均值（</w:t>
      </w:r>
      <m:oMath>
        <m:sSub>
          <m:sSubPr>
            <m:ctrlPr>
              <w:rPr>
                <w:rFonts w:ascii="Cambria Math" w:hAnsi="Cambria Math" w:cs="Times New Roman"/>
                <w:i/>
                <w:kern w:val="0"/>
                <w:szCs w:val="21"/>
              </w:rPr>
            </m:ctrlPr>
          </m:sSubPr>
          <m:e>
            <m:r>
              <m:rPr/>
              <w:rPr>
                <w:rFonts w:ascii="Cambria Math" w:hAnsi="Cambria Math" w:cs="Times New Roman"/>
                <w:kern w:val="0"/>
                <w:szCs w:val="21"/>
              </w:rPr>
              <m:t>m</m:t>
            </m:r>
            <m:ctrlPr>
              <w:rPr>
                <w:rFonts w:ascii="Cambria Math" w:hAnsi="Cambria Math" w:cs="Times New Roman"/>
                <w:i/>
                <w:kern w:val="0"/>
                <w:szCs w:val="21"/>
              </w:rPr>
            </m:ctrlPr>
          </m:e>
          <m:sub>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ctrlPr>
              <w:rPr>
                <w:rFonts w:ascii="Cambria Math" w:hAnsi="Cambria Math" w:cs="Times New Roman"/>
                <w:i/>
                <w:kern w:val="0"/>
                <w:szCs w:val="21"/>
              </w:rPr>
            </m:ctrlPr>
          </m:sub>
        </m:sSub>
      </m:oMath>
      <w:r>
        <w:rPr>
          <w:rFonts w:hint="eastAsia" w:ascii="宋体" w:hAnsi="宋体" w:eastAsia="宋体" w:cs="宋体"/>
        </w:rPr>
        <w:t>）大于</w:t>
      </w:r>
      <w:r>
        <w:rPr>
          <w:rFonts w:hint="eastAsia" w:ascii="Times New Roman" w:hAnsi="Times New Roman" w:eastAsia="宋体" w:cs="Times New Roman"/>
        </w:rPr>
        <w:t>50.0MPa</w:t>
      </w:r>
      <w:r>
        <w:rPr>
          <w:rFonts w:hint="eastAsia" w:ascii="宋体" w:hAnsi="宋体" w:eastAsia="宋体" w:cs="宋体"/>
        </w:rPr>
        <w:t>，测区混凝土抗压强度换算值的标准差（</w:t>
      </w:r>
      <m:oMath>
        <m:sSub>
          <m:sSubPr>
            <m:ctrlPr>
              <w:rPr>
                <w:rFonts w:ascii="Cambria Math" w:hAnsi="Cambria Math" w:cs="Times New Roman"/>
                <w:i/>
                <w:kern w:val="0"/>
                <w:szCs w:val="21"/>
              </w:rPr>
            </m:ctrlPr>
          </m:sSubPr>
          <m:e>
            <m:r>
              <m:rPr/>
              <w:rPr>
                <w:rFonts w:ascii="Cambria Math" w:hAnsi="Cambria Math" w:cs="Times New Roman"/>
                <w:kern w:val="0"/>
                <w:szCs w:val="21"/>
              </w:rPr>
              <m:t>s</m:t>
            </m:r>
            <m:ctrlPr>
              <w:rPr>
                <w:rFonts w:ascii="Cambria Math" w:hAnsi="Cambria Math" w:cs="Times New Roman"/>
                <w:i/>
                <w:kern w:val="0"/>
                <w:szCs w:val="21"/>
              </w:rPr>
            </m:ctrlPr>
          </m:e>
          <m:sub>
            <m:sSubSup>
              <m:sSubSupPr>
                <m:ctrlPr>
                  <w:rPr>
                    <w:rFonts w:ascii="Cambria Math" w:hAnsi="Cambria Math" w:cs="Times New Roman"/>
                    <w:i/>
                    <w:kern w:val="0"/>
                    <w:szCs w:val="21"/>
                  </w:rPr>
                </m:ctrlPr>
              </m:sSubSupPr>
              <m:e>
                <m:r>
                  <m:rPr/>
                  <w:rPr>
                    <w:rFonts w:ascii="Cambria Math" w:hAnsi="Cambria Math" w:cs="Times New Roman"/>
                    <w:kern w:val="0"/>
                    <w:szCs w:val="21"/>
                  </w:rPr>
                  <m:t>f</m:t>
                </m:r>
                <m:ctrlPr>
                  <w:rPr>
                    <w:rFonts w:ascii="Cambria Math" w:hAnsi="Cambria Math" w:cs="Times New Roman"/>
                    <w:i/>
                    <w:kern w:val="0"/>
                    <w:szCs w:val="21"/>
                  </w:rPr>
                </m:ctrlPr>
              </m:e>
              <m:sub>
                <m:r>
                  <m:rPr/>
                  <w:rPr>
                    <w:rFonts w:ascii="Cambria Math" w:hAnsi="Cambria Math" w:cs="Times New Roman"/>
                    <w:kern w:val="0"/>
                    <w:szCs w:val="21"/>
                  </w:rPr>
                  <m:t>cu</m:t>
                </m:r>
                <m:ctrlPr>
                  <w:rPr>
                    <w:rFonts w:ascii="Cambria Math" w:hAnsi="Cambria Math" w:cs="Times New Roman"/>
                    <w:i/>
                    <w:kern w:val="0"/>
                    <w:szCs w:val="21"/>
                  </w:rPr>
                </m:ctrlPr>
              </m:sub>
              <m:sup>
                <m:r>
                  <m:rPr/>
                  <w:rPr>
                    <w:rFonts w:ascii="Cambria Math" w:hAnsi="Cambria Math" w:cs="Times New Roman"/>
                    <w:kern w:val="0"/>
                    <w:szCs w:val="21"/>
                  </w:rPr>
                  <m:t>c</m:t>
                </m:r>
                <m:ctrlPr>
                  <w:rPr>
                    <w:rFonts w:ascii="Cambria Math" w:hAnsi="Cambria Math" w:cs="Times New Roman"/>
                    <w:i/>
                    <w:kern w:val="0"/>
                    <w:szCs w:val="21"/>
                  </w:rPr>
                </m:ctrlPr>
              </m:sup>
            </m:sSubSup>
            <m:ctrlPr>
              <w:rPr>
                <w:rFonts w:ascii="Cambria Math" w:hAnsi="Cambria Math" w:cs="Times New Roman"/>
                <w:i/>
                <w:kern w:val="0"/>
                <w:szCs w:val="21"/>
              </w:rPr>
            </m:ctrlPr>
          </m:sub>
        </m:sSub>
      </m:oMath>
      <w:r>
        <w:rPr>
          <w:rFonts w:hint="eastAsia" w:ascii="宋体" w:hAnsi="宋体" w:eastAsia="宋体" w:cs="宋体"/>
        </w:rPr>
        <w:t>）大于</w:t>
      </w:r>
      <w:r>
        <w:rPr>
          <w:rFonts w:hint="eastAsia" w:ascii="Times New Roman" w:hAnsi="Times New Roman" w:eastAsia="宋体" w:cs="Times New Roman"/>
        </w:rPr>
        <w:t>6.50MPa</w:t>
      </w:r>
      <w:r>
        <w:rPr>
          <w:rFonts w:hint="eastAsia" w:ascii="宋体" w:hAnsi="宋体" w:eastAsia="宋体" w:cs="宋体"/>
        </w:rPr>
        <w:t>。</w:t>
      </w: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rPr>
          <w:rFonts w:hint="eastAsia" w:ascii="宋体" w:hAnsi="宋体" w:eastAsia="宋体" w:cs="宋体"/>
        </w:rPr>
      </w:pPr>
    </w:p>
    <w:p>
      <w:pPr>
        <w:pStyle w:val="26"/>
        <w:tabs>
          <w:tab w:val="left" w:pos="0"/>
          <w:tab w:val="left" w:pos="712"/>
          <w:tab w:val="left" w:pos="990"/>
          <w:tab w:val="left" w:pos="6020"/>
        </w:tabs>
        <w:spacing w:line="360" w:lineRule="auto"/>
        <w:ind w:firstLine="0" w:firstLineChars="0"/>
        <w:rPr>
          <w:rFonts w:hint="eastAsia" w:ascii="宋体" w:hAnsi="宋体" w:eastAsia="宋体" w:cs="宋体"/>
        </w:rPr>
      </w:pPr>
    </w:p>
    <w:p>
      <w:pPr>
        <w:pStyle w:val="2"/>
        <w:rPr>
          <w:rFonts w:hint="eastAsia" w:ascii="黑体" w:hAnsi="黑体" w:eastAsia="黑体" w:cs="黑体"/>
          <w:b w:val="0"/>
          <w:bCs w:val="0"/>
          <w:sz w:val="28"/>
          <w:szCs w:val="28"/>
        </w:rPr>
      </w:pPr>
      <w:bookmarkStart w:id="165" w:name="_Toc26038"/>
      <w:r>
        <w:rPr>
          <w:rFonts w:hint="eastAsia" w:ascii="黑体" w:hAnsi="黑体" w:eastAsia="黑体" w:cs="黑体"/>
          <w:b w:val="0"/>
          <w:bCs w:val="0"/>
          <w:sz w:val="28"/>
          <w:szCs w:val="28"/>
        </w:rPr>
        <w:t>附录D  冲击-回波法</w:t>
      </w:r>
      <w:bookmarkEnd w:id="165"/>
    </w:p>
    <w:p>
      <w:pPr>
        <w:pStyle w:val="3"/>
        <w:snapToGrid w:val="0"/>
        <w:spacing w:beforeLines="50" w:afterLines="50" w:line="360" w:lineRule="auto"/>
        <w:jc w:val="center"/>
        <w:rPr>
          <w:rFonts w:ascii="黑体" w:hAnsi="黑体" w:cs="黑体"/>
          <w:sz w:val="24"/>
          <w:szCs w:val="24"/>
        </w:rPr>
      </w:pPr>
      <w:bookmarkStart w:id="166" w:name="_Toc27532"/>
      <w:bookmarkStart w:id="167" w:name="_Toc1087"/>
      <w:bookmarkStart w:id="168" w:name="_Toc32491"/>
      <w:bookmarkStart w:id="169" w:name="_Toc15279"/>
      <w:r>
        <w:rPr>
          <w:rFonts w:ascii="黑体" w:hAnsi="黑体" w:cs="黑体"/>
          <w:sz w:val="24"/>
          <w:szCs w:val="24"/>
        </w:rPr>
        <w:t>D.1  混凝土结构深层裂缝检测</w:t>
      </w:r>
      <w:bookmarkEnd w:id="166"/>
      <w:bookmarkEnd w:id="167"/>
      <w:bookmarkEnd w:id="168"/>
      <w:bookmarkEnd w:id="169"/>
    </w:p>
    <w:p>
      <w:pPr>
        <w:tabs>
          <w:tab w:val="left" w:pos="6020"/>
        </w:tabs>
        <w:spacing w:line="360" w:lineRule="auto"/>
        <w:rPr>
          <w:rFonts w:ascii="Times New Roman" w:hAnsi="Times New Roman"/>
          <w:bCs/>
          <w:szCs w:val="20"/>
        </w:rPr>
      </w:pPr>
      <w:r>
        <w:rPr>
          <w:rFonts w:hint="eastAsia" w:ascii="黑体" w:hAnsi="黑体" w:eastAsia="黑体" w:cs="黑体"/>
        </w:rPr>
        <w:t xml:space="preserve">D.1.1 </w:t>
      </w:r>
      <w:r>
        <w:rPr>
          <w:rFonts w:ascii="Times New Roman" w:hAnsi="Times New Roman"/>
          <w:b/>
          <w:bCs/>
          <w:szCs w:val="20"/>
        </w:rPr>
        <w:t xml:space="preserve"> </w:t>
      </w:r>
      <w:r>
        <w:rPr>
          <w:rFonts w:ascii="Times New Roman" w:hAnsi="Times New Roman"/>
          <w:bCs/>
          <w:szCs w:val="20"/>
        </w:rPr>
        <w:t>本方法适用于检测形状规则、测试面较大的混凝土内部的深层裂缝。</w:t>
      </w:r>
    </w:p>
    <w:p>
      <w:pPr>
        <w:tabs>
          <w:tab w:val="left" w:pos="6020"/>
        </w:tabs>
        <w:spacing w:line="360" w:lineRule="auto"/>
        <w:rPr>
          <w:rFonts w:ascii="Times New Roman" w:hAnsi="Times New Roman"/>
          <w:bCs/>
          <w:szCs w:val="20"/>
        </w:rPr>
      </w:pPr>
      <w:r>
        <w:rPr>
          <w:rFonts w:hint="eastAsia" w:ascii="黑体" w:hAnsi="黑体" w:eastAsia="黑体" w:cs="黑体"/>
        </w:rPr>
        <w:t xml:space="preserve">D.1.2 </w:t>
      </w:r>
      <w:r>
        <w:rPr>
          <w:rFonts w:ascii="Times New Roman" w:hAnsi="Times New Roman"/>
          <w:bCs/>
          <w:szCs w:val="20"/>
        </w:rPr>
        <w:t xml:space="preserve"> 主要检测仪器和设备应包括：冲击器、传感器、数据采样分析系统、游标卡尺、钢卷尺等。</w:t>
      </w:r>
    </w:p>
    <w:p>
      <w:pPr>
        <w:tabs>
          <w:tab w:val="left" w:pos="6020"/>
        </w:tabs>
        <w:spacing w:line="360" w:lineRule="auto"/>
        <w:rPr>
          <w:rFonts w:ascii="Times New Roman" w:hAnsi="Times New Roman"/>
          <w:bCs/>
          <w:szCs w:val="20"/>
        </w:rPr>
      </w:pPr>
      <w:r>
        <w:rPr>
          <w:rFonts w:hint="eastAsia" w:ascii="黑体" w:hAnsi="黑体" w:eastAsia="黑体" w:cs="黑体"/>
        </w:rPr>
        <w:t xml:space="preserve">D.1.3 </w:t>
      </w:r>
      <w:r>
        <w:rPr>
          <w:rFonts w:ascii="Times New Roman" w:hAnsi="Times New Roman"/>
          <w:bCs/>
          <w:szCs w:val="20"/>
        </w:rPr>
        <w:t xml:space="preserve"> 检测仪器和设备应符合下列要求：</w:t>
      </w:r>
    </w:p>
    <w:p>
      <w:pPr>
        <w:pStyle w:val="26"/>
        <w:tabs>
          <w:tab w:val="left" w:pos="0"/>
          <w:tab w:val="left" w:pos="712"/>
          <w:tab w:val="left" w:pos="990"/>
          <w:tab w:val="left" w:pos="6020"/>
        </w:tabs>
        <w:spacing w:line="360" w:lineRule="auto"/>
        <w:rPr>
          <w:rFonts w:ascii="Times New Roman" w:hAnsi="Times New Roman"/>
          <w:bCs/>
          <w:szCs w:val="20"/>
        </w:rPr>
      </w:pPr>
      <w:r>
        <w:rPr>
          <w:rFonts w:hint="eastAsia" w:ascii="黑体" w:hAnsi="黑体" w:eastAsia="黑体" w:cs="黑体"/>
        </w:rPr>
        <w:t xml:space="preserve">1  </w:t>
      </w:r>
      <w:r>
        <w:rPr>
          <w:rFonts w:ascii="Times New Roman" w:hAnsi="Times New Roman"/>
          <w:bCs/>
          <w:szCs w:val="20"/>
        </w:rPr>
        <w:t>冲击头应根据检测缺陷深度选择并可更换。</w:t>
      </w:r>
    </w:p>
    <w:p>
      <w:pPr>
        <w:pStyle w:val="26"/>
        <w:tabs>
          <w:tab w:val="left" w:pos="0"/>
          <w:tab w:val="left" w:pos="712"/>
          <w:tab w:val="left" w:pos="990"/>
          <w:tab w:val="left" w:pos="6020"/>
        </w:tabs>
        <w:spacing w:line="360" w:lineRule="auto"/>
        <w:rPr>
          <w:rFonts w:ascii="Times New Roman" w:hAnsi="Times New Roman"/>
          <w:bCs/>
          <w:szCs w:val="20"/>
        </w:rPr>
      </w:pPr>
      <w:r>
        <w:rPr>
          <w:rFonts w:hint="eastAsia" w:ascii="黑体" w:hAnsi="黑体" w:eastAsia="黑体" w:cs="黑体"/>
        </w:rPr>
        <w:t xml:space="preserve">2  </w:t>
      </w:r>
      <w:r>
        <w:rPr>
          <w:rFonts w:ascii="Times New Roman" w:hAnsi="Times New Roman"/>
          <w:bCs/>
          <w:szCs w:val="20"/>
        </w:rPr>
        <w:t>传感器应采用具有接收表面垂直位移响应的宽带换能器，应能够检测到由冲击产生的沿着表面传播的P波到达时的微小位移信号。</w:t>
      </w:r>
    </w:p>
    <w:p>
      <w:pPr>
        <w:pStyle w:val="26"/>
        <w:tabs>
          <w:tab w:val="left" w:pos="0"/>
          <w:tab w:val="left" w:pos="712"/>
          <w:tab w:val="left" w:pos="990"/>
          <w:tab w:val="left" w:pos="6020"/>
        </w:tabs>
        <w:spacing w:line="360" w:lineRule="auto"/>
        <w:rPr>
          <w:rFonts w:ascii="Times New Roman" w:hAnsi="Times New Roman"/>
          <w:bCs/>
          <w:szCs w:val="20"/>
        </w:rPr>
      </w:pPr>
      <w:r>
        <w:rPr>
          <w:rFonts w:hint="eastAsia" w:ascii="黑体" w:hAnsi="黑体" w:eastAsia="黑体" w:cs="黑体"/>
        </w:rPr>
        <w:t xml:space="preserve">3  </w:t>
      </w:r>
      <w:r>
        <w:rPr>
          <w:rFonts w:ascii="Times New Roman" w:hAnsi="Times New Roman"/>
          <w:bCs/>
          <w:szCs w:val="20"/>
        </w:rPr>
        <w:t>数据采样分析系统应具有功能查询、信号触发、数据采集、滤波、快速傅立叶变换（FFT）。</w:t>
      </w:r>
    </w:p>
    <w:p>
      <w:pPr>
        <w:pStyle w:val="26"/>
        <w:tabs>
          <w:tab w:val="left" w:pos="0"/>
          <w:tab w:val="left" w:pos="712"/>
          <w:tab w:val="left" w:pos="990"/>
          <w:tab w:val="left" w:pos="6020"/>
        </w:tabs>
        <w:spacing w:line="360" w:lineRule="auto"/>
        <w:rPr>
          <w:rFonts w:ascii="Times New Roman" w:hAnsi="Times New Roman"/>
          <w:bCs/>
          <w:szCs w:val="20"/>
        </w:rPr>
      </w:pPr>
      <w:r>
        <w:rPr>
          <w:rFonts w:hint="eastAsia" w:ascii="黑体" w:hAnsi="黑体" w:eastAsia="黑体" w:cs="黑体"/>
        </w:rPr>
        <w:t xml:space="preserve">4  </w:t>
      </w:r>
      <w:r>
        <w:rPr>
          <w:rFonts w:ascii="Times New Roman" w:hAnsi="Times New Roman"/>
          <w:bCs/>
          <w:szCs w:val="20"/>
        </w:rPr>
        <w:t>采集系统须具有预触发功能，触发信号到达前应能采集不少于100个数据记录。</w:t>
      </w:r>
    </w:p>
    <w:p>
      <w:pPr>
        <w:pStyle w:val="26"/>
        <w:tabs>
          <w:tab w:val="left" w:pos="0"/>
          <w:tab w:val="left" w:pos="712"/>
          <w:tab w:val="left" w:pos="990"/>
          <w:tab w:val="left" w:pos="6020"/>
        </w:tabs>
        <w:spacing w:line="360" w:lineRule="auto"/>
        <w:rPr>
          <w:rFonts w:hint="eastAsia" w:ascii="黑体" w:hAnsi="黑体" w:eastAsia="黑体" w:cs="黑体"/>
        </w:rPr>
      </w:pPr>
      <w:r>
        <w:rPr>
          <w:rFonts w:hint="eastAsia" w:ascii="黑体" w:hAnsi="黑体" w:eastAsia="黑体" w:cs="黑体"/>
        </w:rPr>
        <w:t xml:space="preserve">5  </w:t>
      </w:r>
      <w:r>
        <w:rPr>
          <w:rFonts w:ascii="Times New Roman" w:hAnsi="Times New Roman"/>
          <w:bCs/>
          <w:szCs w:val="20"/>
        </w:rPr>
        <w:t>接收器与数据采集仪的连接电缆应无电噪声干扰，外表应屏蔽、密封，与插头连接应牢固。</w:t>
      </w:r>
    </w:p>
    <w:p>
      <w:pPr>
        <w:tabs>
          <w:tab w:val="left" w:pos="6020"/>
        </w:tabs>
        <w:spacing w:line="360" w:lineRule="auto"/>
        <w:rPr>
          <w:rFonts w:ascii="Times New Roman" w:hAnsi="Times New Roman"/>
          <w:bCs/>
          <w:szCs w:val="20"/>
        </w:rPr>
      </w:pPr>
      <w:r>
        <w:rPr>
          <w:rFonts w:ascii="黑体" w:hAnsi="黑体" w:eastAsia="黑体" w:cs="黑体"/>
        </w:rPr>
        <w:pict>
          <v:group id="_x0000_s2050" o:spid="_x0000_s2050" o:spt="203" style="position:absolute;left:0pt;margin-left:263.75pt;margin-top:15pt;height:149.35pt;width:189.55pt;mso-wrap-distance-bottom:0pt;mso-wrap-distance-left:9pt;mso-wrap-distance-right:9pt;mso-wrap-distance-top:0pt;z-index:251664384;mso-width-relative:page;mso-height-relative:page;" coordorigin="6529,7069" coordsize="3791,2987" editas="canvas">
            <o:lock v:ext="edit"/>
            <v:shape id="_x0000_s2051" o:spid="_x0000_s2051" o:spt="75" type="#_x0000_t75" style="position:absolute;left:6529;top:7069;height:2987;width:3791;" filled="f" o:preferrelative="t" stroked="f" coordsize="21600,21600">
              <v:fill on="f" focussize="0,0"/>
              <v:stroke on="f" joinstyle="miter"/>
              <v:imagedata o:title=""/>
              <o:lock v:ext="edit" text="t" aspectratio="t"/>
            </v:shape>
            <v:shape id="_x0000_s2052" o:spid="_x0000_s2052" o:spt="32" type="#_x0000_t32" style="position:absolute;left:6888;top:7984;height:1;width:1480;" filled="f" coordsize="21600,21600">
              <v:path arrowok="t"/>
              <v:fill on="f" focussize="0,0"/>
              <v:stroke/>
              <v:imagedata o:title=""/>
              <o:lock v:ext="edit"/>
            </v:shape>
            <v:shape id="_x0000_s2053" o:spid="_x0000_s2053" o:spt="32" type="#_x0000_t32" style="position:absolute;left:8368;top:7983;height:714;width:51;" filled="f" coordsize="21600,21600">
              <v:path arrowok="t"/>
              <v:fill on="f" focussize="0,0"/>
              <v:stroke/>
              <v:imagedata o:title=""/>
              <o:lock v:ext="edit"/>
            </v:shape>
            <v:shape id="_x0000_s2054" o:spid="_x0000_s2054" o:spt="32" type="#_x0000_t32" style="position:absolute;left:8419;top:7983;flip:y;height:715;width:1;" filled="f" coordsize="21600,21600">
              <v:path arrowok="t"/>
              <v:fill on="f" focussize="0,0"/>
              <v:stroke/>
              <v:imagedata o:title=""/>
              <o:lock v:ext="edit"/>
            </v:shape>
            <v:shape id="_x0000_s2055" o:spid="_x0000_s2055" o:spt="32" type="#_x0000_t32" style="position:absolute;left:8419;top:7982;height:1;width:1195;" filled="f" coordsize="21600,21600">
              <v:path arrowok="t"/>
              <v:fill on="f" focussize="0,0"/>
              <v:stroke/>
              <v:imagedata o:title=""/>
              <o:lock v:ext="edit"/>
            </v:shape>
            <v:shape id="_x0000_s2056" o:spid="_x0000_s2056" o:spt="75" alt="Sensor-small" type="#_x0000_t75" style="position:absolute;left:8980;top:7622;height:355;width:416;" filled="f" o:preferrelative="t" stroked="f" coordsize="21600,21600">
              <v:path/>
              <v:fill on="f" focussize="0,0"/>
              <v:stroke on="f" joinstyle="miter"/>
              <v:imagedata r:id="rId25" o:title="Sensor-small"/>
              <o:lock v:ext="edit" aspectratio="t"/>
            </v:shape>
            <v:shape id="_x0000_s2057" o:spid="_x0000_s2057" o:spt="75" alt="Sensor-small" type="#_x0000_t75" style="position:absolute;left:7627;top:7622;height:355;width:416;" filled="f" o:preferrelative="t" stroked="f" coordsize="21600,21600">
              <v:path/>
              <v:fill on="f" focussize="0,0"/>
              <v:stroke on="f" joinstyle="miter"/>
              <v:imagedata r:id="rId25" o:title="Sensor-small"/>
              <o:lock v:ext="edit" aspectratio="t"/>
            </v:shape>
            <v:shape id="_x0000_s2058" o:spid="_x0000_s2058" o:spt="32" type="#_x0000_t32" style="position:absolute;left:7716;top:7357;flip:y;height:1;width:669;" filled="f" coordsize="21600,21600">
              <v:path arrowok="t"/>
              <v:fill on="f" focussize="0,0"/>
              <v:stroke weight="0.25pt" startarrow="block" startarrowwidth="narrow" startarrowlength="short" endarrow="block" endarrowwidth="narrow" endarrowlength="short"/>
              <v:imagedata o:title=""/>
              <o:lock v:ext="edit"/>
            </v:shape>
            <v:shape id="_x0000_s2059" o:spid="_x0000_s2059" o:spt="32" type="#_x0000_t32" style="position:absolute;left:8390;top:7206;height:782;width:1;" filled="f" coordsize="21600,21600">
              <v:path arrowok="t"/>
              <v:fill on="f" focussize="0,0"/>
              <v:stroke weight="0.5pt" dashstyle="1 1" endcap="round"/>
              <v:imagedata o:title=""/>
              <o:lock v:ext="edit"/>
            </v:shape>
            <v:shape id="_x0000_s2060" o:spid="_x0000_s2060" o:spt="32" type="#_x0000_t32" style="position:absolute;left:7718;top:7206;height:383;width:1;" filled="f" coordsize="21600,21600">
              <v:path arrowok="t"/>
              <v:fill on="f" focussize="0,0"/>
              <v:stroke weight="0.5pt" dashstyle="1 1" endcap="round"/>
              <v:imagedata o:title=""/>
              <o:lock v:ext="edit"/>
            </v:shape>
            <v:shape id="_x0000_s2061" o:spid="_x0000_s2061" o:spt="32" type="#_x0000_t32" style="position:absolute;left:9056;top:7206;height:383;width:1;" filled="f" coordsize="21600,21600">
              <v:path arrowok="t"/>
              <v:fill on="f" focussize="0,0"/>
              <v:stroke weight="0.5pt" dashstyle="1 1" endcap="round"/>
              <v:imagedata o:title=""/>
              <o:lock v:ext="edit"/>
            </v:shape>
            <v:shape id="_x0000_s2062" o:spid="_x0000_s2062" o:spt="32" type="#_x0000_t32" style="position:absolute;left:8385;top:7358;flip:y;height:0;width:668;" filled="f" coordsize="21600,21600">
              <v:path arrowok="t"/>
              <v:fill on="f" focussize="0,0"/>
              <v:stroke weight="0.25pt" startarrow="block" startarrowwidth="narrow" startarrowlength="short" endarrow="block" endarrowwidth="narrow" endarrowlength="short"/>
              <v:imagedata o:title=""/>
              <o:lock v:ext="edit"/>
            </v:shape>
            <v:shape id="_x0000_s2063" o:spid="_x0000_s2063" o:spt="32" type="#_x0000_t32" style="position:absolute;left:7048;top:7358;flip:y;height:1;width:668;" filled="f" coordsize="21600,21600">
              <v:path arrowok="t"/>
              <v:fill on="f" focussize="0,0"/>
              <v:stroke weight="0.25pt" startarrow="block" startarrowwidth="narrow" startarrowlength="short" endarrow="block" endarrowwidth="narrow" endarrowlength="short"/>
              <v:imagedata o:title=""/>
              <o:lock v:ext="edit"/>
            </v:shape>
            <v:shape id="_x0000_s2064" o:spid="_x0000_s2064" o:spt="32" type="#_x0000_t32" style="position:absolute;left:7050;top:7206;height:383;width:1;" filled="f" coordsize="21600,21600">
              <v:path arrowok="t"/>
              <v:fill on="f" focussize="0,0"/>
              <v:stroke weight="0.5pt" dashstyle="1 1" endcap="round"/>
              <v:imagedata o:title=""/>
              <o:lock v:ext="edit"/>
            </v:shape>
            <v:shape id="_x0000_s2065" o:spid="_x0000_s2065" o:spt="32" type="#_x0000_t32" style="position:absolute;left:8419;top:8708;flip:x;height:1;width:1236;" filled="f" coordsize="21600,21600">
              <v:path arrowok="t"/>
              <v:fill on="f" focussize="0,0"/>
              <v:stroke weight="0.5pt" dashstyle="1 1" endcap="round"/>
              <v:imagedata o:title=""/>
              <o:lock v:ext="edit"/>
            </v:shape>
            <v:shape id="_x0000_s2066" o:spid="_x0000_s2066" o:spt="32" type="#_x0000_t32" style="position:absolute;left:9614;top:7982;flip:y;height:729;width:1;" filled="f" coordsize="21600,21600">
              <v:path arrowok="t"/>
              <v:fill on="f" focussize="0,0"/>
              <v:stroke weight="0.25pt" startarrow="block" startarrowwidth="narrow" startarrowlength="short" endarrow="block" endarrowwidth="narrow" endarrowlength="short"/>
              <v:imagedata o:title=""/>
              <o:lock v:ext="edit"/>
            </v:shape>
            <v:shape id="_x0000_s2067" o:spid="_x0000_s2067" o:spt="75" type="#_x0000_t75" style="position:absolute;left:9654;top:8268;height:211;width:147;" o:ole="t" filled="f" o:preferrelative="t" stroked="f" coordsize="21600,21600">
              <v:path/>
              <v:fill on="f" focussize="0,0"/>
              <v:stroke on="f" joinstyle="miter"/>
              <v:imagedata r:id="rId27" o:title=""/>
              <o:lock v:ext="edit" aspectratio="t"/>
            </v:shape>
            <v:shape id="_x0000_s2068" o:spid="_x0000_s2068" o:spt="75" type="#_x0000_t75" style="position:absolute;left:7179;top:7114;height:269;width:481;" o:ole="t" filled="f" o:preferrelative="t" stroked="f" coordsize="21600,21600">
              <v:path/>
              <v:fill on="f" focussize="0,0"/>
              <v:stroke on="f" joinstyle="miter"/>
              <v:imagedata r:id="rId29" o:title=""/>
              <o:lock v:ext="edit" aspectratio="t"/>
            </v:shape>
            <v:shape id="_x0000_s2069" o:spid="_x0000_s2069" o:spt="75" type="#_x0000_t75" style="position:absolute;left:7815;top:7114;height:213;width:447;" o:ole="t" filled="f" o:preferrelative="t" stroked="f" coordsize="21600,21600">
              <v:path/>
              <v:fill on="f" focussize="0,0"/>
              <v:stroke on="f" joinstyle="miter"/>
              <v:imagedata r:id="rId31" o:title=""/>
              <o:lock v:ext="edit" aspectratio="t"/>
            </v:shape>
            <v:shape id="_x0000_s2070" o:spid="_x0000_s2070" o:spt="202" type="#_x0000_t202" style="position:absolute;left:7512;top:7938;height:430;width:428;" filled="f" stroked="f" coordsize="21600,21600">
              <v:path/>
              <v:fill on="f" focussize="0,0"/>
              <v:stroke on="f" joinstyle="miter"/>
              <v:imagedata o:title=""/>
              <o:lock v:ext="edit"/>
              <v:textbox>
                <w:txbxContent>
                  <w:p>
                    <w:pPr>
                      <w:rPr>
                        <w:rFonts w:ascii="Times New Roman" w:hAnsi="Times New Roman"/>
                        <w:sz w:val="15"/>
                        <w:szCs w:val="15"/>
                      </w:rPr>
                    </w:pPr>
                    <w:r>
                      <w:rPr>
                        <w:rFonts w:ascii="Times New Roman" w:hAnsi="Times New Roman"/>
                        <w:sz w:val="15"/>
                        <w:szCs w:val="15"/>
                      </w:rPr>
                      <w:t>1</w:t>
                    </w:r>
                  </w:p>
                </w:txbxContent>
              </v:textbox>
            </v:shape>
            <v:shape id="_x0000_s2071" o:spid="_x0000_s2071" o:spt="202" type="#_x0000_t202" style="position:absolute;left:8888;top:7915;height:378;width:360;" filled="f" stroked="f" coordsize="21600,21600">
              <v:path/>
              <v:fill on="f" focussize="0,0"/>
              <v:stroke on="f" joinstyle="miter"/>
              <v:imagedata o:title=""/>
              <o:lock v:ext="edit"/>
              <v:textbox>
                <w:txbxContent>
                  <w:p>
                    <w:pPr>
                      <w:rPr>
                        <w:rFonts w:ascii="Times New Roman" w:hAnsi="Times New Roman"/>
                        <w:sz w:val="15"/>
                        <w:szCs w:val="15"/>
                      </w:rPr>
                    </w:pPr>
                    <w:r>
                      <w:rPr>
                        <w:rFonts w:ascii="Times New Roman" w:hAnsi="Times New Roman"/>
                        <w:sz w:val="15"/>
                        <w:szCs w:val="15"/>
                      </w:rPr>
                      <w:t>2</w:t>
                    </w:r>
                  </w:p>
                </w:txbxContent>
              </v:textbox>
            </v:shape>
            <v:shape id="_x0000_s2072" o:spid="_x0000_s2072" o:spt="3" type="#_x0000_t3" style="position:absolute;left:6996;top:7645;height:113;width:113;" fillcolor="#000000" filled="t" stroked="f" coordsize="21600,21600">
              <v:path/>
              <v:fill on="t" focussize="0,0"/>
              <v:stroke on="f"/>
              <v:imagedata o:title=""/>
              <o:lock v:ext="edit"/>
            </v:shape>
            <v:shape id="_x0000_s2073" o:spid="_x0000_s2073" o:spt="32" type="#_x0000_t32" style="position:absolute;left:7048;top:7789;height:170;width:1;" filled="f" coordsize="21600,21600">
              <v:path arrowok="t"/>
              <v:fill on="f" focussize="0,0"/>
              <v:stroke r:id="rId32" weight="0.5pt" o:relid="rId32" filltype="pattern" endarrow="classic" endarrowlength="short"/>
              <v:imagedata o:title=""/>
              <o:lock v:ext="edit"/>
            </v:shape>
            <v:shape id="_x0000_s2074" o:spid="_x0000_s2074" o:spt="202" type="#_x0000_t202" style="position:absolute;left:7192;top:8911;height:352;width:2632;" filled="f" stroked="f" coordsize="21600,21600">
              <v:path/>
              <v:fill on="f" focussize="0,0"/>
              <v:stroke on="f" joinstyle="miter"/>
              <v:imagedata o:title=""/>
              <o:lock v:ext="edit"/>
              <v:textbox inset="0mm,0mm,0mm,0mm">
                <w:txbxContent>
                  <w:p>
                    <w:pPr>
                      <w:rPr>
                        <w:rFonts w:ascii="Times New Roman" w:hAnsi="Times New Roman"/>
                      </w:rPr>
                    </w:pPr>
                    <w:r>
                      <w:rPr>
                        <w:rFonts w:ascii="Times New Roman" w:hAnsi="Times New Roman" w:eastAsia="黑体"/>
                        <w:sz w:val="18"/>
                        <w:szCs w:val="18"/>
                      </w:rPr>
                      <w:t>图</w:t>
                    </w:r>
                    <w:r>
                      <w:rPr>
                        <w:rFonts w:hint="eastAsia" w:ascii="Times New Roman" w:hAnsi="Times New Roman" w:eastAsia="黑体"/>
                        <w:sz w:val="18"/>
                        <w:szCs w:val="18"/>
                      </w:rPr>
                      <w:t>D</w:t>
                    </w:r>
                    <w:r>
                      <w:rPr>
                        <w:rFonts w:ascii="Times New Roman" w:hAnsi="Times New Roman" w:eastAsia="黑体"/>
                        <w:sz w:val="18"/>
                        <w:szCs w:val="18"/>
                      </w:rPr>
                      <w:t>.</w:t>
                    </w:r>
                    <w:r>
                      <w:rPr>
                        <w:rFonts w:hint="eastAsia" w:ascii="Times New Roman" w:hAnsi="Times New Roman" w:eastAsia="黑体"/>
                        <w:sz w:val="18"/>
                        <w:szCs w:val="18"/>
                      </w:rPr>
                      <w:t>1</w:t>
                    </w:r>
                    <w:r>
                      <w:rPr>
                        <w:rFonts w:ascii="Times New Roman" w:hAnsi="Times New Roman" w:eastAsia="黑体"/>
                        <w:sz w:val="18"/>
                        <w:szCs w:val="18"/>
                      </w:rPr>
                      <w:t>.</w:t>
                    </w:r>
                    <w:r>
                      <w:rPr>
                        <w:rFonts w:hint="eastAsia" w:ascii="Times New Roman" w:hAnsi="Times New Roman" w:eastAsia="黑体"/>
                        <w:sz w:val="18"/>
                        <w:szCs w:val="18"/>
                      </w:rPr>
                      <w:t>5</w:t>
                    </w:r>
                    <w:r>
                      <w:rPr>
                        <w:rFonts w:ascii="Times New Roman" w:hAnsi="Times New Roman" w:eastAsia="黑体"/>
                        <w:sz w:val="18"/>
                        <w:szCs w:val="18"/>
                      </w:rPr>
                      <w:t xml:space="preserve">  裂缝深度测定示意图</w:t>
                    </w:r>
                  </w:p>
                </w:txbxContent>
              </v:textbox>
            </v:shape>
            <v:group id="_x0000_s2075" o:spid="_x0000_s2075" o:spt="203" style="position:absolute;left:6869;top:9295;height:493;width:3450;" coordorigin="3714,5152" coordsize="5096,729">
              <o:lock v:ext="edit"/>
              <v:shape id="_x0000_s2076" o:spid="_x0000_s2076" o:spt="202" type="#_x0000_t202" style="position:absolute;left:3770;top:5160;height:521;width:1342;" filled="f" stroked="f" coordsize="21600,21600">
                <v:path/>
                <v:fill on="f" focussize="0,0"/>
                <v:stroke on="f" joinstyle="miter"/>
                <v:imagedata o:title=""/>
                <o:lock v:ext="edit"/>
                <v:textbox inset="0mm,0mm,0mm,0mm">
                  <w:txbxContent>
                    <w:p>
                      <w:pPr>
                        <w:rPr>
                          <w:rFonts w:ascii="Times New Roman" w:hAnsi="Times New Roman"/>
                          <w:sz w:val="15"/>
                          <w:szCs w:val="15"/>
                        </w:rPr>
                      </w:pPr>
                      <w:r>
                        <w:rPr>
                          <w:rFonts w:ascii="Times New Roman" w:hAnsi="Times New Roman"/>
                          <w:sz w:val="15"/>
                          <w:szCs w:val="15"/>
                        </w:rPr>
                        <w:t>0—冲击器；</w:t>
                      </w:r>
                    </w:p>
                  </w:txbxContent>
                </v:textbox>
              </v:shape>
              <v:shape id="_x0000_s2077" o:spid="_x0000_s2077" o:spt="202" type="#_x0000_t202" style="position:absolute;left:5177;top:5152;height:520;width:1518;" filled="f" stroked="f" coordsize="21600,21600">
                <v:path/>
                <v:fill on="f" focussize="0,0"/>
                <v:stroke on="f" joinstyle="miter"/>
                <v:imagedata o:title=""/>
                <o:lock v:ext="edit"/>
                <v:textbox inset="0mm,0mm,0mm,0mm">
                  <w:txbxContent>
                    <w:p>
                      <w:pPr>
                        <w:rPr>
                          <w:rFonts w:ascii="Times New Roman" w:hAnsi="Times New Roman"/>
                          <w:sz w:val="15"/>
                          <w:szCs w:val="15"/>
                        </w:rPr>
                      </w:pPr>
                      <w:r>
                        <w:rPr>
                          <w:rFonts w:ascii="Times New Roman" w:hAnsi="Times New Roman"/>
                          <w:sz w:val="15"/>
                          <w:szCs w:val="15"/>
                        </w:rPr>
                        <w:t>1、2—传感器；</w:t>
                      </w:r>
                    </w:p>
                  </w:txbxContent>
                </v:textbox>
              </v:shape>
              <v:shape id="_x0000_s2078" o:spid="_x0000_s2078" o:spt="202" type="#_x0000_t202" style="position:absolute;left:3714;top:5593;height:288;width:2840;mso-wrap-style:none;" filled="f" stroked="f" coordsize="21600,21600">
                <v:path/>
                <v:fill on="f" focussize="0,0"/>
                <v:stroke on="f" joinstyle="miter"/>
                <v:imagedata o:title=""/>
                <o:lock v:ext="edit"/>
                <v:textbox inset="0mm,0mm,0mm,0mm" style="mso-fit-shape-to-text:t;">
                  <w:txbxContent>
                    <w:p>
                      <w:pPr>
                        <w:rPr>
                          <w:rFonts w:ascii="Times New Roman" w:hAnsi="Times New Roman"/>
                          <w:sz w:val="15"/>
                          <w:szCs w:val="15"/>
                        </w:rPr>
                      </w:pPr>
                      <w:r>
                        <w:rPr>
                          <w:rFonts w:ascii="Times New Roman" w:hAnsi="Times New Roman"/>
                          <w:i/>
                          <w:sz w:val="15"/>
                          <w:szCs w:val="15"/>
                        </w:rPr>
                        <w:t>d</w:t>
                      </w:r>
                      <w:r>
                        <w:rPr>
                          <w:rFonts w:ascii="Times New Roman" w:hAnsi="Times New Roman"/>
                          <w:sz w:val="15"/>
                          <w:szCs w:val="15"/>
                          <w:vertAlign w:val="subscript"/>
                        </w:rPr>
                        <w:t>0</w:t>
                      </w:r>
                      <w:r>
                        <w:rPr>
                          <w:rFonts w:ascii="Times New Roman" w:hAnsi="Times New Roman"/>
                          <w:sz w:val="15"/>
                          <w:szCs w:val="15"/>
                        </w:rPr>
                        <w:t>—冲击点与传感器1距离；</w:t>
                      </w:r>
                    </w:p>
                  </w:txbxContent>
                </v:textbox>
              </v:shape>
              <v:shape id="_x0000_s2079" o:spid="_x0000_s2079" o:spt="202" type="#_x0000_t202" style="position:absolute;left:6705;top:5579;height:288;width:2105;mso-wrap-style:none;" filled="f" stroked="f" coordsize="21600,21600">
                <v:path/>
                <v:fill on="f" focussize="0,0"/>
                <v:stroke on="f" joinstyle="miter"/>
                <v:imagedata o:title=""/>
                <o:lock v:ext="edit"/>
                <v:textbox inset="0mm,0mm,0mm,0mm" style="mso-fit-shape-to-text:t;">
                  <w:txbxContent>
                    <w:p>
                      <w:pPr>
                        <w:rPr>
                          <w:rFonts w:ascii="Times New Roman" w:hAnsi="Times New Roman"/>
                          <w:sz w:val="15"/>
                          <w:szCs w:val="15"/>
                        </w:rPr>
                      </w:pPr>
                      <w:r>
                        <w:rPr>
                          <w:rFonts w:ascii="Times New Roman" w:hAnsi="Times New Roman"/>
                          <w:i/>
                          <w:sz w:val="15"/>
                          <w:szCs w:val="15"/>
                        </w:rPr>
                        <w:t>d</w:t>
                      </w:r>
                      <w:r>
                        <w:rPr>
                          <w:rFonts w:ascii="Times New Roman" w:hAnsi="Times New Roman"/>
                          <w:sz w:val="15"/>
                          <w:szCs w:val="15"/>
                        </w:rPr>
                        <w:t>—传感器裂缝距离。</w:t>
                      </w:r>
                    </w:p>
                  </w:txbxContent>
                </v:textbox>
              </v:shape>
              <v:shape id="_x0000_s2080" o:spid="_x0000_s2080" o:spt="202" type="#_x0000_t202" style="position:absolute;left:6728;top:5152;height:288;width:1440;mso-wrap-style:none;" filled="f" stroked="f" coordsize="21600,21600">
                <v:path/>
                <v:fill on="f" focussize="0,0"/>
                <v:stroke on="f" joinstyle="miter"/>
                <v:imagedata o:title=""/>
                <o:lock v:ext="edit"/>
                <v:textbox inset="0mm,0mm,0mm,0mm" style="mso-fit-shape-to-text:t;">
                  <w:txbxContent>
                    <w:p>
                      <w:pPr>
                        <w:rPr>
                          <w:rFonts w:ascii="Times New Roman" w:hAnsi="Times New Roman"/>
                          <w:sz w:val="15"/>
                          <w:szCs w:val="15"/>
                        </w:rPr>
                      </w:pPr>
                      <w:r>
                        <w:rPr>
                          <w:rFonts w:ascii="Times New Roman" w:hAnsi="Times New Roman"/>
                          <w:i/>
                          <w:sz w:val="15"/>
                          <w:szCs w:val="15"/>
                        </w:rPr>
                        <w:t>h</w:t>
                      </w:r>
                      <w:r>
                        <w:rPr>
                          <w:rFonts w:ascii="Times New Roman" w:hAnsi="Times New Roman"/>
                          <w:sz w:val="15"/>
                          <w:szCs w:val="15"/>
                        </w:rPr>
                        <w:t>—裂缝深度；</w:t>
                      </w:r>
                    </w:p>
                  </w:txbxContent>
                </v:textbox>
              </v:shape>
            </v:group>
            <v:shape id="_x0000_s2081" o:spid="_x0000_s2081" o:spt="202" type="#_x0000_t202" style="position:absolute;left:7009;top:8016;height:172;width:75;mso-wrap-style:none;" filled="f" stroked="f" coordsize="21600,21600">
              <v:path/>
              <v:fill on="f" focussize="0,0"/>
              <v:stroke on="f" joinstyle="miter"/>
              <v:imagedata o:title=""/>
              <o:lock v:ext="edit"/>
              <v:textbox inset="0mm,0mm,0mm,0mm" style="mso-fit-shape-to-text:t;">
                <w:txbxContent>
                  <w:p>
                    <w:pPr>
                      <w:rPr>
                        <w:rFonts w:ascii="Times New Roman" w:hAnsi="Times New Roman"/>
                        <w:sz w:val="15"/>
                        <w:szCs w:val="15"/>
                      </w:rPr>
                    </w:pPr>
                    <w:r>
                      <w:rPr>
                        <w:rFonts w:ascii="Times New Roman" w:hAnsi="Times New Roman"/>
                        <w:sz w:val="15"/>
                        <w:szCs w:val="15"/>
                      </w:rPr>
                      <w:t>0</w:t>
                    </w:r>
                  </w:p>
                </w:txbxContent>
              </v:textbox>
            </v:shape>
            <v:shape id="_x0000_s2082" o:spid="_x0000_s2082" o:spt="75" type="#_x0000_t75" style="position:absolute;left:8462;top:7114;height:213;width:447;" o:ole="t" filled="f" o:preferrelative="t" stroked="f" coordsize="21600,21600">
              <v:path/>
              <v:fill on="f" focussize="0,0"/>
              <v:stroke on="f" joinstyle="miter"/>
              <v:imagedata r:id="rId34" o:title=""/>
              <o:lock v:ext="edit" aspectratio="t"/>
            </v:shape>
            <w10:wrap type="square"/>
          </v:group>
          <o:OLEObject Type="Embed" ProgID="Equation.3" ShapeID="_x0000_s2067" DrawAspect="Content" ObjectID="_1468075725" r:id="rId26">
            <o:LockedField>false</o:LockedField>
          </o:OLEObject>
          <o:OLEObject Type="Embed" ProgID="Equation.3" ShapeID="_x0000_s2068" DrawAspect="Content" ObjectID="_1468075726" r:id="rId28">
            <o:LockedField>false</o:LockedField>
          </o:OLEObject>
          <o:OLEObject Type="Embed" ProgID="Equation.3" ShapeID="_x0000_s2069" DrawAspect="Content" ObjectID="_1468075727" r:id="rId30">
            <o:LockedField>false</o:LockedField>
          </o:OLEObject>
          <o:OLEObject Type="Embed" ProgID="Equation.3" ShapeID="_x0000_s2082" DrawAspect="Content" ObjectID="_1468075728" r:id="rId33">
            <o:LockedField>false</o:LockedField>
          </o:OLEObject>
        </w:pict>
      </w:r>
      <w:r>
        <w:rPr>
          <w:rFonts w:hint="eastAsia" w:ascii="黑体" w:hAnsi="黑体" w:eastAsia="黑体" w:cs="黑体"/>
        </w:rPr>
        <w:t>D.1.4</w:t>
      </w:r>
      <w:r>
        <w:rPr>
          <w:rFonts w:ascii="Times New Roman" w:hAnsi="Times New Roman"/>
          <w:b/>
          <w:bCs/>
          <w:szCs w:val="20"/>
        </w:rPr>
        <w:t xml:space="preserve">  </w:t>
      </w:r>
      <w:r>
        <w:rPr>
          <w:rFonts w:ascii="Times New Roman" w:hAnsi="Times New Roman"/>
          <w:bCs/>
          <w:szCs w:val="20"/>
        </w:rPr>
        <w:t>测点布置应符合下列要求：</w:t>
      </w:r>
    </w:p>
    <w:p>
      <w:pPr>
        <w:tabs>
          <w:tab w:val="left" w:pos="6020"/>
        </w:tabs>
        <w:spacing w:line="360" w:lineRule="auto"/>
        <w:ind w:firstLine="420" w:firstLineChars="200"/>
        <w:rPr>
          <w:rFonts w:ascii="Times New Roman" w:hAnsi="Times New Roman"/>
          <w:bCs/>
          <w:szCs w:val="20"/>
        </w:rPr>
      </w:pPr>
      <w:r>
        <w:rPr>
          <w:rFonts w:hint="eastAsia" w:ascii="黑体" w:hAnsi="黑体" w:eastAsia="黑体" w:cs="黑体"/>
        </w:rPr>
        <w:t xml:space="preserve">1 </w:t>
      </w:r>
      <w:r>
        <w:rPr>
          <w:rFonts w:ascii="Times New Roman" w:hAnsi="Times New Roman"/>
          <w:b/>
          <w:bCs/>
          <w:szCs w:val="20"/>
        </w:rPr>
        <w:t xml:space="preserve"> </w:t>
      </w:r>
      <w:r>
        <w:rPr>
          <w:rFonts w:ascii="Times New Roman" w:hAnsi="Times New Roman"/>
          <w:bCs/>
          <w:szCs w:val="20"/>
        </w:rPr>
        <w:t>应避开混凝土表面蜂窝、结构缝位置。</w:t>
      </w:r>
    </w:p>
    <w:p>
      <w:pPr>
        <w:tabs>
          <w:tab w:val="left" w:pos="6020"/>
        </w:tabs>
        <w:spacing w:line="360" w:lineRule="auto"/>
        <w:ind w:firstLine="420" w:firstLineChars="200"/>
        <w:rPr>
          <w:rFonts w:ascii="Times New Roman" w:hAnsi="Times New Roman"/>
          <w:b/>
          <w:bCs/>
          <w:szCs w:val="20"/>
        </w:rPr>
      </w:pPr>
      <w:r>
        <w:rPr>
          <w:rFonts w:hint="eastAsia" w:ascii="黑体" w:hAnsi="黑体" w:eastAsia="黑体" w:cs="黑体"/>
        </w:rPr>
        <w:t xml:space="preserve">2 </w:t>
      </w:r>
      <w:r>
        <w:rPr>
          <w:rFonts w:ascii="Times New Roman" w:hAnsi="Times New Roman"/>
          <w:b/>
          <w:bCs/>
          <w:szCs w:val="20"/>
        </w:rPr>
        <w:t xml:space="preserve"> </w:t>
      </w:r>
      <w:r>
        <w:rPr>
          <w:rFonts w:ascii="Times New Roman" w:hAnsi="Times New Roman"/>
          <w:bCs/>
          <w:szCs w:val="20"/>
        </w:rPr>
        <w:t>测线宜与裂缝走向正交。</w:t>
      </w:r>
    </w:p>
    <w:p>
      <w:pPr>
        <w:tabs>
          <w:tab w:val="left" w:pos="6020"/>
        </w:tabs>
        <w:spacing w:line="360" w:lineRule="auto"/>
        <w:rPr>
          <w:rFonts w:ascii="Times New Roman" w:hAnsi="Times New Roman"/>
          <w:bCs/>
          <w:szCs w:val="20"/>
        </w:rPr>
      </w:pPr>
      <w:r>
        <w:rPr>
          <w:rFonts w:hint="eastAsia" w:ascii="黑体" w:hAnsi="黑体" w:eastAsia="黑体" w:cs="黑体"/>
        </w:rPr>
        <w:t xml:space="preserve">D.1.5 </w:t>
      </w:r>
      <w:r>
        <w:rPr>
          <w:rFonts w:ascii="Times New Roman" w:hAnsi="Times New Roman"/>
          <w:b/>
          <w:bCs/>
          <w:szCs w:val="20"/>
        </w:rPr>
        <w:t xml:space="preserve"> </w:t>
      </w:r>
      <w:r>
        <w:rPr>
          <w:rFonts w:ascii="Times New Roman" w:hAnsi="Times New Roman"/>
          <w:bCs/>
          <w:szCs w:val="20"/>
        </w:rPr>
        <w:t>裂缝深度检测应符合下列要求：</w:t>
      </w:r>
    </w:p>
    <w:p>
      <w:pPr>
        <w:numPr>
          <w:ilvl w:val="0"/>
          <w:numId w:val="37"/>
        </w:numPr>
        <w:tabs>
          <w:tab w:val="left" w:pos="748"/>
        </w:tabs>
        <w:spacing w:line="360" w:lineRule="auto"/>
        <w:ind w:left="12" w:firstLine="414"/>
        <w:rPr>
          <w:rFonts w:ascii="Times New Roman" w:hAnsi="Times New Roman"/>
          <w:bCs/>
          <w:szCs w:val="20"/>
        </w:rPr>
      </w:pPr>
      <w:r>
        <w:rPr>
          <w:rFonts w:ascii="Times New Roman" w:hAnsi="Times New Roman"/>
          <w:bCs/>
          <w:szCs w:val="20"/>
        </w:rPr>
        <w:t>测点表面应平整，传感器应垂直于检测表面。</w:t>
      </w:r>
    </w:p>
    <w:p>
      <w:pPr>
        <w:numPr>
          <w:ilvl w:val="0"/>
          <w:numId w:val="37"/>
        </w:numPr>
        <w:tabs>
          <w:tab w:val="left" w:pos="748"/>
        </w:tabs>
        <w:spacing w:line="360" w:lineRule="auto"/>
        <w:ind w:left="11" w:firstLine="414"/>
        <w:rPr>
          <w:rFonts w:ascii="Times New Roman" w:hAnsi="Times New Roman"/>
          <w:bCs/>
          <w:szCs w:val="20"/>
        </w:rPr>
      </w:pPr>
      <w:r>
        <w:rPr>
          <w:rFonts w:ascii="Times New Roman" w:hAnsi="Times New Roman"/>
          <w:bCs/>
          <w:szCs w:val="20"/>
        </w:rPr>
        <w:t>应采用“一发双收”测试方式。接收点应跨缝等距离布置，冲击点与一接收点应置于裂缝同侧。各点应处在同一测线上。如图</w:t>
      </w:r>
      <w:r>
        <w:rPr>
          <w:rFonts w:hint="eastAsia" w:ascii="Times New Roman" w:hAnsi="Times New Roman"/>
          <w:bCs/>
          <w:szCs w:val="20"/>
        </w:rPr>
        <w:t>D</w:t>
      </w:r>
      <w:r>
        <w:rPr>
          <w:rFonts w:ascii="Times New Roman" w:hAnsi="Times New Roman"/>
          <w:bCs/>
          <w:szCs w:val="20"/>
        </w:rPr>
        <w:t>.</w:t>
      </w:r>
      <w:r>
        <w:rPr>
          <w:rFonts w:hint="eastAsia" w:ascii="Times New Roman" w:hAnsi="Times New Roman"/>
          <w:bCs/>
          <w:szCs w:val="20"/>
        </w:rPr>
        <w:t>1</w:t>
      </w:r>
      <w:r>
        <w:rPr>
          <w:rFonts w:ascii="Times New Roman" w:hAnsi="Times New Roman"/>
          <w:bCs/>
          <w:szCs w:val="20"/>
        </w:rPr>
        <w:t>.</w:t>
      </w:r>
      <w:r>
        <w:rPr>
          <w:rFonts w:hint="eastAsia" w:ascii="Times New Roman" w:hAnsi="Times New Roman"/>
          <w:bCs/>
          <w:szCs w:val="20"/>
        </w:rPr>
        <w:t>5</w:t>
      </w:r>
      <w:r>
        <w:rPr>
          <w:rFonts w:ascii="Times New Roman" w:hAnsi="Times New Roman"/>
          <w:bCs/>
          <w:szCs w:val="20"/>
        </w:rPr>
        <w:t>所示。</w:t>
      </w:r>
    </w:p>
    <w:p>
      <w:pPr>
        <w:numPr>
          <w:ilvl w:val="0"/>
          <w:numId w:val="37"/>
        </w:numPr>
        <w:tabs>
          <w:tab w:val="left" w:pos="748"/>
        </w:tabs>
        <w:spacing w:line="360" w:lineRule="auto"/>
        <w:ind w:left="11" w:firstLine="414"/>
        <w:rPr>
          <w:rFonts w:ascii="Times New Roman" w:hAnsi="Times New Roman"/>
          <w:bCs/>
          <w:szCs w:val="20"/>
        </w:rPr>
      </w:pPr>
      <w:r>
        <w:rPr>
          <w:rFonts w:ascii="Times New Roman" w:hAnsi="Times New Roman"/>
          <w:bCs/>
          <w:szCs w:val="20"/>
        </w:rPr>
        <w:t>冲击点与接收点间距、接收点与裂缝间距应大于激发的面波波长</w:t>
      </w:r>
      <w:r>
        <w:rPr>
          <w:rFonts w:ascii="Times New Roman" w:hAnsi="Times New Roman"/>
          <w:position w:val="-6"/>
        </w:rPr>
        <w:object>
          <v:shape id="_x0000_i1025" o:spt="75" type="#_x0000_t75" style="height:12.55pt;width:9.25pt;" o:ole="t" filled="f" o:preferrelative="t" stroked="f" coordsize="21600,21600">
            <v:path/>
            <v:fill on="f" focussize="0,0"/>
            <v:stroke on="f" joinstyle="miter"/>
            <v:imagedata r:id="rId36" o:title=""/>
            <o:lock v:ext="edit" aspectratio="t"/>
            <w10:wrap type="none"/>
            <w10:anchorlock/>
          </v:shape>
          <o:OLEObject Type="Embed" ProgID="Equation.3" ShapeID="_x0000_i1025" DrawAspect="Content" ObjectID="_1468075729" r:id="rId35">
            <o:LockedField>false</o:LockedField>
          </o:OLEObject>
        </w:object>
      </w:r>
      <w:r>
        <w:rPr>
          <w:rFonts w:ascii="Times New Roman" w:hAnsi="Times New Roman"/>
          <w:bCs/>
          <w:szCs w:val="20"/>
        </w:rPr>
        <w:t>，可取1～2倍</w:t>
      </w:r>
      <w:r>
        <w:rPr>
          <w:rFonts w:ascii="Times New Roman" w:hAnsi="Times New Roman"/>
          <w:position w:val="-6"/>
        </w:rPr>
        <w:object>
          <v:shape id="_x0000_i1026" o:spt="75" type="#_x0000_t75" style="height:12.55pt;width:9.25pt;" o:ole="t" filled="f" o:preferrelative="t" stroked="f" coordsize="21600,21600">
            <v:path/>
            <v:fill on="f" focussize="0,0"/>
            <v:stroke on="f" joinstyle="miter"/>
            <v:imagedata r:id="rId38" o:title=""/>
            <o:lock v:ext="edit" aspectratio="t"/>
            <w10:wrap type="none"/>
            <w10:anchorlock/>
          </v:shape>
          <o:OLEObject Type="Embed" ProgID="Equation.3" ShapeID="_x0000_i1026" DrawAspect="Content" ObjectID="_1468075730" r:id="rId37">
            <o:LockedField>false</o:LockedField>
          </o:OLEObject>
        </w:object>
      </w:r>
      <w:r>
        <w:rPr>
          <w:rFonts w:ascii="Times New Roman" w:hAnsi="Times New Roman"/>
          <w:bCs/>
          <w:szCs w:val="20"/>
        </w:rPr>
        <w:t>，</w:t>
      </w:r>
      <w:r>
        <w:rPr>
          <w:rFonts w:ascii="Times New Roman" w:hAnsi="Times New Roman"/>
          <w:bCs/>
          <w:i/>
          <w:szCs w:val="20"/>
        </w:rPr>
        <w:t>λ</w:t>
      </w:r>
      <w:r>
        <w:rPr>
          <w:rFonts w:ascii="Times New Roman" w:hAnsi="Times New Roman"/>
          <w:bCs/>
          <w:szCs w:val="20"/>
        </w:rPr>
        <w:t>值可按（</w:t>
      </w:r>
      <w:r>
        <w:rPr>
          <w:rFonts w:hint="eastAsia" w:ascii="Times New Roman" w:hAnsi="Times New Roman"/>
          <w:bCs/>
          <w:szCs w:val="20"/>
        </w:rPr>
        <w:t>D.1</w:t>
      </w:r>
      <w:r>
        <w:rPr>
          <w:rFonts w:ascii="Times New Roman" w:hAnsi="Times New Roman"/>
          <w:bCs/>
          <w:szCs w:val="20"/>
        </w:rPr>
        <w:t>.</w:t>
      </w:r>
      <w:r>
        <w:rPr>
          <w:rFonts w:hint="eastAsia" w:ascii="Times New Roman" w:hAnsi="Times New Roman"/>
          <w:bCs/>
          <w:szCs w:val="20"/>
        </w:rPr>
        <w:t>5</w:t>
      </w:r>
      <w:r>
        <w:rPr>
          <w:rFonts w:ascii="Times New Roman" w:hAnsi="Times New Roman"/>
          <w:bCs/>
          <w:szCs w:val="20"/>
        </w:rPr>
        <w:t>-1）式估算：</w:t>
      </w:r>
    </w:p>
    <w:p>
      <w:pPr>
        <w:tabs>
          <w:tab w:val="left" w:pos="6020"/>
        </w:tabs>
        <w:wordWrap w:val="0"/>
        <w:ind w:left="845"/>
        <w:jc w:val="right"/>
        <w:rPr>
          <w:rFonts w:ascii="Times New Roman" w:hAnsi="Times New Roman"/>
          <w:bCs/>
          <w:szCs w:val="20"/>
        </w:rPr>
      </w:pPr>
      <w:r>
        <w:rPr>
          <w:rFonts w:ascii="Times New Roman" w:hAnsi="Times New Roman"/>
          <w:position w:val="-10"/>
        </w:rPr>
        <w:object>
          <v:shape id="_x0000_i1027" o:spt="75" type="#_x0000_t75" style="height:15.8pt;width:48pt;" o:ole="t" filled="f" o:preferrelative="t" stroked="f" coordsize="21600,21600">
            <v:path/>
            <v:fill on="f" focussize="0,0"/>
            <v:stroke on="f" joinstyle="miter"/>
            <v:imagedata r:id="rId40" o:title=""/>
            <o:lock v:ext="edit" aspectratio="t"/>
            <w10:wrap type="none"/>
            <w10:anchorlock/>
          </v:shape>
          <o:OLEObject Type="Embed" ProgID="Equation.3" ShapeID="_x0000_i1027" DrawAspect="Content" ObjectID="_1468075731" r:id="rId39">
            <o:LockedField>false</o:LockedField>
          </o:OLEObject>
        </w:object>
      </w:r>
      <w:r>
        <w:rPr>
          <w:rFonts w:ascii="Times New Roman" w:hAnsi="Times New Roman"/>
          <w:bCs/>
          <w:szCs w:val="20"/>
        </w:rPr>
        <w:t xml:space="preserve">           （</w:t>
      </w:r>
      <w:r>
        <w:rPr>
          <w:rFonts w:hint="eastAsia" w:ascii="Times New Roman" w:hAnsi="Times New Roman"/>
          <w:bCs/>
          <w:szCs w:val="20"/>
        </w:rPr>
        <w:t>D.1</w:t>
      </w:r>
      <w:r>
        <w:rPr>
          <w:rFonts w:ascii="Times New Roman" w:hAnsi="Times New Roman"/>
          <w:bCs/>
          <w:szCs w:val="20"/>
        </w:rPr>
        <w:t>.</w:t>
      </w:r>
      <w:r>
        <w:rPr>
          <w:rFonts w:hint="eastAsia" w:ascii="Times New Roman" w:hAnsi="Times New Roman"/>
          <w:bCs/>
          <w:szCs w:val="20"/>
        </w:rPr>
        <w:t>5</w:t>
      </w:r>
      <w:r>
        <w:rPr>
          <w:rFonts w:ascii="Times New Roman" w:hAnsi="Times New Roman"/>
          <w:bCs/>
          <w:szCs w:val="20"/>
        </w:rPr>
        <w:t>-1）</w:t>
      </w:r>
    </w:p>
    <w:p>
      <w:pPr>
        <w:tabs>
          <w:tab w:val="left" w:pos="6020"/>
        </w:tabs>
        <w:spacing w:line="360" w:lineRule="auto"/>
        <w:rPr>
          <w:rFonts w:ascii="Times New Roman" w:hAnsi="Times New Roman"/>
          <w:bCs/>
          <w:szCs w:val="20"/>
        </w:rPr>
      </w:pPr>
      <w:r>
        <w:rPr>
          <w:rFonts w:ascii="Times New Roman" w:hAnsi="Times New Roman"/>
          <w:bCs/>
          <w:szCs w:val="20"/>
        </w:rPr>
        <w:t xml:space="preserve">式中  </w:t>
      </w:r>
      <w:r>
        <w:rPr>
          <w:rFonts w:ascii="Times New Roman" w:hAnsi="Times New Roman"/>
          <w:bCs/>
          <w:i/>
          <w:szCs w:val="20"/>
        </w:rPr>
        <w:t>t</w:t>
      </w:r>
      <w:r>
        <w:rPr>
          <w:rFonts w:ascii="Times New Roman" w:hAnsi="Times New Roman"/>
          <w:bCs/>
          <w:szCs w:val="20"/>
          <w:vertAlign w:val="subscript"/>
        </w:rPr>
        <w:t>c</w:t>
      </w:r>
      <w:r>
        <w:rPr>
          <w:rFonts w:ascii="Times New Roman" w:hAnsi="Times New Roman"/>
          <w:bCs/>
          <w:szCs w:val="20"/>
        </w:rPr>
        <w:t>——冲击持续时间，s；</w:t>
      </w:r>
    </w:p>
    <w:p>
      <w:pPr>
        <w:tabs>
          <w:tab w:val="left" w:pos="6020"/>
        </w:tabs>
        <w:spacing w:line="360" w:lineRule="auto"/>
        <w:ind w:firstLine="487" w:firstLineChars="232"/>
        <w:rPr>
          <w:rFonts w:ascii="Times New Roman" w:hAnsi="Times New Roman" w:eastAsia="黑体"/>
          <w:sz w:val="18"/>
          <w:szCs w:val="18"/>
        </w:rPr>
      </w:pPr>
      <w:r>
        <w:rPr>
          <w:rFonts w:ascii="Times New Roman" w:hAnsi="Times New Roman"/>
          <w:bCs/>
          <w:i/>
          <w:szCs w:val="20"/>
        </w:rPr>
        <w:t>C</w:t>
      </w:r>
      <w:r>
        <w:rPr>
          <w:rFonts w:ascii="Times New Roman" w:hAnsi="Times New Roman"/>
          <w:bCs/>
          <w:i/>
          <w:szCs w:val="20"/>
          <w:vertAlign w:val="subscript"/>
        </w:rPr>
        <w:t>R</w:t>
      </w:r>
      <w:r>
        <w:rPr>
          <w:rFonts w:ascii="Times New Roman" w:hAnsi="Times New Roman"/>
          <w:bCs/>
          <w:szCs w:val="20"/>
        </w:rPr>
        <w:t>——混凝土面波波速，m/s，估算时可取2000m/s；</w:t>
      </w:r>
    </w:p>
    <w:p>
      <w:pPr>
        <w:numPr>
          <w:ilvl w:val="0"/>
          <w:numId w:val="37"/>
        </w:numPr>
        <w:tabs>
          <w:tab w:val="left" w:pos="748"/>
        </w:tabs>
        <w:spacing w:line="360" w:lineRule="auto"/>
        <w:ind w:left="11" w:firstLine="414"/>
        <w:rPr>
          <w:rFonts w:ascii="Times New Roman" w:hAnsi="Times New Roman"/>
          <w:bCs/>
          <w:szCs w:val="20"/>
        </w:rPr>
      </w:pPr>
      <w:r>
        <w:rPr>
          <w:rFonts w:ascii="Times New Roman" w:hAnsi="Times New Roman"/>
          <w:bCs/>
          <w:szCs w:val="20"/>
        </w:rPr>
        <w:t>冲击产生的面波传递至裂缝另一侧传感器的振幅比应按式（</w:t>
      </w:r>
      <w:r>
        <w:rPr>
          <w:rFonts w:hint="eastAsia" w:ascii="Times New Roman" w:hAnsi="Times New Roman"/>
          <w:bCs/>
          <w:szCs w:val="20"/>
        </w:rPr>
        <w:t>D.1.5</w:t>
      </w:r>
      <w:r>
        <w:rPr>
          <w:rFonts w:ascii="Times New Roman" w:hAnsi="Times New Roman"/>
          <w:bCs/>
          <w:szCs w:val="20"/>
        </w:rPr>
        <w:t>-2）计算：</w:t>
      </w:r>
    </w:p>
    <w:p>
      <w:pPr>
        <w:tabs>
          <w:tab w:val="left" w:pos="990"/>
        </w:tabs>
        <w:jc w:val="right"/>
        <w:rPr>
          <w:rFonts w:ascii="Times New Roman" w:hAnsi="Times New Roman"/>
          <w:bCs/>
          <w:szCs w:val="20"/>
        </w:rPr>
      </w:pPr>
      <w:r>
        <w:rPr>
          <w:rFonts w:ascii="Times New Roman" w:hAnsi="Times New Roman"/>
          <w:position w:val="-26"/>
        </w:rPr>
        <w:object>
          <v:shape id="_x0000_i1028" o:spt="75" type="#_x0000_t75" style="height:34.35pt;width:78.55pt;" o:ole="t" filled="f" o:preferrelative="t" stroked="f" coordsize="21600,21600">
            <v:path/>
            <v:fill on="f" focussize="0,0"/>
            <v:stroke on="f" joinstyle="miter"/>
            <v:imagedata r:id="rId42" o:title=""/>
            <o:lock v:ext="edit" aspectratio="t"/>
            <w10:wrap type="none"/>
            <w10:anchorlock/>
          </v:shape>
          <o:OLEObject Type="Embed" ProgID="Equation.3" ShapeID="_x0000_i1028" DrawAspect="Content" ObjectID="_1468075732" r:id="rId41">
            <o:LockedField>false</o:LockedField>
          </o:OLEObject>
        </w:object>
      </w:r>
      <w:r>
        <w:rPr>
          <w:rFonts w:ascii="Times New Roman" w:hAnsi="Times New Roman"/>
          <w:bCs/>
          <w:szCs w:val="20"/>
        </w:rPr>
        <w:t xml:space="preserve">                        （</w:t>
      </w:r>
      <w:r>
        <w:rPr>
          <w:rFonts w:hint="eastAsia" w:ascii="Times New Roman" w:hAnsi="Times New Roman"/>
          <w:bCs/>
          <w:szCs w:val="20"/>
        </w:rPr>
        <w:t>D.1</w:t>
      </w:r>
      <w:r>
        <w:rPr>
          <w:rFonts w:ascii="Times New Roman" w:hAnsi="Times New Roman"/>
          <w:bCs/>
          <w:szCs w:val="20"/>
        </w:rPr>
        <w:t>.</w:t>
      </w:r>
      <w:r>
        <w:rPr>
          <w:rFonts w:hint="eastAsia" w:ascii="Times New Roman" w:hAnsi="Times New Roman"/>
          <w:bCs/>
          <w:szCs w:val="20"/>
        </w:rPr>
        <w:t>5</w:t>
      </w:r>
      <w:r>
        <w:rPr>
          <w:rFonts w:ascii="Times New Roman" w:hAnsi="Times New Roman"/>
          <w:bCs/>
          <w:szCs w:val="20"/>
        </w:rPr>
        <w:t>-2）</w:t>
      </w:r>
    </w:p>
    <w:p>
      <w:pPr>
        <w:tabs>
          <w:tab w:val="left" w:pos="6020"/>
        </w:tabs>
        <w:spacing w:line="360" w:lineRule="auto"/>
        <w:rPr>
          <w:rFonts w:ascii="Times New Roman" w:hAnsi="Times New Roman"/>
          <w:bCs/>
          <w:szCs w:val="20"/>
        </w:rPr>
      </w:pPr>
      <w:r>
        <w:rPr>
          <w:rFonts w:ascii="Times New Roman" w:hAnsi="Times New Roman"/>
          <w:bCs/>
          <w:szCs w:val="20"/>
        </w:rPr>
        <w:t xml:space="preserve">式中  </w:t>
      </w:r>
      <w:r>
        <w:rPr>
          <w:rFonts w:ascii="Times New Roman" w:hAnsi="Times New Roman"/>
          <w:bCs/>
          <w:i/>
          <w:szCs w:val="20"/>
        </w:rPr>
        <w:t>x</w:t>
      </w:r>
      <w:r>
        <w:rPr>
          <w:rFonts w:ascii="Times New Roman" w:hAnsi="Times New Roman"/>
          <w:bCs/>
          <w:szCs w:val="20"/>
        </w:rPr>
        <w:t>——振幅比；</w:t>
      </w:r>
    </w:p>
    <w:p>
      <w:pPr>
        <w:tabs>
          <w:tab w:val="left" w:pos="6020"/>
        </w:tabs>
        <w:spacing w:line="360" w:lineRule="auto"/>
        <w:ind w:firstLine="606" w:firstLineChars="289"/>
        <w:rPr>
          <w:rFonts w:ascii="Times New Roman" w:hAnsi="Times New Roman"/>
          <w:bCs/>
          <w:szCs w:val="20"/>
        </w:rPr>
      </w:pPr>
      <w:r>
        <w:rPr>
          <w:rFonts w:ascii="Times New Roman" w:hAnsi="Times New Roman"/>
          <w:bCs/>
          <w:i/>
          <w:szCs w:val="20"/>
        </w:rPr>
        <w:t>A</w:t>
      </w:r>
      <w:r>
        <w:rPr>
          <w:rFonts w:ascii="Times New Roman" w:hAnsi="Times New Roman"/>
          <w:bCs/>
          <w:szCs w:val="20"/>
          <w:vertAlign w:val="subscript"/>
        </w:rPr>
        <w:t>1</w:t>
      </w:r>
      <w:r>
        <w:rPr>
          <w:rFonts w:ascii="Times New Roman" w:hAnsi="Times New Roman"/>
          <w:bCs/>
          <w:szCs w:val="20"/>
        </w:rPr>
        <w:t>——传感器1测试得到的面波最大振幅；</w:t>
      </w:r>
    </w:p>
    <w:p>
      <w:pPr>
        <w:tabs>
          <w:tab w:val="left" w:pos="6020"/>
        </w:tabs>
        <w:spacing w:line="360" w:lineRule="auto"/>
        <w:ind w:firstLine="606" w:firstLineChars="289"/>
        <w:rPr>
          <w:rFonts w:ascii="Times New Roman" w:hAnsi="Times New Roman"/>
          <w:bCs/>
          <w:szCs w:val="20"/>
        </w:rPr>
      </w:pPr>
      <w:r>
        <w:rPr>
          <w:rFonts w:ascii="Times New Roman" w:hAnsi="Times New Roman"/>
          <w:bCs/>
          <w:i/>
          <w:szCs w:val="20"/>
        </w:rPr>
        <w:t>A</w:t>
      </w:r>
      <w:r>
        <w:rPr>
          <w:rFonts w:ascii="Times New Roman" w:hAnsi="Times New Roman"/>
          <w:bCs/>
          <w:szCs w:val="20"/>
          <w:vertAlign w:val="subscript"/>
        </w:rPr>
        <w:t>2</w:t>
      </w:r>
      <w:r>
        <w:rPr>
          <w:rFonts w:ascii="Times New Roman" w:hAnsi="Times New Roman"/>
          <w:bCs/>
          <w:szCs w:val="20"/>
        </w:rPr>
        <w:t>——传感器2测试得到的面波最大振幅；</w:t>
      </w:r>
    </w:p>
    <w:p>
      <w:pPr>
        <w:tabs>
          <w:tab w:val="left" w:pos="6020"/>
        </w:tabs>
        <w:spacing w:line="360" w:lineRule="auto"/>
        <w:ind w:firstLine="606" w:firstLineChars="289"/>
        <w:rPr>
          <w:rFonts w:ascii="Times New Roman" w:hAnsi="Times New Roman"/>
          <w:bCs/>
          <w:szCs w:val="20"/>
        </w:rPr>
      </w:pPr>
      <w:r>
        <w:rPr>
          <w:rFonts w:ascii="Times New Roman" w:hAnsi="Times New Roman"/>
          <w:bCs/>
          <w:i/>
          <w:szCs w:val="20"/>
        </w:rPr>
        <w:t>d</w:t>
      </w:r>
      <w:r>
        <w:rPr>
          <w:rFonts w:ascii="Times New Roman" w:hAnsi="Times New Roman"/>
          <w:bCs/>
          <w:szCs w:val="20"/>
          <w:vertAlign w:val="subscript"/>
        </w:rPr>
        <w:t>0</w:t>
      </w:r>
      <w:r>
        <w:rPr>
          <w:rFonts w:ascii="Times New Roman" w:hAnsi="Times New Roman"/>
          <w:bCs/>
          <w:szCs w:val="20"/>
        </w:rPr>
        <w:t>——冲击点与传感器1距离，m；</w:t>
      </w:r>
    </w:p>
    <w:p>
      <w:pPr>
        <w:tabs>
          <w:tab w:val="left" w:pos="6020"/>
        </w:tabs>
        <w:spacing w:line="360" w:lineRule="auto"/>
        <w:ind w:firstLine="606" w:firstLineChars="289"/>
        <w:rPr>
          <w:rFonts w:ascii="Times New Roman" w:hAnsi="Times New Roman"/>
          <w:bCs/>
          <w:szCs w:val="20"/>
        </w:rPr>
      </w:pPr>
      <w:r>
        <w:rPr>
          <w:rFonts w:ascii="Times New Roman" w:hAnsi="Times New Roman"/>
          <w:bCs/>
          <w:i/>
          <w:szCs w:val="20"/>
        </w:rPr>
        <w:t>d</w:t>
      </w:r>
      <w:r>
        <w:rPr>
          <w:rFonts w:ascii="Times New Roman" w:hAnsi="Times New Roman"/>
          <w:bCs/>
          <w:szCs w:val="20"/>
        </w:rPr>
        <w:t>——传感器1和2与裂缝距离，m。</w:t>
      </w:r>
    </w:p>
    <w:p>
      <w:pPr>
        <w:numPr>
          <w:ilvl w:val="0"/>
          <w:numId w:val="37"/>
        </w:numPr>
        <w:tabs>
          <w:tab w:val="left" w:pos="748"/>
        </w:tabs>
        <w:spacing w:line="360" w:lineRule="auto"/>
        <w:ind w:left="11" w:firstLine="414"/>
        <w:rPr>
          <w:rFonts w:ascii="Times New Roman" w:hAnsi="Times New Roman"/>
          <w:bCs/>
          <w:szCs w:val="20"/>
        </w:rPr>
      </w:pPr>
      <w:r>
        <w:rPr>
          <w:rFonts w:ascii="Times New Roman" w:hAnsi="Times New Roman"/>
          <w:bCs/>
          <w:szCs w:val="20"/>
        </w:rPr>
        <w:t>当裂缝面穿过钢筋时，振幅比可按式（</w:t>
      </w:r>
      <w:r>
        <w:rPr>
          <w:rFonts w:hint="eastAsia" w:ascii="Times New Roman" w:hAnsi="Times New Roman"/>
          <w:bCs/>
          <w:szCs w:val="20"/>
        </w:rPr>
        <w:t>D.1</w:t>
      </w:r>
      <w:r>
        <w:rPr>
          <w:rFonts w:ascii="Times New Roman" w:hAnsi="Times New Roman"/>
          <w:bCs/>
          <w:szCs w:val="20"/>
        </w:rPr>
        <w:t>.</w:t>
      </w:r>
      <w:r>
        <w:rPr>
          <w:rFonts w:hint="eastAsia" w:ascii="Times New Roman" w:hAnsi="Times New Roman"/>
          <w:bCs/>
          <w:szCs w:val="20"/>
        </w:rPr>
        <w:t>5</w:t>
      </w:r>
      <w:r>
        <w:rPr>
          <w:rFonts w:ascii="Times New Roman" w:hAnsi="Times New Roman"/>
          <w:bCs/>
          <w:szCs w:val="20"/>
        </w:rPr>
        <w:t>-3）修正：</w:t>
      </w:r>
    </w:p>
    <w:p>
      <w:pPr>
        <w:tabs>
          <w:tab w:val="left" w:pos="6020"/>
        </w:tabs>
        <w:jc w:val="right"/>
        <w:rPr>
          <w:rFonts w:ascii="Times New Roman" w:hAnsi="Times New Roman"/>
          <w:bCs/>
          <w:szCs w:val="20"/>
        </w:rPr>
      </w:pPr>
      <w:r>
        <w:rPr>
          <w:rFonts w:ascii="Times New Roman" w:hAnsi="Times New Roman"/>
          <w:bCs/>
          <w:position w:val="-6"/>
          <w:szCs w:val="20"/>
        </w:rPr>
        <w:object>
          <v:shape id="_x0000_i1029" o:spt="75" type="#_x0000_t75" style="height:14.2pt;width:41.45pt;" o:ole="t" filled="f" o:preferrelative="t" stroked="f" coordsize="21600,21600">
            <v:path/>
            <v:fill on="f" focussize="0,0"/>
            <v:stroke on="f" joinstyle="miter"/>
            <v:imagedata r:id="rId44" o:title=""/>
            <o:lock v:ext="edit" aspectratio="t"/>
            <w10:wrap type="none"/>
            <w10:anchorlock/>
          </v:shape>
          <o:OLEObject Type="Embed" ProgID="Equation.3" ShapeID="_x0000_i1029" DrawAspect="Content" ObjectID="_1468075733" r:id="rId43">
            <o:LockedField>false</o:LockedField>
          </o:OLEObject>
        </w:object>
      </w:r>
      <w:r>
        <w:rPr>
          <w:rFonts w:ascii="Times New Roman" w:hAnsi="Times New Roman"/>
          <w:bCs/>
          <w:szCs w:val="20"/>
        </w:rPr>
        <w:t xml:space="preserve">                           （</w:t>
      </w:r>
      <w:r>
        <w:rPr>
          <w:rFonts w:hint="eastAsia" w:ascii="Times New Roman" w:hAnsi="Times New Roman"/>
          <w:bCs/>
          <w:szCs w:val="20"/>
        </w:rPr>
        <w:t>D.1</w:t>
      </w:r>
      <w:r>
        <w:rPr>
          <w:rFonts w:ascii="Times New Roman" w:hAnsi="Times New Roman"/>
          <w:bCs/>
          <w:szCs w:val="20"/>
        </w:rPr>
        <w:t>.</w:t>
      </w:r>
      <w:r>
        <w:rPr>
          <w:rFonts w:hint="eastAsia" w:ascii="Times New Roman" w:hAnsi="Times New Roman"/>
          <w:bCs/>
          <w:szCs w:val="20"/>
        </w:rPr>
        <w:t>5</w:t>
      </w:r>
      <w:r>
        <w:rPr>
          <w:rFonts w:ascii="Times New Roman" w:hAnsi="Times New Roman"/>
          <w:bCs/>
          <w:szCs w:val="20"/>
        </w:rPr>
        <w:t>-3）</w:t>
      </w:r>
    </w:p>
    <w:p>
      <w:pPr>
        <w:tabs>
          <w:tab w:val="left" w:pos="6020"/>
        </w:tabs>
        <w:spacing w:line="360" w:lineRule="auto"/>
        <w:rPr>
          <w:rFonts w:ascii="Times New Roman" w:hAnsi="Times New Roman"/>
          <w:bCs/>
          <w:szCs w:val="20"/>
        </w:rPr>
      </w:pPr>
      <w:r>
        <w:rPr>
          <w:rFonts w:ascii="Times New Roman" w:hAnsi="Times New Roman"/>
          <w:bCs/>
          <w:szCs w:val="20"/>
        </w:rPr>
        <w:t xml:space="preserve">式中  </w:t>
      </w:r>
      <w:r>
        <w:rPr>
          <w:rFonts w:ascii="Times New Roman" w:hAnsi="Times New Roman"/>
          <w:bCs/>
          <w:position w:val="-6"/>
          <w:szCs w:val="20"/>
        </w:rPr>
        <w:object>
          <v:shape id="_x0000_i1030" o:spt="75" type="#_x0000_t75" style="height:14.2pt;width:9.25pt;" o:ole="t" filled="f" o:preferrelative="t" stroked="f" coordsize="21600,21600">
            <v:path/>
            <v:fill on="f" focussize="0,0"/>
            <v:stroke on="f" joinstyle="miter"/>
            <v:imagedata r:id="rId46" o:title=""/>
            <o:lock v:ext="edit" aspectratio="t"/>
            <w10:wrap type="none"/>
            <w10:anchorlock/>
          </v:shape>
          <o:OLEObject Type="Embed" ProgID="Equation.3" ShapeID="_x0000_i1030" DrawAspect="Content" ObjectID="_1468075734" r:id="rId45">
            <o:LockedField>false</o:LockedField>
          </o:OLEObject>
        </w:object>
      </w:r>
      <w:r>
        <w:rPr>
          <w:rFonts w:ascii="Times New Roman" w:hAnsi="Times New Roman"/>
          <w:bCs/>
          <w:szCs w:val="20"/>
        </w:rPr>
        <w:t>——修正后振幅比；</w:t>
      </w:r>
    </w:p>
    <w:p>
      <w:pPr>
        <w:tabs>
          <w:tab w:val="left" w:pos="6020"/>
        </w:tabs>
        <w:spacing w:line="360" w:lineRule="auto"/>
        <w:ind w:firstLine="680" w:firstLineChars="324"/>
        <w:rPr>
          <w:rFonts w:ascii="Times New Roman" w:hAnsi="Times New Roman"/>
          <w:bCs/>
          <w:szCs w:val="20"/>
        </w:rPr>
      </w:pPr>
      <w:r>
        <w:rPr>
          <w:rFonts w:ascii="Times New Roman" w:hAnsi="Times New Roman"/>
          <w:bCs/>
          <w:i/>
          <w:szCs w:val="20"/>
        </w:rPr>
        <w:t>n</w:t>
      </w:r>
      <w:r>
        <w:rPr>
          <w:rFonts w:ascii="Times New Roman" w:hAnsi="Times New Roman"/>
          <w:bCs/>
          <w:szCs w:val="20"/>
        </w:rPr>
        <w:t>——钢筋率。</w:t>
      </w:r>
    </w:p>
    <w:p>
      <w:pPr>
        <w:numPr>
          <w:ilvl w:val="0"/>
          <w:numId w:val="37"/>
        </w:numPr>
        <w:tabs>
          <w:tab w:val="left" w:pos="748"/>
        </w:tabs>
        <w:spacing w:line="360" w:lineRule="auto"/>
        <w:ind w:left="0" w:firstLine="414"/>
        <w:rPr>
          <w:rFonts w:ascii="Times New Roman" w:hAnsi="Times New Roman"/>
          <w:bCs/>
          <w:szCs w:val="20"/>
        </w:rPr>
      </w:pPr>
      <w:r>
        <w:rPr>
          <w:rFonts w:ascii="Times New Roman" w:hAnsi="Times New Roman"/>
          <w:bCs/>
          <w:szCs w:val="20"/>
        </w:rPr>
        <w:t>裂缝深度应按式（</w:t>
      </w:r>
      <w:r>
        <w:rPr>
          <w:rFonts w:hint="eastAsia" w:ascii="Times New Roman" w:hAnsi="Times New Roman"/>
          <w:bCs/>
          <w:szCs w:val="20"/>
        </w:rPr>
        <w:t>D.1</w:t>
      </w:r>
      <w:r>
        <w:rPr>
          <w:rFonts w:ascii="Times New Roman" w:hAnsi="Times New Roman"/>
          <w:bCs/>
          <w:szCs w:val="20"/>
        </w:rPr>
        <w:t>.</w:t>
      </w:r>
      <w:r>
        <w:rPr>
          <w:rFonts w:hint="eastAsia" w:ascii="Times New Roman" w:hAnsi="Times New Roman"/>
          <w:bCs/>
          <w:szCs w:val="20"/>
        </w:rPr>
        <w:t>5</w:t>
      </w:r>
      <w:r>
        <w:rPr>
          <w:rFonts w:ascii="Times New Roman" w:hAnsi="Times New Roman"/>
          <w:bCs/>
          <w:szCs w:val="20"/>
        </w:rPr>
        <w:t>-4）计算：</w:t>
      </w:r>
    </w:p>
    <w:p>
      <w:pPr>
        <w:tabs>
          <w:tab w:val="left" w:pos="6020"/>
        </w:tabs>
        <w:jc w:val="right"/>
        <w:rPr>
          <w:rFonts w:ascii="Times New Roman" w:hAnsi="Times New Roman"/>
          <w:bCs/>
          <w:szCs w:val="20"/>
        </w:rPr>
      </w:pPr>
      <w:r>
        <w:rPr>
          <w:rFonts w:ascii="Times New Roman" w:hAnsi="Times New Roman"/>
          <w:bCs/>
          <w:position w:val="-10"/>
          <w:szCs w:val="20"/>
        </w:rPr>
        <w:object>
          <v:shape id="_x0000_i1031" o:spt="75" type="#_x0000_t75" style="height:15.8pt;width:53.45pt;" o:ole="t" filled="f" o:preferrelative="t" stroked="f" coordsize="21600,21600">
            <v:path/>
            <v:fill on="f" focussize="0,0"/>
            <v:stroke on="f" joinstyle="miter"/>
            <v:imagedata r:id="rId48" o:title=""/>
            <o:lock v:ext="edit" aspectratio="t"/>
            <w10:wrap type="none"/>
            <w10:anchorlock/>
          </v:shape>
          <o:OLEObject Type="Embed" ProgID="Equation.3" ShapeID="_x0000_i1031" DrawAspect="Content" ObjectID="_1468075735" r:id="rId47">
            <o:LockedField>false</o:LockedField>
          </o:OLEObject>
        </w:object>
      </w:r>
      <w:r>
        <w:rPr>
          <w:rFonts w:ascii="Times New Roman" w:hAnsi="Times New Roman"/>
          <w:bCs/>
          <w:szCs w:val="20"/>
        </w:rPr>
        <w:t xml:space="preserve">                          （</w:t>
      </w:r>
      <w:r>
        <w:rPr>
          <w:rFonts w:hint="eastAsia" w:ascii="Times New Roman" w:hAnsi="Times New Roman"/>
          <w:bCs/>
          <w:szCs w:val="20"/>
        </w:rPr>
        <w:t>D.1</w:t>
      </w:r>
      <w:r>
        <w:rPr>
          <w:rFonts w:ascii="Times New Roman" w:hAnsi="Times New Roman"/>
          <w:bCs/>
          <w:szCs w:val="20"/>
        </w:rPr>
        <w:t>.</w:t>
      </w:r>
      <w:r>
        <w:rPr>
          <w:rFonts w:hint="eastAsia" w:ascii="Times New Roman" w:hAnsi="Times New Roman"/>
          <w:bCs/>
          <w:szCs w:val="20"/>
        </w:rPr>
        <w:t>5</w:t>
      </w:r>
      <w:r>
        <w:rPr>
          <w:rFonts w:ascii="Times New Roman" w:hAnsi="Times New Roman"/>
          <w:bCs/>
          <w:szCs w:val="20"/>
        </w:rPr>
        <w:t>-4）</w:t>
      </w:r>
    </w:p>
    <w:p>
      <w:pPr>
        <w:tabs>
          <w:tab w:val="left" w:pos="6020"/>
        </w:tabs>
        <w:spacing w:line="360" w:lineRule="auto"/>
        <w:rPr>
          <w:rFonts w:ascii="Times New Roman" w:hAnsi="Times New Roman"/>
          <w:bCs/>
          <w:szCs w:val="20"/>
        </w:rPr>
      </w:pPr>
      <w:r>
        <w:rPr>
          <w:rFonts w:ascii="Times New Roman" w:hAnsi="Times New Roman"/>
          <w:bCs/>
          <w:szCs w:val="20"/>
        </w:rPr>
        <w:t xml:space="preserve">式中  </w:t>
      </w:r>
      <w:r>
        <w:rPr>
          <w:rFonts w:ascii="Times New Roman" w:hAnsi="Times New Roman"/>
          <w:bCs/>
          <w:i/>
          <w:szCs w:val="20"/>
        </w:rPr>
        <w:t>h</w:t>
      </w:r>
      <w:r>
        <w:rPr>
          <w:rFonts w:ascii="Times New Roman" w:hAnsi="Times New Roman"/>
          <w:bCs/>
          <w:szCs w:val="20"/>
        </w:rPr>
        <w:t>——裂缝深度，m。</w:t>
      </w:r>
    </w:p>
    <w:p>
      <w:pPr>
        <w:tabs>
          <w:tab w:val="left" w:pos="6020"/>
        </w:tabs>
        <w:spacing w:line="360" w:lineRule="auto"/>
        <w:ind w:firstLine="531" w:firstLineChars="253"/>
        <w:rPr>
          <w:rFonts w:ascii="Times New Roman" w:hAnsi="Times New Roman"/>
          <w:bCs/>
          <w:szCs w:val="20"/>
        </w:rPr>
      </w:pPr>
      <w:r>
        <w:rPr>
          <w:rFonts w:ascii="Times New Roman" w:hAnsi="Times New Roman"/>
          <w:position w:val="-8"/>
        </w:rPr>
        <w:object>
          <v:shape id="_x0000_i1032" o:spt="75" type="#_x0000_t75" style="height:14.2pt;width:9.8pt;" o:ole="t" filled="f" o:preferrelative="t" stroked="f" coordsize="21600,21600">
            <v:path/>
            <v:fill on="f" focussize="0,0"/>
            <v:stroke on="f" joinstyle="miter"/>
            <v:imagedata r:id="rId50" o:title=""/>
            <o:lock v:ext="edit" aspectratio="t"/>
            <w10:wrap type="none"/>
            <w10:anchorlock/>
          </v:shape>
          <o:OLEObject Type="Embed" ProgID="Equation.3" ShapeID="_x0000_i1032" DrawAspect="Content" ObjectID="_1468075736" r:id="rId49">
            <o:LockedField>false</o:LockedField>
          </o:OLEObject>
        </w:object>
      </w:r>
      <w:r>
        <w:rPr>
          <w:rFonts w:ascii="Times New Roman" w:hAnsi="Times New Roman"/>
          <w:bCs/>
          <w:szCs w:val="20"/>
        </w:rPr>
        <w:t>——常数，宜通过标定得出。</w:t>
      </w:r>
    </w:p>
    <w:p>
      <w:pPr>
        <w:tabs>
          <w:tab w:val="left" w:pos="6020"/>
        </w:tabs>
        <w:spacing w:line="360" w:lineRule="auto"/>
        <w:rPr>
          <w:rFonts w:ascii="Times New Roman" w:hAnsi="Times New Roman"/>
          <w:bCs/>
          <w:szCs w:val="20"/>
        </w:rPr>
      </w:pPr>
      <w:r>
        <w:rPr>
          <w:rFonts w:hint="eastAsia" w:ascii="黑体" w:hAnsi="黑体" w:eastAsia="黑体" w:cs="黑体"/>
        </w:rPr>
        <w:t>D.1.6</w:t>
      </w:r>
      <w:r>
        <w:rPr>
          <w:rFonts w:ascii="Times New Roman" w:hAnsi="Times New Roman"/>
          <w:b/>
          <w:bCs/>
          <w:szCs w:val="20"/>
        </w:rPr>
        <w:t xml:space="preserve">  </w:t>
      </w:r>
      <w:r>
        <w:rPr>
          <w:rFonts w:ascii="Times New Roman" w:hAnsi="Times New Roman"/>
          <w:bCs/>
          <w:szCs w:val="20"/>
        </w:rPr>
        <w:t>检测结果应按下列规定进行校核：</w:t>
      </w:r>
    </w:p>
    <w:p>
      <w:pPr>
        <w:tabs>
          <w:tab w:val="left" w:pos="738"/>
        </w:tabs>
        <w:spacing w:line="360" w:lineRule="auto"/>
        <w:ind w:firstLine="411" w:firstLineChars="196"/>
        <w:rPr>
          <w:rFonts w:ascii="Times New Roman" w:hAnsi="Times New Roman"/>
          <w:bCs/>
          <w:szCs w:val="20"/>
        </w:rPr>
      </w:pPr>
      <w:r>
        <w:rPr>
          <w:rFonts w:hint="eastAsia" w:ascii="黑体" w:hAnsi="黑体" w:eastAsia="黑体" w:cs="黑体"/>
        </w:rPr>
        <w:t xml:space="preserve">1 </w:t>
      </w:r>
      <w:r>
        <w:rPr>
          <w:rFonts w:ascii="Times New Roman" w:hAnsi="Times New Roman"/>
          <w:bCs/>
          <w:szCs w:val="20"/>
        </w:rPr>
        <w:t xml:space="preserve"> 裂缝深度检测结果</w:t>
      </w:r>
      <w:r>
        <w:rPr>
          <w:rFonts w:ascii="Times New Roman" w:hAnsi="Times New Roman"/>
          <w:bCs/>
          <w:i/>
          <w:szCs w:val="20"/>
        </w:rPr>
        <w:t>h</w:t>
      </w:r>
      <w:r>
        <w:rPr>
          <w:rFonts w:ascii="Times New Roman" w:hAnsi="Times New Roman"/>
          <w:bCs/>
          <w:szCs w:val="20"/>
        </w:rPr>
        <w:t>不应大于1.3倍面波波长</w:t>
      </w:r>
      <w:r>
        <w:rPr>
          <w:rFonts w:ascii="Times New Roman" w:hAnsi="Times New Roman"/>
          <w:bCs/>
          <w:i/>
          <w:szCs w:val="20"/>
        </w:rPr>
        <w:t>λ</w:t>
      </w:r>
      <w:r>
        <w:rPr>
          <w:rFonts w:ascii="Times New Roman" w:hAnsi="Times New Roman"/>
          <w:bCs/>
          <w:szCs w:val="20"/>
        </w:rPr>
        <w:t>，否则应更换击振钢球的大小重复测试；</w:t>
      </w:r>
    </w:p>
    <w:p>
      <w:pPr>
        <w:tabs>
          <w:tab w:val="left" w:pos="738"/>
        </w:tabs>
        <w:spacing w:line="360" w:lineRule="auto"/>
        <w:ind w:firstLine="411" w:firstLineChars="196"/>
        <w:rPr>
          <w:rFonts w:ascii="Times New Roman" w:hAnsi="Times New Roman"/>
          <w:bCs/>
          <w:szCs w:val="20"/>
        </w:rPr>
      </w:pPr>
      <w:r>
        <w:rPr>
          <w:rFonts w:hint="eastAsia" w:ascii="黑体" w:hAnsi="黑体" w:eastAsia="黑体" w:cs="黑体"/>
        </w:rPr>
        <w:t xml:space="preserve">2 </w:t>
      </w:r>
      <w:r>
        <w:rPr>
          <w:rFonts w:ascii="Times New Roman" w:hAnsi="Times New Roman"/>
          <w:bCs/>
          <w:szCs w:val="20"/>
        </w:rPr>
        <w:t xml:space="preserve"> 当</w:t>
      </w:r>
      <w:r>
        <w:rPr>
          <w:rFonts w:ascii="Times New Roman" w:hAnsi="Times New Roman"/>
          <w:bCs/>
          <w:i/>
          <w:szCs w:val="20"/>
        </w:rPr>
        <w:t>h</w:t>
      </w:r>
      <w:r>
        <w:rPr>
          <w:rFonts w:ascii="Times New Roman" w:hAnsi="Times New Roman"/>
          <w:bCs/>
          <w:szCs w:val="20"/>
        </w:rPr>
        <w:t>满足上述要求时，应按</w:t>
      </w:r>
      <w:r>
        <w:rPr>
          <w:rFonts w:hint="eastAsia" w:ascii="Times New Roman" w:hAnsi="Times New Roman"/>
          <w:bCs/>
          <w:szCs w:val="20"/>
        </w:rPr>
        <w:t>D.1</w:t>
      </w:r>
      <w:r>
        <w:rPr>
          <w:rFonts w:ascii="Times New Roman" w:hAnsi="Times New Roman"/>
          <w:bCs/>
          <w:szCs w:val="20"/>
        </w:rPr>
        <w:t>.</w:t>
      </w:r>
      <w:r>
        <w:rPr>
          <w:rFonts w:hint="eastAsia" w:ascii="Times New Roman" w:hAnsi="Times New Roman"/>
          <w:bCs/>
          <w:szCs w:val="20"/>
        </w:rPr>
        <w:t>7</w:t>
      </w:r>
      <w:r>
        <w:rPr>
          <w:rFonts w:ascii="Times New Roman" w:hAnsi="Times New Roman"/>
          <w:bCs/>
          <w:szCs w:val="20"/>
        </w:rPr>
        <w:t>条对面波波长</w:t>
      </w:r>
      <w:r>
        <w:rPr>
          <w:rFonts w:ascii="Times New Roman" w:hAnsi="Times New Roman"/>
          <w:bCs/>
          <w:i/>
          <w:szCs w:val="20"/>
        </w:rPr>
        <w:t>λ</w:t>
      </w:r>
      <w:r>
        <w:rPr>
          <w:rFonts w:ascii="Times New Roman" w:hAnsi="Times New Roman"/>
          <w:bCs/>
          <w:szCs w:val="20"/>
        </w:rPr>
        <w:t>进行复核，并按式（</w:t>
      </w:r>
      <w:r>
        <w:rPr>
          <w:rFonts w:hint="eastAsia" w:ascii="Times New Roman" w:hAnsi="Times New Roman"/>
          <w:bCs/>
          <w:szCs w:val="20"/>
        </w:rPr>
        <w:t>D.1</w:t>
      </w:r>
      <w:r>
        <w:rPr>
          <w:rFonts w:ascii="Times New Roman" w:hAnsi="Times New Roman"/>
          <w:bCs/>
          <w:szCs w:val="20"/>
        </w:rPr>
        <w:t>.</w:t>
      </w:r>
      <w:r>
        <w:rPr>
          <w:rFonts w:hint="eastAsia" w:ascii="Times New Roman" w:hAnsi="Times New Roman"/>
          <w:bCs/>
          <w:szCs w:val="20"/>
        </w:rPr>
        <w:t>5</w:t>
      </w:r>
      <w:r>
        <w:rPr>
          <w:rFonts w:ascii="Times New Roman" w:hAnsi="Times New Roman"/>
          <w:bCs/>
          <w:szCs w:val="20"/>
        </w:rPr>
        <w:t xml:space="preserve">-4）进行修正。 </w:t>
      </w:r>
    </w:p>
    <w:p>
      <w:pPr>
        <w:tabs>
          <w:tab w:val="left" w:pos="6020"/>
        </w:tabs>
        <w:spacing w:line="360" w:lineRule="auto"/>
        <w:rPr>
          <w:rFonts w:ascii="Times New Roman" w:hAnsi="Times New Roman"/>
          <w:b/>
          <w:bCs/>
          <w:szCs w:val="20"/>
        </w:rPr>
      </w:pPr>
      <w:r>
        <w:rPr>
          <w:rFonts w:hint="eastAsia" w:ascii="黑体" w:hAnsi="黑体" w:eastAsia="黑体" w:cs="黑体"/>
        </w:rPr>
        <w:t xml:space="preserve">D.1.7 </w:t>
      </w:r>
      <w:r>
        <w:rPr>
          <w:rFonts w:ascii="Times New Roman" w:hAnsi="Times New Roman"/>
          <w:b/>
          <w:bCs/>
          <w:szCs w:val="20"/>
        </w:rPr>
        <w:t xml:space="preserve"> </w:t>
      </w:r>
      <w:r>
        <w:rPr>
          <w:rFonts w:ascii="Times New Roman" w:hAnsi="Times New Roman"/>
          <w:bCs/>
          <w:szCs w:val="20"/>
        </w:rPr>
        <w:t>面波波长</w:t>
      </w:r>
      <w:r>
        <w:rPr>
          <w:rFonts w:ascii="Times New Roman" w:hAnsi="Times New Roman"/>
          <w:bCs/>
          <w:i/>
          <w:szCs w:val="20"/>
        </w:rPr>
        <w:t>λ</w:t>
      </w:r>
      <w:r>
        <w:rPr>
          <w:rFonts w:ascii="Times New Roman" w:hAnsi="Times New Roman"/>
          <w:bCs/>
          <w:szCs w:val="20"/>
        </w:rPr>
        <w:t>复核步骤应符合下列规定：</w:t>
      </w:r>
    </w:p>
    <w:p>
      <w:pPr>
        <w:tabs>
          <w:tab w:val="left" w:pos="738"/>
        </w:tabs>
        <w:spacing w:line="360" w:lineRule="auto"/>
        <w:ind w:firstLine="411" w:firstLineChars="196"/>
        <w:rPr>
          <w:rFonts w:ascii="Times New Roman" w:hAnsi="Times New Roman"/>
          <w:bCs/>
          <w:szCs w:val="20"/>
        </w:rPr>
      </w:pPr>
      <w:r>
        <w:rPr>
          <w:rFonts w:hint="eastAsia" w:ascii="黑体" w:hAnsi="黑体" w:eastAsia="黑体" w:cs="黑体"/>
        </w:rPr>
        <w:t xml:space="preserve">1 </w:t>
      </w:r>
      <w:r>
        <w:rPr>
          <w:rFonts w:ascii="Times New Roman" w:hAnsi="Times New Roman"/>
          <w:bCs/>
          <w:szCs w:val="20"/>
        </w:rPr>
        <w:t xml:space="preserve"> 选取与裂缝测线相近的、完整的混凝土结构。</w:t>
      </w:r>
    </w:p>
    <w:p>
      <w:pPr>
        <w:tabs>
          <w:tab w:val="left" w:pos="738"/>
        </w:tabs>
        <w:spacing w:line="360" w:lineRule="auto"/>
        <w:ind w:firstLine="411" w:firstLineChars="196"/>
        <w:rPr>
          <w:rFonts w:ascii="Times New Roman" w:hAnsi="Times New Roman"/>
          <w:bCs/>
          <w:szCs w:val="20"/>
        </w:rPr>
      </w:pPr>
      <w:r>
        <w:rPr>
          <w:rFonts w:hint="eastAsia" w:ascii="黑体" w:hAnsi="黑体" w:eastAsia="黑体" w:cs="黑体"/>
        </w:rPr>
        <w:t>2</w:t>
      </w:r>
      <w:r>
        <w:rPr>
          <w:rFonts w:ascii="Times New Roman" w:hAnsi="Times New Roman"/>
          <w:bCs/>
          <w:szCs w:val="20"/>
        </w:rPr>
        <w:t xml:space="preserve">  按照与裂缝深度测试相同的布点方式选取同样的冲击器。</w:t>
      </w:r>
    </w:p>
    <w:p>
      <w:pPr>
        <w:tabs>
          <w:tab w:val="left" w:pos="738"/>
        </w:tabs>
        <w:spacing w:line="360" w:lineRule="auto"/>
        <w:ind w:firstLine="411" w:firstLineChars="196"/>
        <w:rPr>
          <w:rFonts w:ascii="Times New Roman" w:hAnsi="Times New Roman"/>
          <w:bCs/>
          <w:szCs w:val="20"/>
        </w:rPr>
      </w:pPr>
      <w:r>
        <w:rPr>
          <w:rFonts w:hint="eastAsia" w:ascii="黑体" w:hAnsi="黑体" w:eastAsia="黑体" w:cs="黑体"/>
        </w:rPr>
        <w:t>3</w:t>
      </w:r>
      <w:r>
        <w:rPr>
          <w:rFonts w:ascii="Times New Roman" w:hAnsi="Times New Roman"/>
          <w:bCs/>
          <w:szCs w:val="20"/>
        </w:rPr>
        <w:t xml:space="preserve">  冲击产生的面波波速</w:t>
      </w:r>
      <w:r>
        <w:rPr>
          <w:rFonts w:ascii="Times New Roman" w:hAnsi="Times New Roman"/>
          <w:bCs/>
          <w:i/>
          <w:szCs w:val="20"/>
        </w:rPr>
        <w:t>C</w:t>
      </w:r>
      <w:r>
        <w:rPr>
          <w:rFonts w:ascii="Times New Roman" w:hAnsi="Times New Roman"/>
          <w:bCs/>
          <w:i/>
          <w:szCs w:val="20"/>
          <w:vertAlign w:val="subscript"/>
        </w:rPr>
        <w:t>R</w:t>
      </w:r>
      <w:r>
        <w:rPr>
          <w:rFonts w:ascii="Times New Roman" w:hAnsi="Times New Roman"/>
          <w:bCs/>
          <w:szCs w:val="20"/>
        </w:rPr>
        <w:t>应按式（</w:t>
      </w:r>
      <w:r>
        <w:rPr>
          <w:rFonts w:hint="eastAsia" w:ascii="Times New Roman" w:hAnsi="Times New Roman"/>
          <w:bCs/>
          <w:szCs w:val="20"/>
        </w:rPr>
        <w:t>D.1</w:t>
      </w:r>
      <w:r>
        <w:rPr>
          <w:rFonts w:ascii="Times New Roman" w:hAnsi="Times New Roman"/>
          <w:bCs/>
          <w:szCs w:val="20"/>
        </w:rPr>
        <w:t>.</w:t>
      </w:r>
      <w:r>
        <w:rPr>
          <w:rFonts w:hint="eastAsia" w:ascii="Times New Roman" w:hAnsi="Times New Roman"/>
          <w:bCs/>
          <w:szCs w:val="20"/>
        </w:rPr>
        <w:t>7</w:t>
      </w:r>
      <w:r>
        <w:rPr>
          <w:rFonts w:ascii="Times New Roman" w:hAnsi="Times New Roman"/>
          <w:bCs/>
          <w:szCs w:val="20"/>
        </w:rPr>
        <w:t>-1）进行计算：</w:t>
      </w:r>
    </w:p>
    <w:p>
      <w:pPr>
        <w:tabs>
          <w:tab w:val="left" w:pos="990"/>
        </w:tabs>
        <w:jc w:val="right"/>
        <w:rPr>
          <w:rFonts w:ascii="Times New Roman" w:hAnsi="Times New Roman"/>
          <w:bCs/>
          <w:szCs w:val="20"/>
        </w:rPr>
      </w:pPr>
      <w:r>
        <w:rPr>
          <w:rFonts w:ascii="Times New Roman" w:hAnsi="Times New Roman"/>
          <w:position w:val="-24"/>
        </w:rPr>
        <w:object>
          <v:shape id="_x0000_i1033" o:spt="75" type="#_x0000_t75" style="height:30pt;width:53.45pt;" o:ole="t" filled="f" o:preferrelative="t" stroked="f" coordsize="21600,21600">
            <v:path/>
            <v:fill on="f" focussize="0,0"/>
            <v:stroke on="f" joinstyle="miter"/>
            <v:imagedata r:id="rId52" o:title=""/>
            <o:lock v:ext="edit" aspectratio="t"/>
            <w10:wrap type="none"/>
            <w10:anchorlock/>
          </v:shape>
          <o:OLEObject Type="Embed" ProgID="Equation.3" ShapeID="_x0000_i1033" DrawAspect="Content" ObjectID="_1468075737" r:id="rId51">
            <o:LockedField>false</o:LockedField>
          </o:OLEObject>
        </w:object>
      </w:r>
      <w:r>
        <w:rPr>
          <w:rFonts w:ascii="Times New Roman" w:hAnsi="Times New Roman"/>
          <w:bCs/>
          <w:szCs w:val="20"/>
        </w:rPr>
        <w:t xml:space="preserve">                          （</w:t>
      </w:r>
      <w:r>
        <w:rPr>
          <w:rFonts w:hint="eastAsia" w:ascii="Times New Roman" w:hAnsi="Times New Roman"/>
          <w:bCs/>
          <w:szCs w:val="20"/>
        </w:rPr>
        <w:t>D.1</w:t>
      </w:r>
      <w:r>
        <w:rPr>
          <w:rFonts w:ascii="Times New Roman" w:hAnsi="Times New Roman"/>
          <w:bCs/>
          <w:szCs w:val="20"/>
        </w:rPr>
        <w:t>.</w:t>
      </w:r>
      <w:r>
        <w:rPr>
          <w:rFonts w:hint="eastAsia" w:ascii="Times New Roman" w:hAnsi="Times New Roman"/>
          <w:bCs/>
          <w:szCs w:val="20"/>
        </w:rPr>
        <w:t>7</w:t>
      </w:r>
      <w:r>
        <w:rPr>
          <w:rFonts w:ascii="Times New Roman" w:hAnsi="Times New Roman"/>
          <w:bCs/>
          <w:szCs w:val="20"/>
        </w:rPr>
        <w:t>-1）</w:t>
      </w:r>
    </w:p>
    <w:p>
      <w:pPr>
        <w:tabs>
          <w:tab w:val="left" w:pos="6020"/>
        </w:tabs>
        <w:rPr>
          <w:rFonts w:ascii="Times New Roman" w:hAnsi="Times New Roman"/>
          <w:bCs/>
          <w:szCs w:val="20"/>
        </w:rPr>
      </w:pPr>
      <w:r>
        <w:rPr>
          <w:rFonts w:ascii="Times New Roman" w:hAnsi="Times New Roman"/>
          <w:bCs/>
          <w:szCs w:val="20"/>
        </w:rPr>
        <w:t xml:space="preserve">式中  </w:t>
      </w:r>
      <w:r>
        <w:rPr>
          <w:rFonts w:ascii="Times New Roman" w:hAnsi="Times New Roman"/>
          <w:bCs/>
          <w:i/>
          <w:szCs w:val="20"/>
        </w:rPr>
        <w:t>t</w:t>
      </w:r>
      <w:r>
        <w:rPr>
          <w:rFonts w:ascii="Times New Roman" w:hAnsi="Times New Roman"/>
          <w:bCs/>
          <w:szCs w:val="20"/>
          <w:vertAlign w:val="subscript"/>
        </w:rPr>
        <w:t>1</w:t>
      </w:r>
      <w:r>
        <w:rPr>
          <w:rFonts w:ascii="Times New Roman" w:hAnsi="Times New Roman"/>
          <w:bCs/>
          <w:szCs w:val="20"/>
        </w:rPr>
        <w:t>——面波到达传感器1的时间；</w:t>
      </w:r>
    </w:p>
    <w:p>
      <w:pPr>
        <w:tabs>
          <w:tab w:val="left" w:pos="6020"/>
        </w:tabs>
        <w:ind w:firstLine="630" w:firstLineChars="300"/>
        <w:rPr>
          <w:rFonts w:ascii="Times New Roman" w:hAnsi="Times New Roman"/>
          <w:bCs/>
          <w:szCs w:val="20"/>
        </w:rPr>
      </w:pPr>
      <w:r>
        <w:rPr>
          <w:rFonts w:ascii="Times New Roman" w:hAnsi="Times New Roman"/>
          <w:bCs/>
          <w:i/>
          <w:szCs w:val="20"/>
        </w:rPr>
        <w:t>t</w:t>
      </w:r>
      <w:r>
        <w:rPr>
          <w:rFonts w:ascii="Times New Roman" w:hAnsi="Times New Roman"/>
          <w:bCs/>
          <w:szCs w:val="20"/>
          <w:vertAlign w:val="subscript"/>
        </w:rPr>
        <w:t>2</w:t>
      </w:r>
      <w:r>
        <w:rPr>
          <w:rFonts w:ascii="Times New Roman" w:hAnsi="Times New Roman"/>
          <w:bCs/>
          <w:szCs w:val="20"/>
        </w:rPr>
        <w:t>——面波到达传感器2的时间；</w:t>
      </w:r>
    </w:p>
    <w:p>
      <w:pPr>
        <w:tabs>
          <w:tab w:val="left" w:pos="738"/>
        </w:tabs>
        <w:ind w:firstLine="411" w:firstLineChars="196"/>
        <w:rPr>
          <w:rFonts w:ascii="Times New Roman" w:hAnsi="Times New Roman"/>
          <w:bCs/>
          <w:szCs w:val="20"/>
        </w:rPr>
      </w:pPr>
      <w:r>
        <w:rPr>
          <w:rFonts w:hint="eastAsia" w:ascii="黑体" w:hAnsi="黑体" w:eastAsia="黑体" w:cs="黑体"/>
        </w:rPr>
        <w:t xml:space="preserve">4 </w:t>
      </w:r>
      <w:r>
        <w:rPr>
          <w:rFonts w:ascii="Times New Roman" w:hAnsi="Times New Roman"/>
          <w:bCs/>
          <w:szCs w:val="20"/>
        </w:rPr>
        <w:t xml:space="preserve"> 面波的波长应按式（</w:t>
      </w:r>
      <w:r>
        <w:rPr>
          <w:rFonts w:hint="eastAsia" w:ascii="Times New Roman" w:hAnsi="Times New Roman"/>
          <w:bCs/>
          <w:szCs w:val="20"/>
        </w:rPr>
        <w:t>D.2</w:t>
      </w:r>
      <w:r>
        <w:rPr>
          <w:rFonts w:ascii="Times New Roman" w:hAnsi="Times New Roman"/>
          <w:bCs/>
          <w:szCs w:val="20"/>
        </w:rPr>
        <w:t>.6-2）计算：</w:t>
      </w:r>
    </w:p>
    <w:p>
      <w:pPr>
        <w:tabs>
          <w:tab w:val="left" w:pos="990"/>
        </w:tabs>
        <w:jc w:val="right"/>
        <w:rPr>
          <w:rFonts w:ascii="Times New Roman" w:hAnsi="Times New Roman"/>
          <w:bCs/>
          <w:szCs w:val="20"/>
        </w:rPr>
      </w:pPr>
      <w:r>
        <w:rPr>
          <w:rFonts w:ascii="Times New Roman" w:hAnsi="Times New Roman"/>
          <w:position w:val="-24"/>
        </w:rPr>
        <w:object>
          <v:shape id="_x0000_i1034" o:spt="75" type="#_x0000_t75" style="height:30pt;width:35.45pt;" o:ole="t" filled="f" o:preferrelative="t" stroked="f" coordsize="21600,21600">
            <v:path/>
            <v:fill on="f" focussize="0,0"/>
            <v:stroke on="f" joinstyle="miter"/>
            <v:imagedata r:id="rId54" o:title=""/>
            <o:lock v:ext="edit" aspectratio="t"/>
            <w10:wrap type="none"/>
            <w10:anchorlock/>
          </v:shape>
          <o:OLEObject Type="Embed" ProgID="Equation.3" ShapeID="_x0000_i1034" DrawAspect="Content" ObjectID="_1468075738" r:id="rId53">
            <o:LockedField>false</o:LockedField>
          </o:OLEObject>
        </w:object>
      </w:r>
      <w:r>
        <w:rPr>
          <w:rFonts w:ascii="Times New Roman" w:hAnsi="Times New Roman"/>
          <w:bCs/>
          <w:szCs w:val="20"/>
        </w:rPr>
        <w:t xml:space="preserve">                            （</w:t>
      </w:r>
      <w:r>
        <w:rPr>
          <w:rFonts w:hint="eastAsia" w:ascii="Times New Roman" w:hAnsi="Times New Roman"/>
          <w:bCs/>
          <w:szCs w:val="20"/>
        </w:rPr>
        <w:t>D.1</w:t>
      </w:r>
      <w:r>
        <w:rPr>
          <w:rFonts w:ascii="Times New Roman" w:hAnsi="Times New Roman"/>
          <w:bCs/>
          <w:szCs w:val="20"/>
        </w:rPr>
        <w:t>.</w:t>
      </w:r>
      <w:r>
        <w:rPr>
          <w:rFonts w:hint="eastAsia" w:ascii="Times New Roman" w:hAnsi="Times New Roman"/>
          <w:bCs/>
          <w:szCs w:val="20"/>
        </w:rPr>
        <w:t>7</w:t>
      </w:r>
      <w:r>
        <w:rPr>
          <w:rFonts w:ascii="Times New Roman" w:hAnsi="Times New Roman"/>
          <w:bCs/>
          <w:szCs w:val="20"/>
        </w:rPr>
        <w:t>-2）</w:t>
      </w:r>
    </w:p>
    <w:p>
      <w:pPr>
        <w:tabs>
          <w:tab w:val="left" w:pos="6020"/>
        </w:tabs>
        <w:spacing w:line="360" w:lineRule="auto"/>
      </w:pPr>
      <w:r>
        <w:rPr>
          <w:rFonts w:ascii="Times New Roman" w:hAnsi="Times New Roman"/>
          <w:bCs/>
          <w:szCs w:val="20"/>
        </w:rPr>
        <w:t xml:space="preserve">式中  </w:t>
      </w:r>
      <w:r>
        <w:rPr>
          <w:rFonts w:ascii="Times New Roman" w:hAnsi="Times New Roman"/>
          <w:bCs/>
          <w:i/>
          <w:szCs w:val="20"/>
        </w:rPr>
        <w:t>f</w:t>
      </w:r>
      <w:r>
        <w:rPr>
          <w:rFonts w:ascii="Times New Roman" w:hAnsi="Times New Roman"/>
          <w:bCs/>
          <w:szCs w:val="20"/>
          <w:vertAlign w:val="subscript"/>
        </w:rPr>
        <w:t>1</w:t>
      </w:r>
      <w:r>
        <w:rPr>
          <w:rFonts w:ascii="Times New Roman" w:hAnsi="Times New Roman"/>
          <w:bCs/>
          <w:szCs w:val="20"/>
        </w:rPr>
        <w:t>——在裂缝测试时传感器1测试面波的卓越频率，可通过快速傅立叶变换（FFT）得到。</w:t>
      </w:r>
    </w:p>
    <w:p>
      <w:pPr>
        <w:pStyle w:val="3"/>
        <w:snapToGrid w:val="0"/>
        <w:spacing w:beforeLines="50" w:afterLines="50" w:line="360" w:lineRule="auto"/>
        <w:jc w:val="center"/>
        <w:rPr>
          <w:rFonts w:ascii="黑体" w:hAnsi="黑体" w:cs="黑体"/>
          <w:sz w:val="24"/>
          <w:szCs w:val="24"/>
        </w:rPr>
      </w:pPr>
      <w:bookmarkStart w:id="170" w:name="_Toc32061"/>
      <w:bookmarkStart w:id="171" w:name="_Toc30192"/>
      <w:bookmarkStart w:id="172" w:name="_Toc9095"/>
      <w:bookmarkStart w:id="173" w:name="_Toc30980"/>
      <w:bookmarkStart w:id="174" w:name="_Toc10704"/>
      <w:r>
        <w:rPr>
          <w:rFonts w:ascii="黑体" w:hAnsi="黑体" w:cs="黑体"/>
          <w:sz w:val="24"/>
          <w:szCs w:val="24"/>
        </w:rPr>
        <w:t>D.2  混凝土结构浅层缺陷检测</w:t>
      </w:r>
      <w:bookmarkEnd w:id="170"/>
      <w:bookmarkEnd w:id="171"/>
      <w:bookmarkEnd w:id="172"/>
      <w:bookmarkEnd w:id="173"/>
      <w:bookmarkEnd w:id="174"/>
    </w:p>
    <w:p>
      <w:pPr>
        <w:tabs>
          <w:tab w:val="left" w:pos="6020"/>
        </w:tabs>
        <w:spacing w:line="360" w:lineRule="auto"/>
        <w:rPr>
          <w:rFonts w:ascii="Times New Roman" w:hAnsi="Times New Roman"/>
          <w:bCs/>
          <w:color w:val="FF0000"/>
          <w:szCs w:val="20"/>
        </w:rPr>
      </w:pPr>
      <w:r>
        <w:rPr>
          <w:rFonts w:hint="eastAsia" w:ascii="黑体" w:hAnsi="黑体" w:eastAsia="黑体" w:cs="黑体"/>
        </w:rPr>
        <w:t xml:space="preserve">D.2.1 </w:t>
      </w:r>
      <w:r>
        <w:rPr>
          <w:rFonts w:ascii="Times New Roman" w:hAnsi="Times New Roman"/>
          <w:bCs/>
          <w:szCs w:val="20"/>
        </w:rPr>
        <w:t xml:space="preserve"> 本方法适用于仅具备单面测试条件混凝土结构的浅层缺陷检测。</w:t>
      </w:r>
    </w:p>
    <w:p>
      <w:pPr>
        <w:tabs>
          <w:tab w:val="left" w:pos="6020"/>
        </w:tabs>
        <w:spacing w:line="360" w:lineRule="auto"/>
        <w:rPr>
          <w:rFonts w:ascii="Times New Roman" w:hAnsi="Times New Roman"/>
          <w:b/>
          <w:bCs/>
          <w:szCs w:val="20"/>
        </w:rPr>
      </w:pPr>
      <w:r>
        <w:rPr>
          <w:rFonts w:hint="eastAsia" w:ascii="黑体" w:hAnsi="黑体" w:eastAsia="黑体" w:cs="黑体"/>
        </w:rPr>
        <w:t xml:space="preserve">D.2.2 </w:t>
      </w:r>
      <w:r>
        <w:rPr>
          <w:rFonts w:ascii="Times New Roman" w:hAnsi="Times New Roman"/>
          <w:b/>
          <w:bCs/>
          <w:szCs w:val="20"/>
        </w:rPr>
        <w:t xml:space="preserve"> </w:t>
      </w:r>
      <w:r>
        <w:rPr>
          <w:rFonts w:ascii="Times New Roman" w:hAnsi="Times New Roman"/>
          <w:bCs/>
          <w:szCs w:val="20"/>
        </w:rPr>
        <w:t>主要检测仪器及技术要求应符合第</w:t>
      </w:r>
      <w:r>
        <w:rPr>
          <w:rFonts w:hint="eastAsia" w:ascii="Times New Roman" w:hAnsi="Times New Roman"/>
          <w:bCs/>
          <w:szCs w:val="20"/>
        </w:rPr>
        <w:t>D</w:t>
      </w:r>
      <w:r>
        <w:rPr>
          <w:rFonts w:ascii="Times New Roman" w:hAnsi="Times New Roman"/>
          <w:bCs/>
          <w:szCs w:val="20"/>
        </w:rPr>
        <w:t>.</w:t>
      </w:r>
      <w:r>
        <w:rPr>
          <w:rFonts w:hint="eastAsia" w:ascii="Times New Roman" w:hAnsi="Times New Roman"/>
          <w:bCs/>
          <w:szCs w:val="20"/>
        </w:rPr>
        <w:t>1</w:t>
      </w:r>
      <w:r>
        <w:rPr>
          <w:rFonts w:ascii="Times New Roman" w:hAnsi="Times New Roman"/>
          <w:bCs/>
          <w:szCs w:val="20"/>
        </w:rPr>
        <w:t>.2条、第</w:t>
      </w:r>
      <w:r>
        <w:rPr>
          <w:rFonts w:hint="eastAsia" w:ascii="Times New Roman" w:hAnsi="Times New Roman"/>
          <w:bCs/>
          <w:szCs w:val="20"/>
        </w:rPr>
        <w:t>D</w:t>
      </w:r>
      <w:r>
        <w:rPr>
          <w:rFonts w:ascii="Times New Roman" w:hAnsi="Times New Roman"/>
          <w:bCs/>
          <w:szCs w:val="20"/>
        </w:rPr>
        <w:t>.</w:t>
      </w:r>
      <w:r>
        <w:rPr>
          <w:rFonts w:hint="eastAsia" w:ascii="Times New Roman" w:hAnsi="Times New Roman"/>
          <w:bCs/>
          <w:szCs w:val="20"/>
        </w:rPr>
        <w:t>1</w:t>
      </w:r>
      <w:r>
        <w:rPr>
          <w:rFonts w:ascii="Times New Roman" w:hAnsi="Times New Roman"/>
          <w:bCs/>
          <w:szCs w:val="20"/>
        </w:rPr>
        <w:t>.3条规定。</w:t>
      </w:r>
    </w:p>
    <w:p>
      <w:pPr>
        <w:tabs>
          <w:tab w:val="left" w:pos="6020"/>
        </w:tabs>
        <w:spacing w:line="360" w:lineRule="auto"/>
        <w:rPr>
          <w:rFonts w:ascii="Times New Roman" w:hAnsi="Times New Roman"/>
          <w:bCs/>
          <w:szCs w:val="20"/>
        </w:rPr>
      </w:pPr>
      <w:r>
        <w:rPr>
          <w:rFonts w:hint="eastAsia" w:ascii="黑体" w:hAnsi="黑体" w:eastAsia="黑体" w:cs="黑体"/>
        </w:rPr>
        <w:t xml:space="preserve">D.2.3 </w:t>
      </w:r>
      <w:r>
        <w:rPr>
          <w:rFonts w:ascii="Times New Roman" w:hAnsi="Times New Roman"/>
          <w:bCs/>
          <w:szCs w:val="20"/>
        </w:rPr>
        <w:t xml:space="preserve"> 组成测试系统的精度要求应满足厚度测量相对误差不超过5%。</w:t>
      </w:r>
    </w:p>
    <w:p>
      <w:pPr>
        <w:tabs>
          <w:tab w:val="left" w:pos="6020"/>
        </w:tabs>
        <w:spacing w:line="360" w:lineRule="auto"/>
        <w:rPr>
          <w:rFonts w:ascii="Times New Roman" w:hAnsi="Times New Roman"/>
        </w:rPr>
      </w:pPr>
      <w:r>
        <w:rPr>
          <w:rFonts w:hint="eastAsia" w:ascii="黑体" w:hAnsi="黑体" w:eastAsia="黑体" w:cs="黑体"/>
        </w:rPr>
        <w:t xml:space="preserve">D.2.4 </w:t>
      </w:r>
      <w:r>
        <w:rPr>
          <w:rFonts w:ascii="Times New Roman" w:hAnsi="Times New Roman"/>
          <w:b/>
          <w:bCs/>
          <w:szCs w:val="20"/>
        </w:rPr>
        <w:t xml:space="preserve"> </w:t>
      </w:r>
      <w:r>
        <w:rPr>
          <w:rFonts w:ascii="Times New Roman" w:hAnsi="Times New Roman"/>
          <w:bCs/>
          <w:szCs w:val="20"/>
        </w:rPr>
        <w:t>应先进行被检测混凝土结构无缺陷部位的P波波速测试，其波速值作为缺陷深度计算的基本参数。</w:t>
      </w:r>
    </w:p>
    <w:p>
      <w:pPr>
        <w:tabs>
          <w:tab w:val="left" w:pos="6020"/>
        </w:tabs>
        <w:spacing w:line="360" w:lineRule="auto"/>
        <w:rPr>
          <w:rFonts w:ascii="Times New Roman" w:hAnsi="Times New Roman"/>
          <w:bCs/>
          <w:szCs w:val="20"/>
        </w:rPr>
      </w:pPr>
      <w:r>
        <w:rPr>
          <w:rFonts w:hint="eastAsia" w:ascii="黑体" w:hAnsi="黑体" w:eastAsia="黑体" w:cs="黑体"/>
        </w:rPr>
        <w:t xml:space="preserve">D.2.5 </w:t>
      </w:r>
      <w:r>
        <w:rPr>
          <w:rFonts w:ascii="Times New Roman" w:hAnsi="Times New Roman"/>
          <w:bCs/>
          <w:szCs w:val="20"/>
        </w:rPr>
        <w:t xml:space="preserve"> P波波速测试应符合下列要求：</w:t>
      </w:r>
    </w:p>
    <w:p>
      <w:pPr>
        <w:tabs>
          <w:tab w:val="left" w:pos="682"/>
          <w:tab w:val="left" w:pos="728"/>
          <w:tab w:val="left" w:pos="6020"/>
        </w:tabs>
        <w:spacing w:line="360" w:lineRule="auto"/>
        <w:ind w:firstLine="420" w:firstLineChars="200"/>
        <w:rPr>
          <w:rFonts w:ascii="Times New Roman" w:hAnsi="Times New Roman"/>
          <w:bCs/>
          <w:szCs w:val="20"/>
        </w:rPr>
      </w:pPr>
      <w:r>
        <w:rPr>
          <w:rFonts w:hint="eastAsia" w:ascii="黑体" w:hAnsi="黑体" w:eastAsia="黑体" w:cs="黑体"/>
        </w:rPr>
        <mc:AlternateContent>
          <mc:Choice Requires="wpc">
            <w:drawing>
              <wp:anchor distT="0" distB="0" distL="114300" distR="114300" simplePos="0" relativeHeight="251663360" behindDoc="0" locked="0" layoutInCell="1" allowOverlap="1">
                <wp:simplePos x="0" y="0"/>
                <wp:positionH relativeFrom="column">
                  <wp:posOffset>2333625</wp:posOffset>
                </wp:positionH>
                <wp:positionV relativeFrom="paragraph">
                  <wp:posOffset>11430</wp:posOffset>
                </wp:positionV>
                <wp:extent cx="2927985" cy="2391410"/>
                <wp:effectExtent l="0" t="0" r="0" b="0"/>
                <wp:wrapSquare wrapText="bothSides"/>
                <wp:docPr id="812" name="画布 15610"/>
                <wp:cNvGraphicFramePr/>
                <a:graphic xmlns:a="http://schemas.openxmlformats.org/drawingml/2006/main">
                  <a:graphicData uri="http://schemas.microsoft.com/office/word/2010/wordprocessingCanvas">
                    <wpc:wpc>
                      <wpc:bg>
                        <a:noFill/>
                      </wpc:bg>
                      <wpc:whole>
                        <a:ln>
                          <a:noFill/>
                        </a:ln>
                      </wpc:whole>
                      <wpg:wgp>
                        <wpg:cNvPr id="1251" name="组合 15521"/>
                        <wpg:cNvGrpSpPr/>
                        <wpg:grpSpPr>
                          <a:xfrm>
                            <a:off x="510884" y="183202"/>
                            <a:ext cx="2135430" cy="1525373"/>
                            <a:chOff x="663451" y="237371"/>
                            <a:chExt cx="3995367" cy="2857744"/>
                          </a:xfrm>
                        </wpg:grpSpPr>
                        <wps:wsp>
                          <wps:cNvPr id="1252" name="直接连接符 15522"/>
                          <wps:cNvCnPr/>
                          <wps:spPr bwMode="auto">
                            <a:xfrm rot="-5400000">
                              <a:off x="2657867" y="-1750191"/>
                              <a:ext cx="0" cy="3988830"/>
                            </a:xfrm>
                            <a:prstGeom prst="line">
                              <a:avLst/>
                            </a:prstGeom>
                            <a:noFill/>
                            <a:ln w="9525" algn="ctr">
                              <a:solidFill>
                                <a:srgbClr val="000001"/>
                              </a:solidFill>
                              <a:round/>
                            </a:ln>
                          </wps:spPr>
                          <wps:bodyPr/>
                        </wps:wsp>
                        <wps:wsp>
                          <wps:cNvPr id="1253" name="直接连接符 15523"/>
                          <wps:cNvCnPr/>
                          <wps:spPr bwMode="auto">
                            <a:xfrm rot="-5400000">
                              <a:off x="2657866" y="-1180012"/>
                              <a:ext cx="0" cy="3988831"/>
                            </a:xfrm>
                            <a:prstGeom prst="line">
                              <a:avLst/>
                            </a:prstGeom>
                            <a:noFill/>
                            <a:ln w="9525" algn="ctr">
                              <a:solidFill>
                                <a:srgbClr val="000001"/>
                              </a:solidFill>
                              <a:prstDash val="sysDot"/>
                              <a:round/>
                            </a:ln>
                          </wps:spPr>
                          <wps:bodyPr/>
                        </wps:wsp>
                        <wps:wsp>
                          <wps:cNvPr id="1254" name="直接连接符 15524"/>
                          <wps:cNvCnPr/>
                          <wps:spPr bwMode="auto">
                            <a:xfrm rot="-5400000">
                              <a:off x="2657866" y="-609834"/>
                              <a:ext cx="0" cy="3988831"/>
                            </a:xfrm>
                            <a:prstGeom prst="line">
                              <a:avLst/>
                            </a:prstGeom>
                            <a:noFill/>
                            <a:ln w="9525" algn="ctr">
                              <a:solidFill>
                                <a:srgbClr val="000001"/>
                              </a:solidFill>
                              <a:prstDash val="sysDot"/>
                              <a:round/>
                            </a:ln>
                          </wps:spPr>
                          <wps:bodyPr/>
                        </wps:wsp>
                        <wps:wsp>
                          <wps:cNvPr id="1255" name="直接连接符 15525"/>
                          <wps:cNvCnPr/>
                          <wps:spPr bwMode="auto">
                            <a:xfrm rot="-5400000">
                              <a:off x="2657867" y="-39656"/>
                              <a:ext cx="0" cy="3988830"/>
                            </a:xfrm>
                            <a:prstGeom prst="line">
                              <a:avLst/>
                            </a:prstGeom>
                            <a:noFill/>
                            <a:ln w="9525" algn="ctr">
                              <a:solidFill>
                                <a:srgbClr val="000001"/>
                              </a:solidFill>
                              <a:prstDash val="sysDot"/>
                              <a:round/>
                            </a:ln>
                          </wps:spPr>
                          <wps:bodyPr/>
                        </wps:wsp>
                        <wps:wsp>
                          <wps:cNvPr id="1256" name="直接连接符 15526"/>
                          <wps:cNvCnPr/>
                          <wps:spPr bwMode="auto">
                            <a:xfrm rot="-5400000">
                              <a:off x="2657866" y="530522"/>
                              <a:ext cx="0" cy="3988831"/>
                            </a:xfrm>
                            <a:prstGeom prst="line">
                              <a:avLst/>
                            </a:prstGeom>
                            <a:noFill/>
                            <a:ln w="9525" algn="ctr">
                              <a:solidFill>
                                <a:srgbClr val="000001"/>
                              </a:solidFill>
                              <a:prstDash val="sysDot"/>
                              <a:round/>
                            </a:ln>
                          </wps:spPr>
                          <wps:bodyPr/>
                        </wps:wsp>
                        <wpg:grpSp>
                          <wpg:cNvPr id="1257" name="组合 15527"/>
                          <wpg:cNvGrpSpPr/>
                          <wpg:grpSpPr>
                            <a:xfrm>
                              <a:off x="663452" y="244224"/>
                              <a:ext cx="110459" cy="2849165"/>
                              <a:chOff x="628650" y="95250"/>
                              <a:chExt cx="153525" cy="3960000"/>
                            </a:xfrm>
                          </wpg:grpSpPr>
                          <wps:wsp>
                            <wps:cNvPr id="1258" name="直接连接符 15528"/>
                            <wps:cNvCnPr/>
                            <wps:spPr bwMode="auto">
                              <a:xfrm>
                                <a:off x="628650" y="95250"/>
                                <a:ext cx="0" cy="3960000"/>
                              </a:xfrm>
                              <a:prstGeom prst="line">
                                <a:avLst/>
                              </a:prstGeom>
                              <a:noFill/>
                              <a:ln w="9525" algn="ctr">
                                <a:solidFill>
                                  <a:srgbClr val="000001"/>
                                </a:solidFill>
                                <a:round/>
                              </a:ln>
                            </wps:spPr>
                            <wps:bodyPr/>
                          </wps:wsp>
                          <wpg:grpSp>
                            <wpg:cNvPr id="1259" name="组合 15529"/>
                            <wpg:cNvGrpSpPr/>
                            <wpg:grpSpPr>
                              <a:xfrm>
                                <a:off x="638175" y="244222"/>
                                <a:ext cx="144000" cy="3645407"/>
                                <a:chOff x="638175" y="244221"/>
                                <a:chExt cx="144000" cy="3645408"/>
                              </a:xfrm>
                            </wpg:grpSpPr>
                            <wpg:grpSp>
                              <wpg:cNvPr id="1260" name="组合 15530"/>
                              <wpg:cNvGrpSpPr/>
                              <wpg:grpSpPr>
                                <a:xfrm>
                                  <a:off x="638175" y="244221"/>
                                  <a:ext cx="144000" cy="475488"/>
                                  <a:chOff x="638175" y="244221"/>
                                  <a:chExt cx="144000" cy="475488"/>
                                </a:xfrm>
                              </wpg:grpSpPr>
                              <wps:wsp>
                                <wps:cNvPr id="1261" name="直接连接符 15531"/>
                                <wps:cNvCnPr/>
                                <wps:spPr bwMode="auto">
                                  <a:xfrm rot="-5400000">
                                    <a:off x="710175" y="172221"/>
                                    <a:ext cx="0" cy="144000"/>
                                  </a:xfrm>
                                  <a:prstGeom prst="line">
                                    <a:avLst/>
                                  </a:prstGeom>
                                  <a:noFill/>
                                  <a:ln w="9525" algn="ctr">
                                    <a:solidFill>
                                      <a:srgbClr val="000001"/>
                                    </a:solidFill>
                                    <a:round/>
                                  </a:ln>
                                </wps:spPr>
                                <wps:bodyPr/>
                              </wps:wsp>
                              <wps:wsp>
                                <wps:cNvPr id="1262" name="直接连接符 15532"/>
                                <wps:cNvCnPr/>
                                <wps:spPr bwMode="auto">
                                  <a:xfrm rot="-5400000">
                                    <a:off x="710175" y="330716"/>
                                    <a:ext cx="0" cy="144000"/>
                                  </a:xfrm>
                                  <a:prstGeom prst="line">
                                    <a:avLst/>
                                  </a:prstGeom>
                                  <a:noFill/>
                                  <a:ln w="9525" algn="ctr">
                                    <a:solidFill>
                                      <a:srgbClr val="000001"/>
                                    </a:solidFill>
                                    <a:round/>
                                  </a:ln>
                                </wps:spPr>
                                <wps:bodyPr/>
                              </wps:wsp>
                              <wps:wsp>
                                <wps:cNvPr id="1263" name="直接连接符 15533"/>
                                <wps:cNvCnPr/>
                                <wps:spPr bwMode="auto">
                                  <a:xfrm rot="-5400000">
                                    <a:off x="710175" y="489213"/>
                                    <a:ext cx="0" cy="144000"/>
                                  </a:xfrm>
                                  <a:prstGeom prst="line">
                                    <a:avLst/>
                                  </a:prstGeom>
                                  <a:noFill/>
                                  <a:ln w="9525" algn="ctr">
                                    <a:solidFill>
                                      <a:srgbClr val="000001"/>
                                    </a:solidFill>
                                    <a:round/>
                                  </a:ln>
                                </wps:spPr>
                                <wps:bodyPr/>
                              </wps:wsp>
                              <wps:wsp>
                                <wps:cNvPr id="1264" name="直接连接符 15534"/>
                                <wps:cNvCnPr/>
                                <wps:spPr bwMode="auto">
                                  <a:xfrm rot="-5400000">
                                    <a:off x="710175" y="647709"/>
                                    <a:ext cx="0" cy="144000"/>
                                  </a:xfrm>
                                  <a:prstGeom prst="line">
                                    <a:avLst/>
                                  </a:prstGeom>
                                  <a:noFill/>
                                  <a:ln w="9525" algn="ctr">
                                    <a:solidFill>
                                      <a:srgbClr val="000001"/>
                                    </a:solidFill>
                                    <a:round/>
                                  </a:ln>
                                </wps:spPr>
                                <wps:bodyPr/>
                              </wps:wsp>
                            </wpg:grpSp>
                            <wpg:grpSp>
                              <wpg:cNvPr id="1265" name="组合 15535"/>
                              <wpg:cNvGrpSpPr/>
                              <wpg:grpSpPr>
                                <a:xfrm>
                                  <a:off x="638175" y="1036701"/>
                                  <a:ext cx="144000" cy="475488"/>
                                  <a:chOff x="638175" y="1036701"/>
                                  <a:chExt cx="144000" cy="475488"/>
                                </a:xfrm>
                              </wpg:grpSpPr>
                              <wps:wsp>
                                <wps:cNvPr id="1266" name="直接连接符 15536"/>
                                <wps:cNvCnPr/>
                                <wps:spPr bwMode="auto">
                                  <a:xfrm rot="-5400000">
                                    <a:off x="710175" y="964701"/>
                                    <a:ext cx="0" cy="144000"/>
                                  </a:xfrm>
                                  <a:prstGeom prst="line">
                                    <a:avLst/>
                                  </a:prstGeom>
                                  <a:noFill/>
                                  <a:ln w="9525" algn="ctr">
                                    <a:solidFill>
                                      <a:srgbClr val="000001"/>
                                    </a:solidFill>
                                    <a:round/>
                                  </a:ln>
                                </wps:spPr>
                                <wps:bodyPr/>
                              </wps:wsp>
                              <wps:wsp>
                                <wps:cNvPr id="1267" name="直接连接符 15537"/>
                                <wps:cNvCnPr/>
                                <wps:spPr bwMode="auto">
                                  <a:xfrm rot="-5400000">
                                    <a:off x="710175" y="1123197"/>
                                    <a:ext cx="0" cy="144000"/>
                                  </a:xfrm>
                                  <a:prstGeom prst="line">
                                    <a:avLst/>
                                  </a:prstGeom>
                                  <a:noFill/>
                                  <a:ln w="9525" algn="ctr">
                                    <a:solidFill>
                                      <a:srgbClr val="000001"/>
                                    </a:solidFill>
                                    <a:round/>
                                  </a:ln>
                                </wps:spPr>
                                <wps:bodyPr/>
                              </wps:wsp>
                              <wps:wsp>
                                <wps:cNvPr id="1268" name="直接连接符 15538"/>
                                <wps:cNvCnPr/>
                                <wps:spPr bwMode="auto">
                                  <a:xfrm rot="-5400000">
                                    <a:off x="710175" y="1281693"/>
                                    <a:ext cx="0" cy="144000"/>
                                  </a:xfrm>
                                  <a:prstGeom prst="line">
                                    <a:avLst/>
                                  </a:prstGeom>
                                  <a:noFill/>
                                  <a:ln w="9525" algn="ctr">
                                    <a:solidFill>
                                      <a:srgbClr val="000001"/>
                                    </a:solidFill>
                                    <a:round/>
                                  </a:ln>
                                </wps:spPr>
                                <wps:bodyPr/>
                              </wps:wsp>
                              <wps:wsp>
                                <wps:cNvPr id="1269" name="直接连接符 15539"/>
                                <wps:cNvCnPr/>
                                <wps:spPr bwMode="auto">
                                  <a:xfrm rot="-5400000">
                                    <a:off x="710175" y="1440189"/>
                                    <a:ext cx="0" cy="144000"/>
                                  </a:xfrm>
                                  <a:prstGeom prst="line">
                                    <a:avLst/>
                                  </a:prstGeom>
                                  <a:noFill/>
                                  <a:ln w="9525" algn="ctr">
                                    <a:solidFill>
                                      <a:srgbClr val="000001"/>
                                    </a:solidFill>
                                    <a:round/>
                                  </a:ln>
                                </wps:spPr>
                                <wps:bodyPr/>
                              </wps:wsp>
                            </wpg:grpSp>
                            <wpg:grpSp>
                              <wpg:cNvPr id="1270" name="组合 15540"/>
                              <wpg:cNvGrpSpPr/>
                              <wpg:grpSpPr>
                                <a:xfrm>
                                  <a:off x="638175" y="2621661"/>
                                  <a:ext cx="144000" cy="475488"/>
                                  <a:chOff x="638175" y="2621661"/>
                                  <a:chExt cx="144000" cy="475488"/>
                                </a:xfrm>
                              </wpg:grpSpPr>
                              <wps:wsp>
                                <wps:cNvPr id="1271" name="直接连接符 15541"/>
                                <wps:cNvCnPr/>
                                <wps:spPr bwMode="auto">
                                  <a:xfrm rot="-5400000">
                                    <a:off x="710175" y="2549661"/>
                                    <a:ext cx="0" cy="144000"/>
                                  </a:xfrm>
                                  <a:prstGeom prst="line">
                                    <a:avLst/>
                                  </a:prstGeom>
                                  <a:noFill/>
                                  <a:ln w="9525" algn="ctr">
                                    <a:solidFill>
                                      <a:srgbClr val="000001"/>
                                    </a:solidFill>
                                    <a:round/>
                                  </a:ln>
                                </wps:spPr>
                                <wps:bodyPr/>
                              </wps:wsp>
                              <wps:wsp>
                                <wps:cNvPr id="1272" name="直接连接符 15542"/>
                                <wps:cNvCnPr/>
                                <wps:spPr bwMode="auto">
                                  <a:xfrm rot="-5400000">
                                    <a:off x="710175" y="2708156"/>
                                    <a:ext cx="0" cy="144000"/>
                                  </a:xfrm>
                                  <a:prstGeom prst="line">
                                    <a:avLst/>
                                  </a:prstGeom>
                                  <a:noFill/>
                                  <a:ln w="9525" algn="ctr">
                                    <a:solidFill>
                                      <a:srgbClr val="000001"/>
                                    </a:solidFill>
                                    <a:round/>
                                  </a:ln>
                                </wps:spPr>
                                <wps:bodyPr/>
                              </wps:wsp>
                              <wps:wsp>
                                <wps:cNvPr id="1273" name="直接连接符 15543"/>
                                <wps:cNvCnPr/>
                                <wps:spPr bwMode="auto">
                                  <a:xfrm rot="-5400000">
                                    <a:off x="710175" y="2866653"/>
                                    <a:ext cx="0" cy="144000"/>
                                  </a:xfrm>
                                  <a:prstGeom prst="line">
                                    <a:avLst/>
                                  </a:prstGeom>
                                  <a:noFill/>
                                  <a:ln w="9525" algn="ctr">
                                    <a:solidFill>
                                      <a:srgbClr val="000001"/>
                                    </a:solidFill>
                                    <a:round/>
                                  </a:ln>
                                </wps:spPr>
                                <wps:bodyPr/>
                              </wps:wsp>
                              <wps:wsp>
                                <wps:cNvPr id="1274" name="直接连接符 15544"/>
                                <wps:cNvCnPr/>
                                <wps:spPr bwMode="auto">
                                  <a:xfrm rot="-5400000">
                                    <a:off x="710175" y="3025149"/>
                                    <a:ext cx="0" cy="144000"/>
                                  </a:xfrm>
                                  <a:prstGeom prst="line">
                                    <a:avLst/>
                                  </a:prstGeom>
                                  <a:noFill/>
                                  <a:ln w="9525" algn="ctr">
                                    <a:solidFill>
                                      <a:srgbClr val="000001"/>
                                    </a:solidFill>
                                    <a:round/>
                                  </a:ln>
                                </wps:spPr>
                                <wps:bodyPr/>
                              </wps:wsp>
                            </wpg:grpSp>
                            <wpg:grpSp>
                              <wpg:cNvPr id="1275" name="组合 15545"/>
                              <wpg:cNvGrpSpPr/>
                              <wpg:grpSpPr>
                                <a:xfrm>
                                  <a:off x="638175" y="1829180"/>
                                  <a:ext cx="144000" cy="475488"/>
                                  <a:chOff x="638175" y="1829181"/>
                                  <a:chExt cx="144000" cy="475488"/>
                                </a:xfrm>
                              </wpg:grpSpPr>
                              <wps:wsp>
                                <wps:cNvPr id="1276" name="直接连接符 15546"/>
                                <wps:cNvCnPr/>
                                <wps:spPr bwMode="auto">
                                  <a:xfrm rot="-5400000">
                                    <a:off x="710175" y="1757181"/>
                                    <a:ext cx="0" cy="144000"/>
                                  </a:xfrm>
                                  <a:prstGeom prst="line">
                                    <a:avLst/>
                                  </a:prstGeom>
                                  <a:noFill/>
                                  <a:ln w="9525" algn="ctr">
                                    <a:solidFill>
                                      <a:srgbClr val="000001"/>
                                    </a:solidFill>
                                    <a:round/>
                                  </a:ln>
                                </wps:spPr>
                                <wps:bodyPr/>
                              </wps:wsp>
                              <wps:wsp>
                                <wps:cNvPr id="1277" name="直接连接符 15547"/>
                                <wps:cNvCnPr/>
                                <wps:spPr bwMode="auto">
                                  <a:xfrm rot="-5400000">
                                    <a:off x="710175" y="1915677"/>
                                    <a:ext cx="0" cy="144000"/>
                                  </a:xfrm>
                                  <a:prstGeom prst="line">
                                    <a:avLst/>
                                  </a:prstGeom>
                                  <a:noFill/>
                                  <a:ln w="9525" algn="ctr">
                                    <a:solidFill>
                                      <a:srgbClr val="000001"/>
                                    </a:solidFill>
                                    <a:round/>
                                  </a:ln>
                                </wps:spPr>
                                <wps:bodyPr/>
                              </wps:wsp>
                              <wps:wsp>
                                <wps:cNvPr id="1278" name="直接连接符 15548"/>
                                <wps:cNvCnPr/>
                                <wps:spPr bwMode="auto">
                                  <a:xfrm rot="-5400000">
                                    <a:off x="710175" y="2074174"/>
                                    <a:ext cx="0" cy="144000"/>
                                  </a:xfrm>
                                  <a:prstGeom prst="line">
                                    <a:avLst/>
                                  </a:prstGeom>
                                  <a:noFill/>
                                  <a:ln w="9525" algn="ctr">
                                    <a:solidFill>
                                      <a:srgbClr val="000001"/>
                                    </a:solidFill>
                                    <a:round/>
                                  </a:ln>
                                </wps:spPr>
                                <wps:bodyPr/>
                              </wps:wsp>
                              <wps:wsp>
                                <wps:cNvPr id="1279" name="直接连接符 15549"/>
                                <wps:cNvCnPr/>
                                <wps:spPr bwMode="auto">
                                  <a:xfrm rot="-5400000">
                                    <a:off x="710175" y="2232669"/>
                                    <a:ext cx="0" cy="144000"/>
                                  </a:xfrm>
                                  <a:prstGeom prst="line">
                                    <a:avLst/>
                                  </a:prstGeom>
                                  <a:noFill/>
                                  <a:ln w="9525" algn="ctr">
                                    <a:solidFill>
                                      <a:srgbClr val="000001"/>
                                    </a:solidFill>
                                    <a:round/>
                                  </a:ln>
                                </wps:spPr>
                                <wps:bodyPr/>
                              </wps:wsp>
                            </wpg:grpSp>
                            <wpg:grpSp>
                              <wpg:cNvPr id="992" name="组合 15550"/>
                              <wpg:cNvGrpSpPr/>
                              <wpg:grpSpPr>
                                <a:xfrm>
                                  <a:off x="638175" y="3414141"/>
                                  <a:ext cx="144000" cy="475488"/>
                                  <a:chOff x="638175" y="3414141"/>
                                  <a:chExt cx="144000" cy="475488"/>
                                </a:xfrm>
                              </wpg:grpSpPr>
                              <wps:wsp>
                                <wps:cNvPr id="993" name="直接连接符 15551"/>
                                <wps:cNvCnPr/>
                                <wps:spPr bwMode="auto">
                                  <a:xfrm rot="-5400000">
                                    <a:off x="710175" y="3342141"/>
                                    <a:ext cx="0" cy="144000"/>
                                  </a:xfrm>
                                  <a:prstGeom prst="line">
                                    <a:avLst/>
                                  </a:prstGeom>
                                  <a:noFill/>
                                  <a:ln w="9525" algn="ctr">
                                    <a:solidFill>
                                      <a:srgbClr val="000001"/>
                                    </a:solidFill>
                                    <a:round/>
                                  </a:ln>
                                </wps:spPr>
                                <wps:bodyPr/>
                              </wps:wsp>
                              <wps:wsp>
                                <wps:cNvPr id="994" name="直接连接符 15552"/>
                                <wps:cNvCnPr/>
                                <wps:spPr bwMode="auto">
                                  <a:xfrm rot="-5400000">
                                    <a:off x="710175" y="3500637"/>
                                    <a:ext cx="0" cy="144000"/>
                                  </a:xfrm>
                                  <a:prstGeom prst="line">
                                    <a:avLst/>
                                  </a:prstGeom>
                                  <a:noFill/>
                                  <a:ln w="9525" algn="ctr">
                                    <a:solidFill>
                                      <a:srgbClr val="000001"/>
                                    </a:solidFill>
                                    <a:round/>
                                  </a:ln>
                                </wps:spPr>
                                <wps:bodyPr/>
                              </wps:wsp>
                              <wps:wsp>
                                <wps:cNvPr id="995" name="直接连接符 15553"/>
                                <wps:cNvCnPr/>
                                <wps:spPr bwMode="auto">
                                  <a:xfrm rot="-5400000">
                                    <a:off x="710175" y="3659133"/>
                                    <a:ext cx="0" cy="144000"/>
                                  </a:xfrm>
                                  <a:prstGeom prst="line">
                                    <a:avLst/>
                                  </a:prstGeom>
                                  <a:noFill/>
                                  <a:ln w="9525" algn="ctr">
                                    <a:solidFill>
                                      <a:srgbClr val="000001"/>
                                    </a:solidFill>
                                    <a:round/>
                                  </a:ln>
                                </wps:spPr>
                                <wps:bodyPr/>
                              </wps:wsp>
                              <wps:wsp>
                                <wps:cNvPr id="996" name="直接连接符 15554"/>
                                <wps:cNvCnPr/>
                                <wps:spPr bwMode="auto">
                                  <a:xfrm rot="-5400000">
                                    <a:off x="710175" y="3817629"/>
                                    <a:ext cx="0" cy="144000"/>
                                  </a:xfrm>
                                  <a:prstGeom prst="line">
                                    <a:avLst/>
                                  </a:prstGeom>
                                  <a:noFill/>
                                  <a:ln w="9525" algn="ctr">
                                    <a:solidFill>
                                      <a:srgbClr val="000001"/>
                                    </a:solidFill>
                                    <a:round/>
                                  </a:ln>
                                </wps:spPr>
                                <wps:bodyPr/>
                              </wps:wsp>
                            </wpg:grpSp>
                          </wpg:grpSp>
                        </wpg:grpSp>
                        <wps:wsp>
                          <wps:cNvPr id="997" name="直接连接符 15555"/>
                          <wps:cNvCnPr/>
                          <wps:spPr bwMode="auto">
                            <a:xfrm>
                              <a:off x="4658812" y="237371"/>
                              <a:ext cx="0" cy="2849165"/>
                            </a:xfrm>
                            <a:prstGeom prst="line">
                              <a:avLst/>
                            </a:prstGeom>
                            <a:noFill/>
                            <a:ln w="9525" algn="ctr">
                              <a:solidFill>
                                <a:srgbClr val="000001"/>
                              </a:solidFill>
                              <a:round/>
                            </a:ln>
                          </wps:spPr>
                          <wps:bodyPr/>
                        </wps:wsp>
                        <wps:wsp>
                          <wps:cNvPr id="998" name="直接连接符 15556"/>
                          <wps:cNvCnPr/>
                          <wps:spPr bwMode="auto">
                            <a:xfrm>
                              <a:off x="3327025" y="237371"/>
                              <a:ext cx="0" cy="2849165"/>
                            </a:xfrm>
                            <a:prstGeom prst="line">
                              <a:avLst/>
                            </a:prstGeom>
                            <a:noFill/>
                            <a:ln w="9525" algn="ctr">
                              <a:solidFill>
                                <a:srgbClr val="000001"/>
                              </a:solidFill>
                              <a:prstDash val="sysDot"/>
                              <a:round/>
                            </a:ln>
                          </wps:spPr>
                          <wps:bodyPr/>
                        </wps:wsp>
                        <wps:wsp>
                          <wps:cNvPr id="999" name="直接连接符 15557"/>
                          <wps:cNvCnPr/>
                          <wps:spPr bwMode="auto">
                            <a:xfrm>
                              <a:off x="1995239" y="244224"/>
                              <a:ext cx="0" cy="2849165"/>
                            </a:xfrm>
                            <a:prstGeom prst="line">
                              <a:avLst/>
                            </a:prstGeom>
                            <a:noFill/>
                            <a:ln w="9525" algn="ctr">
                              <a:solidFill>
                                <a:srgbClr val="000001"/>
                              </a:solidFill>
                              <a:prstDash val="sysDot"/>
                              <a:round/>
                            </a:ln>
                          </wps:spPr>
                          <wps:bodyPr/>
                        </wps:wsp>
                        <wpg:grpSp>
                          <wpg:cNvPr id="1000" name="组合 15558"/>
                          <wpg:cNvGrpSpPr/>
                          <wpg:grpSpPr>
                            <a:xfrm>
                              <a:off x="663451" y="2988488"/>
                              <a:ext cx="3988831" cy="106627"/>
                              <a:chOff x="628649" y="3909450"/>
                              <a:chExt cx="5544000" cy="148199"/>
                            </a:xfrm>
                          </wpg:grpSpPr>
                          <wps:wsp>
                            <wps:cNvPr id="1001" name="直接连接符 15559"/>
                            <wps:cNvCnPr/>
                            <wps:spPr bwMode="auto">
                              <a:xfrm rot="-5400000">
                                <a:off x="3400649" y="1285649"/>
                                <a:ext cx="0" cy="5544000"/>
                              </a:xfrm>
                              <a:prstGeom prst="line">
                                <a:avLst/>
                              </a:prstGeom>
                              <a:noFill/>
                              <a:ln w="9525" algn="ctr">
                                <a:solidFill>
                                  <a:srgbClr val="000001"/>
                                </a:solidFill>
                                <a:round/>
                              </a:ln>
                            </wps:spPr>
                            <wps:bodyPr/>
                          </wps:wsp>
                          <wpg:grpSp>
                            <wpg:cNvPr id="1002" name="组合 15560"/>
                            <wpg:cNvGrpSpPr/>
                            <wpg:grpSpPr>
                              <a:xfrm>
                                <a:off x="813753" y="3909450"/>
                                <a:ext cx="5195569" cy="144000"/>
                                <a:chOff x="813753" y="3909450"/>
                                <a:chExt cx="5195569" cy="144000"/>
                              </a:xfrm>
                            </wpg:grpSpPr>
                            <wpg:grpSp>
                              <wpg:cNvPr id="1003" name="组合 15561"/>
                              <wpg:cNvGrpSpPr/>
                              <wpg:grpSpPr>
                                <a:xfrm>
                                  <a:off x="813753" y="3909450"/>
                                  <a:ext cx="1480819" cy="144000"/>
                                  <a:chOff x="813753" y="3909450"/>
                                  <a:chExt cx="1480819" cy="144000"/>
                                </a:xfrm>
                              </wpg:grpSpPr>
                              <wps:wsp>
                                <wps:cNvPr id="1004" name="直接连接符 15562"/>
                                <wps:cNvCnPr/>
                                <wps:spPr bwMode="auto">
                                  <a:xfrm rot="10800000">
                                    <a:off x="813753" y="3909450"/>
                                    <a:ext cx="0" cy="144000"/>
                                  </a:xfrm>
                                  <a:prstGeom prst="line">
                                    <a:avLst/>
                                  </a:prstGeom>
                                  <a:noFill/>
                                  <a:ln w="9525" algn="ctr">
                                    <a:solidFill>
                                      <a:srgbClr val="000001"/>
                                    </a:solidFill>
                                    <a:round/>
                                  </a:ln>
                                </wps:spPr>
                                <wps:bodyPr/>
                              </wps:wsp>
                              <wps:wsp>
                                <wps:cNvPr id="1005" name="直接连接符 15563"/>
                                <wps:cNvCnPr/>
                                <wps:spPr bwMode="auto">
                                  <a:xfrm rot="10800000">
                                    <a:off x="998856" y="3909450"/>
                                    <a:ext cx="0" cy="144000"/>
                                  </a:xfrm>
                                  <a:prstGeom prst="line">
                                    <a:avLst/>
                                  </a:prstGeom>
                                  <a:noFill/>
                                  <a:ln w="9525" algn="ctr">
                                    <a:solidFill>
                                      <a:srgbClr val="000001"/>
                                    </a:solidFill>
                                    <a:round/>
                                  </a:ln>
                                </wps:spPr>
                                <wps:bodyPr/>
                              </wps:wsp>
                              <wps:wsp>
                                <wps:cNvPr id="1007" name="直接连接符 15564"/>
                                <wps:cNvCnPr/>
                                <wps:spPr bwMode="auto">
                                  <a:xfrm rot="10800000">
                                    <a:off x="1183959" y="3909450"/>
                                    <a:ext cx="0" cy="144000"/>
                                  </a:xfrm>
                                  <a:prstGeom prst="line">
                                    <a:avLst/>
                                  </a:prstGeom>
                                  <a:noFill/>
                                  <a:ln w="9525" algn="ctr">
                                    <a:solidFill>
                                      <a:srgbClr val="000001"/>
                                    </a:solidFill>
                                    <a:round/>
                                  </a:ln>
                                </wps:spPr>
                                <wps:bodyPr/>
                              </wps:wsp>
                              <wps:wsp>
                                <wps:cNvPr id="1008" name="直接连接符 15565"/>
                                <wps:cNvCnPr/>
                                <wps:spPr bwMode="auto">
                                  <a:xfrm rot="10800000">
                                    <a:off x="1369062" y="3909450"/>
                                    <a:ext cx="0" cy="144000"/>
                                  </a:xfrm>
                                  <a:prstGeom prst="line">
                                    <a:avLst/>
                                  </a:prstGeom>
                                  <a:noFill/>
                                  <a:ln w="9525" algn="ctr">
                                    <a:solidFill>
                                      <a:srgbClr val="000001"/>
                                    </a:solidFill>
                                    <a:round/>
                                  </a:ln>
                                </wps:spPr>
                                <wps:bodyPr/>
                              </wps:wsp>
                              <wps:wsp>
                                <wps:cNvPr id="1009" name="直接连接符 15566"/>
                                <wps:cNvCnPr/>
                                <wps:spPr bwMode="auto">
                                  <a:xfrm rot="10800000">
                                    <a:off x="1554163" y="3909450"/>
                                    <a:ext cx="0" cy="144000"/>
                                  </a:xfrm>
                                  <a:prstGeom prst="line">
                                    <a:avLst/>
                                  </a:prstGeom>
                                  <a:noFill/>
                                  <a:ln w="9525" algn="ctr">
                                    <a:solidFill>
                                      <a:srgbClr val="000001"/>
                                    </a:solidFill>
                                    <a:round/>
                                  </a:ln>
                                </wps:spPr>
                                <wps:bodyPr/>
                              </wps:wsp>
                              <wps:wsp>
                                <wps:cNvPr id="1010" name="直接连接符 15567"/>
                                <wps:cNvCnPr/>
                                <wps:spPr bwMode="auto">
                                  <a:xfrm rot="10800000">
                                    <a:off x="1739266" y="3909450"/>
                                    <a:ext cx="0" cy="144000"/>
                                  </a:xfrm>
                                  <a:prstGeom prst="line">
                                    <a:avLst/>
                                  </a:prstGeom>
                                  <a:noFill/>
                                  <a:ln w="9525" algn="ctr">
                                    <a:solidFill>
                                      <a:srgbClr val="000001"/>
                                    </a:solidFill>
                                    <a:round/>
                                  </a:ln>
                                </wps:spPr>
                                <wps:bodyPr/>
                              </wps:wsp>
                              <wps:wsp>
                                <wps:cNvPr id="1011" name="直接连接符 15568"/>
                                <wps:cNvCnPr/>
                                <wps:spPr bwMode="auto">
                                  <a:xfrm rot="10800000">
                                    <a:off x="1924368" y="3909450"/>
                                    <a:ext cx="0" cy="144000"/>
                                  </a:xfrm>
                                  <a:prstGeom prst="line">
                                    <a:avLst/>
                                  </a:prstGeom>
                                  <a:noFill/>
                                  <a:ln w="9525" algn="ctr">
                                    <a:solidFill>
                                      <a:srgbClr val="000001"/>
                                    </a:solidFill>
                                    <a:round/>
                                  </a:ln>
                                </wps:spPr>
                                <wps:bodyPr/>
                              </wps:wsp>
                              <wps:wsp>
                                <wps:cNvPr id="1012" name="直接连接符 15569"/>
                                <wps:cNvCnPr/>
                                <wps:spPr bwMode="auto">
                                  <a:xfrm rot="10800000">
                                    <a:off x="2109469" y="3909450"/>
                                    <a:ext cx="0" cy="144000"/>
                                  </a:xfrm>
                                  <a:prstGeom prst="line">
                                    <a:avLst/>
                                  </a:prstGeom>
                                  <a:noFill/>
                                  <a:ln w="9525" algn="ctr">
                                    <a:solidFill>
                                      <a:srgbClr val="000001"/>
                                    </a:solidFill>
                                    <a:round/>
                                  </a:ln>
                                </wps:spPr>
                                <wps:bodyPr/>
                              </wps:wsp>
                              <wps:wsp>
                                <wps:cNvPr id="1013" name="直接连接符 15570"/>
                                <wps:cNvCnPr/>
                                <wps:spPr bwMode="auto">
                                  <a:xfrm rot="10800000">
                                    <a:off x="2294572" y="3909450"/>
                                    <a:ext cx="0" cy="144000"/>
                                  </a:xfrm>
                                  <a:prstGeom prst="line">
                                    <a:avLst/>
                                  </a:prstGeom>
                                  <a:noFill/>
                                  <a:ln w="9525" algn="ctr">
                                    <a:solidFill>
                                      <a:srgbClr val="000001"/>
                                    </a:solidFill>
                                    <a:round/>
                                  </a:ln>
                                </wps:spPr>
                                <wps:bodyPr/>
                              </wps:wsp>
                            </wpg:grpSp>
                            <wpg:grpSp>
                              <wpg:cNvPr id="1014" name="组合 15571"/>
                              <wpg:cNvGrpSpPr/>
                              <wpg:grpSpPr>
                                <a:xfrm>
                                  <a:off x="2671127" y="3909450"/>
                                  <a:ext cx="1480819" cy="144000"/>
                                  <a:chOff x="2671128" y="3909450"/>
                                  <a:chExt cx="1480819" cy="144000"/>
                                </a:xfrm>
                              </wpg:grpSpPr>
                              <wps:wsp>
                                <wps:cNvPr id="1015" name="直接连接符 15572"/>
                                <wps:cNvCnPr/>
                                <wps:spPr bwMode="auto">
                                  <a:xfrm rot="10800000">
                                    <a:off x="2671128" y="3909450"/>
                                    <a:ext cx="0" cy="144000"/>
                                  </a:xfrm>
                                  <a:prstGeom prst="line">
                                    <a:avLst/>
                                  </a:prstGeom>
                                  <a:noFill/>
                                  <a:ln w="9525" algn="ctr">
                                    <a:solidFill>
                                      <a:srgbClr val="000001"/>
                                    </a:solidFill>
                                    <a:round/>
                                  </a:ln>
                                </wps:spPr>
                                <wps:bodyPr/>
                              </wps:wsp>
                              <wps:wsp>
                                <wps:cNvPr id="1016" name="直接连接符 15573"/>
                                <wps:cNvCnPr/>
                                <wps:spPr bwMode="auto">
                                  <a:xfrm rot="10800000">
                                    <a:off x="2856231" y="3909450"/>
                                    <a:ext cx="0" cy="144000"/>
                                  </a:xfrm>
                                  <a:prstGeom prst="line">
                                    <a:avLst/>
                                  </a:prstGeom>
                                  <a:noFill/>
                                  <a:ln w="9525" algn="ctr">
                                    <a:solidFill>
                                      <a:srgbClr val="000001"/>
                                    </a:solidFill>
                                    <a:round/>
                                  </a:ln>
                                </wps:spPr>
                                <wps:bodyPr/>
                              </wps:wsp>
                              <wps:wsp>
                                <wps:cNvPr id="1017" name="直接连接符 15574"/>
                                <wps:cNvCnPr/>
                                <wps:spPr bwMode="auto">
                                  <a:xfrm rot="10800000">
                                    <a:off x="3041334" y="3909450"/>
                                    <a:ext cx="0" cy="144000"/>
                                  </a:xfrm>
                                  <a:prstGeom prst="line">
                                    <a:avLst/>
                                  </a:prstGeom>
                                  <a:noFill/>
                                  <a:ln w="9525" algn="ctr">
                                    <a:solidFill>
                                      <a:srgbClr val="000001"/>
                                    </a:solidFill>
                                    <a:round/>
                                  </a:ln>
                                </wps:spPr>
                                <wps:bodyPr/>
                              </wps:wsp>
                              <wps:wsp>
                                <wps:cNvPr id="1018" name="直接连接符 15575"/>
                                <wps:cNvCnPr/>
                                <wps:spPr bwMode="auto">
                                  <a:xfrm rot="10800000">
                                    <a:off x="3226438" y="3909450"/>
                                    <a:ext cx="0" cy="144000"/>
                                  </a:xfrm>
                                  <a:prstGeom prst="line">
                                    <a:avLst/>
                                  </a:prstGeom>
                                  <a:noFill/>
                                  <a:ln w="9525" algn="ctr">
                                    <a:solidFill>
                                      <a:srgbClr val="000001"/>
                                    </a:solidFill>
                                    <a:round/>
                                  </a:ln>
                                </wps:spPr>
                                <wps:bodyPr/>
                              </wps:wsp>
                              <wps:wsp>
                                <wps:cNvPr id="1019" name="直接连接符 15576"/>
                                <wps:cNvCnPr/>
                                <wps:spPr bwMode="auto">
                                  <a:xfrm rot="10800000">
                                    <a:off x="3411540" y="3909450"/>
                                    <a:ext cx="0" cy="144000"/>
                                  </a:xfrm>
                                  <a:prstGeom prst="line">
                                    <a:avLst/>
                                  </a:prstGeom>
                                  <a:noFill/>
                                  <a:ln w="9525" algn="ctr">
                                    <a:solidFill>
                                      <a:srgbClr val="000001"/>
                                    </a:solidFill>
                                    <a:round/>
                                  </a:ln>
                                </wps:spPr>
                                <wps:bodyPr/>
                              </wps:wsp>
                              <wps:wsp>
                                <wps:cNvPr id="1020" name="直接连接符 15577"/>
                                <wps:cNvCnPr/>
                                <wps:spPr bwMode="auto">
                                  <a:xfrm rot="10800000">
                                    <a:off x="3596641" y="3909450"/>
                                    <a:ext cx="0" cy="144000"/>
                                  </a:xfrm>
                                  <a:prstGeom prst="line">
                                    <a:avLst/>
                                  </a:prstGeom>
                                  <a:noFill/>
                                  <a:ln w="9525" algn="ctr">
                                    <a:solidFill>
                                      <a:srgbClr val="000001"/>
                                    </a:solidFill>
                                    <a:round/>
                                  </a:ln>
                                </wps:spPr>
                                <wps:bodyPr/>
                              </wps:wsp>
                              <wps:wsp>
                                <wps:cNvPr id="1021" name="直接连接符 15578"/>
                                <wps:cNvCnPr/>
                                <wps:spPr bwMode="auto">
                                  <a:xfrm rot="10800000">
                                    <a:off x="3781743" y="3909450"/>
                                    <a:ext cx="0" cy="144000"/>
                                  </a:xfrm>
                                  <a:prstGeom prst="line">
                                    <a:avLst/>
                                  </a:prstGeom>
                                  <a:noFill/>
                                  <a:ln w="9525" algn="ctr">
                                    <a:solidFill>
                                      <a:srgbClr val="000001"/>
                                    </a:solidFill>
                                    <a:round/>
                                  </a:ln>
                                </wps:spPr>
                                <wps:bodyPr/>
                              </wps:wsp>
                              <wps:wsp>
                                <wps:cNvPr id="1022" name="直接连接符 15579"/>
                                <wps:cNvCnPr/>
                                <wps:spPr bwMode="auto">
                                  <a:xfrm rot="10800000">
                                    <a:off x="3966845" y="3909450"/>
                                    <a:ext cx="0" cy="144000"/>
                                  </a:xfrm>
                                  <a:prstGeom prst="line">
                                    <a:avLst/>
                                  </a:prstGeom>
                                  <a:noFill/>
                                  <a:ln w="9525" algn="ctr">
                                    <a:solidFill>
                                      <a:srgbClr val="000001"/>
                                    </a:solidFill>
                                    <a:round/>
                                  </a:ln>
                                </wps:spPr>
                                <wps:bodyPr/>
                              </wps:wsp>
                              <wps:wsp>
                                <wps:cNvPr id="1023" name="直接连接符 15580"/>
                                <wps:cNvCnPr/>
                                <wps:spPr bwMode="auto">
                                  <a:xfrm rot="10800000">
                                    <a:off x="4151947" y="3909450"/>
                                    <a:ext cx="0" cy="144000"/>
                                  </a:xfrm>
                                  <a:prstGeom prst="line">
                                    <a:avLst/>
                                  </a:prstGeom>
                                  <a:noFill/>
                                  <a:ln w="9525" algn="ctr">
                                    <a:solidFill>
                                      <a:srgbClr val="000001"/>
                                    </a:solidFill>
                                    <a:round/>
                                  </a:ln>
                                </wps:spPr>
                                <wps:bodyPr/>
                              </wps:wsp>
                            </wpg:grpSp>
                            <wpg:grpSp>
                              <wpg:cNvPr id="1280" name="组合 15581"/>
                              <wpg:cNvGrpSpPr/>
                              <wpg:grpSpPr>
                                <a:xfrm>
                                  <a:off x="4528503" y="3909450"/>
                                  <a:ext cx="1480819" cy="144000"/>
                                  <a:chOff x="4528503" y="3909450"/>
                                  <a:chExt cx="1480819" cy="144000"/>
                                </a:xfrm>
                              </wpg:grpSpPr>
                              <wps:wsp>
                                <wps:cNvPr id="1281" name="直接连接符 15582"/>
                                <wps:cNvCnPr/>
                                <wps:spPr bwMode="auto">
                                  <a:xfrm rot="10800000">
                                    <a:off x="4528503" y="3909450"/>
                                    <a:ext cx="0" cy="144000"/>
                                  </a:xfrm>
                                  <a:prstGeom prst="line">
                                    <a:avLst/>
                                  </a:prstGeom>
                                  <a:noFill/>
                                  <a:ln w="9525" algn="ctr">
                                    <a:solidFill>
                                      <a:srgbClr val="000001"/>
                                    </a:solidFill>
                                    <a:round/>
                                  </a:ln>
                                </wps:spPr>
                                <wps:bodyPr/>
                              </wps:wsp>
                              <wps:wsp>
                                <wps:cNvPr id="1282" name="直接连接符 15583"/>
                                <wps:cNvCnPr/>
                                <wps:spPr bwMode="auto">
                                  <a:xfrm rot="10800000">
                                    <a:off x="4713606" y="3909450"/>
                                    <a:ext cx="0" cy="144000"/>
                                  </a:xfrm>
                                  <a:prstGeom prst="line">
                                    <a:avLst/>
                                  </a:prstGeom>
                                  <a:noFill/>
                                  <a:ln w="9525" algn="ctr">
                                    <a:solidFill>
                                      <a:srgbClr val="000001"/>
                                    </a:solidFill>
                                    <a:round/>
                                  </a:ln>
                                </wps:spPr>
                                <wps:bodyPr/>
                              </wps:wsp>
                              <wps:wsp>
                                <wps:cNvPr id="1283" name="直接连接符 15584"/>
                                <wps:cNvCnPr/>
                                <wps:spPr bwMode="auto">
                                  <a:xfrm rot="10800000">
                                    <a:off x="4898709" y="3909450"/>
                                    <a:ext cx="0" cy="144000"/>
                                  </a:xfrm>
                                  <a:prstGeom prst="line">
                                    <a:avLst/>
                                  </a:prstGeom>
                                  <a:noFill/>
                                  <a:ln w="9525" algn="ctr">
                                    <a:solidFill>
                                      <a:srgbClr val="000001"/>
                                    </a:solidFill>
                                    <a:round/>
                                  </a:ln>
                                </wps:spPr>
                                <wps:bodyPr/>
                              </wps:wsp>
                              <wps:wsp>
                                <wps:cNvPr id="1284" name="直接连接符 15585"/>
                                <wps:cNvCnPr/>
                                <wps:spPr bwMode="auto">
                                  <a:xfrm rot="10800000">
                                    <a:off x="5083812" y="3909450"/>
                                    <a:ext cx="0" cy="144000"/>
                                  </a:xfrm>
                                  <a:prstGeom prst="line">
                                    <a:avLst/>
                                  </a:prstGeom>
                                  <a:noFill/>
                                  <a:ln w="9525" algn="ctr">
                                    <a:solidFill>
                                      <a:srgbClr val="000001"/>
                                    </a:solidFill>
                                    <a:round/>
                                  </a:ln>
                                </wps:spPr>
                                <wps:bodyPr/>
                              </wps:wsp>
                              <wps:wsp>
                                <wps:cNvPr id="1285" name="直接连接符 15586"/>
                                <wps:cNvCnPr/>
                                <wps:spPr bwMode="auto">
                                  <a:xfrm rot="10800000">
                                    <a:off x="5268913" y="3909450"/>
                                    <a:ext cx="0" cy="144000"/>
                                  </a:xfrm>
                                  <a:prstGeom prst="line">
                                    <a:avLst/>
                                  </a:prstGeom>
                                  <a:noFill/>
                                  <a:ln w="9525" algn="ctr">
                                    <a:solidFill>
                                      <a:srgbClr val="000001"/>
                                    </a:solidFill>
                                    <a:round/>
                                  </a:ln>
                                </wps:spPr>
                                <wps:bodyPr/>
                              </wps:wsp>
                              <wps:wsp>
                                <wps:cNvPr id="1286" name="直接连接符 15587"/>
                                <wps:cNvCnPr/>
                                <wps:spPr bwMode="auto">
                                  <a:xfrm rot="10800000">
                                    <a:off x="5454016" y="3909450"/>
                                    <a:ext cx="0" cy="144000"/>
                                  </a:xfrm>
                                  <a:prstGeom prst="line">
                                    <a:avLst/>
                                  </a:prstGeom>
                                  <a:noFill/>
                                  <a:ln w="9525" algn="ctr">
                                    <a:solidFill>
                                      <a:srgbClr val="000001"/>
                                    </a:solidFill>
                                    <a:round/>
                                  </a:ln>
                                </wps:spPr>
                                <wps:bodyPr/>
                              </wps:wsp>
                              <wps:wsp>
                                <wps:cNvPr id="1287" name="直接连接符 15588"/>
                                <wps:cNvCnPr/>
                                <wps:spPr bwMode="auto">
                                  <a:xfrm rot="10800000">
                                    <a:off x="5639118" y="3909450"/>
                                    <a:ext cx="0" cy="144000"/>
                                  </a:xfrm>
                                  <a:prstGeom prst="line">
                                    <a:avLst/>
                                  </a:prstGeom>
                                  <a:noFill/>
                                  <a:ln w="9525" algn="ctr">
                                    <a:solidFill>
                                      <a:srgbClr val="000001"/>
                                    </a:solidFill>
                                    <a:round/>
                                  </a:ln>
                                </wps:spPr>
                                <wps:bodyPr/>
                              </wps:wsp>
                              <wps:wsp>
                                <wps:cNvPr id="1288" name="直接连接符 15589"/>
                                <wps:cNvCnPr/>
                                <wps:spPr bwMode="auto">
                                  <a:xfrm rot="10800000">
                                    <a:off x="5824219" y="3909450"/>
                                    <a:ext cx="0" cy="144000"/>
                                  </a:xfrm>
                                  <a:prstGeom prst="line">
                                    <a:avLst/>
                                  </a:prstGeom>
                                  <a:noFill/>
                                  <a:ln w="9525" algn="ctr">
                                    <a:solidFill>
                                      <a:srgbClr val="000001"/>
                                    </a:solidFill>
                                    <a:round/>
                                  </a:ln>
                                </wps:spPr>
                                <wps:bodyPr/>
                              </wps:wsp>
                              <wps:wsp>
                                <wps:cNvPr id="1289" name="直接连接符 15590"/>
                                <wps:cNvCnPr/>
                                <wps:spPr bwMode="auto">
                                  <a:xfrm rot="10800000">
                                    <a:off x="6009322" y="3909450"/>
                                    <a:ext cx="0" cy="144000"/>
                                  </a:xfrm>
                                  <a:prstGeom prst="line">
                                    <a:avLst/>
                                  </a:prstGeom>
                                  <a:noFill/>
                                  <a:ln w="9525" algn="ctr">
                                    <a:solidFill>
                                      <a:srgbClr val="000001"/>
                                    </a:solidFill>
                                    <a:round/>
                                  </a:ln>
                                </wps:spPr>
                                <wps:bodyPr/>
                              </wps:wsp>
                            </wpg:grpSp>
                          </wpg:grpSp>
                        </wpg:grpSp>
                        <wps:wsp>
                          <wps:cNvPr id="1290" name="任意多边形 15591"/>
                          <wps:cNvSpPr/>
                          <wps:spPr bwMode="auto">
                            <a:xfrm>
                              <a:off x="670312" y="579548"/>
                              <a:ext cx="3988506" cy="2496977"/>
                            </a:xfrm>
                            <a:custGeom>
                              <a:avLst/>
                              <a:gdLst>
                                <a:gd name="T0" fmla="*/ 0 w 5543550"/>
                                <a:gd name="T1" fmla="*/ 1927958 h 3470500"/>
                                <a:gd name="T2" fmla="*/ 685800 w 5543550"/>
                                <a:gd name="T3" fmla="*/ 1937483 h 3470500"/>
                                <a:gd name="T4" fmla="*/ 1028700 w 5543550"/>
                                <a:gd name="T5" fmla="*/ 1937483 h 3470500"/>
                                <a:gd name="T6" fmla="*/ 1200150 w 5543550"/>
                                <a:gd name="T7" fmla="*/ 1861283 h 3470500"/>
                                <a:gd name="T8" fmla="*/ 1343025 w 5543550"/>
                                <a:gd name="T9" fmla="*/ 1756508 h 3470500"/>
                                <a:gd name="T10" fmla="*/ 1466850 w 5543550"/>
                                <a:gd name="T11" fmla="*/ 1670783 h 3470500"/>
                                <a:gd name="T12" fmla="*/ 1609725 w 5543550"/>
                                <a:gd name="T13" fmla="*/ 1766033 h 3470500"/>
                                <a:gd name="T14" fmla="*/ 1733550 w 5543550"/>
                                <a:gd name="T15" fmla="*/ 1975583 h 3470500"/>
                                <a:gd name="T16" fmla="*/ 1981200 w 5543550"/>
                                <a:gd name="T17" fmla="*/ 2566133 h 3470500"/>
                                <a:gd name="T18" fmla="*/ 2124075 w 5543550"/>
                                <a:gd name="T19" fmla="*/ 2870933 h 3470500"/>
                                <a:gd name="T20" fmla="*/ 2324100 w 5543550"/>
                                <a:gd name="T21" fmla="*/ 3223358 h 3470500"/>
                                <a:gd name="T22" fmla="*/ 2495550 w 5543550"/>
                                <a:gd name="T23" fmla="*/ 3404333 h 3470500"/>
                                <a:gd name="T24" fmla="*/ 2628900 w 5543550"/>
                                <a:gd name="T25" fmla="*/ 3461483 h 3470500"/>
                                <a:gd name="T26" fmla="*/ 2828925 w 5543550"/>
                                <a:gd name="T27" fmla="*/ 3461483 h 3470500"/>
                                <a:gd name="T28" fmla="*/ 2971800 w 5543550"/>
                                <a:gd name="T29" fmla="*/ 3375758 h 3470500"/>
                                <a:gd name="T30" fmla="*/ 3057525 w 5543550"/>
                                <a:gd name="T31" fmla="*/ 3242408 h 3470500"/>
                                <a:gd name="T32" fmla="*/ 3143250 w 5543550"/>
                                <a:gd name="T33" fmla="*/ 3080483 h 3470500"/>
                                <a:gd name="T34" fmla="*/ 3257550 w 5543550"/>
                                <a:gd name="T35" fmla="*/ 2794733 h 3470500"/>
                                <a:gd name="T36" fmla="*/ 3400425 w 5543550"/>
                                <a:gd name="T37" fmla="*/ 2308958 h 3470500"/>
                                <a:gd name="T38" fmla="*/ 3695700 w 5543550"/>
                                <a:gd name="T39" fmla="*/ 994508 h 3470500"/>
                                <a:gd name="T40" fmla="*/ 3886200 w 5543550"/>
                                <a:gd name="T41" fmla="*/ 337283 h 3470500"/>
                                <a:gd name="T42" fmla="*/ 3924300 w 5543550"/>
                                <a:gd name="T43" fmla="*/ 222983 h 3470500"/>
                                <a:gd name="T44" fmla="*/ 4000500 w 5543550"/>
                                <a:gd name="T45" fmla="*/ 89633 h 3470500"/>
                                <a:gd name="T46" fmla="*/ 4067175 w 5543550"/>
                                <a:gd name="T47" fmla="*/ 13433 h 3470500"/>
                                <a:gd name="T48" fmla="*/ 4152900 w 5543550"/>
                                <a:gd name="T49" fmla="*/ 3908 h 3470500"/>
                                <a:gd name="T50" fmla="*/ 4210050 w 5543550"/>
                                <a:gd name="T51" fmla="*/ 3908 h 3470500"/>
                                <a:gd name="T52" fmla="*/ 4295775 w 5543550"/>
                                <a:gd name="T53" fmla="*/ 51533 h 3470500"/>
                                <a:gd name="T54" fmla="*/ 4371975 w 5543550"/>
                                <a:gd name="T55" fmla="*/ 184883 h 3470500"/>
                                <a:gd name="T56" fmla="*/ 4438650 w 5543550"/>
                                <a:gd name="T57" fmla="*/ 318233 h 3470500"/>
                                <a:gd name="T58" fmla="*/ 4524375 w 5543550"/>
                                <a:gd name="T59" fmla="*/ 508733 h 3470500"/>
                                <a:gd name="T60" fmla="*/ 4648200 w 5543550"/>
                                <a:gd name="T61" fmla="*/ 746858 h 3470500"/>
                                <a:gd name="T62" fmla="*/ 4733925 w 5543550"/>
                                <a:gd name="T63" fmla="*/ 899258 h 3470500"/>
                                <a:gd name="T64" fmla="*/ 4857750 w 5543550"/>
                                <a:gd name="T65" fmla="*/ 1099283 h 3470500"/>
                                <a:gd name="T66" fmla="*/ 4962525 w 5543550"/>
                                <a:gd name="T67" fmla="*/ 1270733 h 3470500"/>
                                <a:gd name="T68" fmla="*/ 5105400 w 5543550"/>
                                <a:gd name="T69" fmla="*/ 1470758 h 3470500"/>
                                <a:gd name="T70" fmla="*/ 5295900 w 5543550"/>
                                <a:gd name="T71" fmla="*/ 1680308 h 3470500"/>
                                <a:gd name="T72" fmla="*/ 5495925 w 5543550"/>
                                <a:gd name="T73" fmla="*/ 1832708 h 3470500"/>
                                <a:gd name="T74" fmla="*/ 5543550 w 5543550"/>
                                <a:gd name="T75" fmla="*/ 1842233 h 3470500"/>
                                <a:gd name="T76" fmla="*/ 0 w 5543550"/>
                                <a:gd name="T77" fmla="*/ 0 h 3470500"/>
                                <a:gd name="T78" fmla="*/ 5543550 w 5543550"/>
                                <a:gd name="T79" fmla="*/ 3470500 h 34705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T76" t="T77" r="T78" b="T79"/>
                              <a:pathLst>
                                <a:path w="5543550" h="3470500">
                                  <a:moveTo>
                                    <a:pt x="0" y="1927958"/>
                                  </a:moveTo>
                                  <a:lnTo>
                                    <a:pt x="685800" y="1937483"/>
                                  </a:lnTo>
                                  <a:cubicBezTo>
                                    <a:pt x="857250" y="1939071"/>
                                    <a:pt x="942975" y="1950183"/>
                                    <a:pt x="1028700" y="1937483"/>
                                  </a:cubicBezTo>
                                  <a:cubicBezTo>
                                    <a:pt x="1114425" y="1924783"/>
                                    <a:pt x="1147763" y="1891445"/>
                                    <a:pt x="1200150" y="1861283"/>
                                  </a:cubicBezTo>
                                  <a:cubicBezTo>
                                    <a:pt x="1252537" y="1831121"/>
                                    <a:pt x="1298575" y="1788258"/>
                                    <a:pt x="1343025" y="1756508"/>
                                  </a:cubicBezTo>
                                  <a:cubicBezTo>
                                    <a:pt x="1387475" y="1724758"/>
                                    <a:pt x="1422400" y="1669196"/>
                                    <a:pt x="1466850" y="1670783"/>
                                  </a:cubicBezTo>
                                  <a:cubicBezTo>
                                    <a:pt x="1511300" y="1672371"/>
                                    <a:pt x="1565275" y="1715233"/>
                                    <a:pt x="1609725" y="1766033"/>
                                  </a:cubicBezTo>
                                  <a:cubicBezTo>
                                    <a:pt x="1654175" y="1816833"/>
                                    <a:pt x="1671638" y="1842233"/>
                                    <a:pt x="1733550" y="1975583"/>
                                  </a:cubicBezTo>
                                  <a:cubicBezTo>
                                    <a:pt x="1795462" y="2108933"/>
                                    <a:pt x="1916113" y="2416908"/>
                                    <a:pt x="1981200" y="2566133"/>
                                  </a:cubicBezTo>
                                  <a:cubicBezTo>
                                    <a:pt x="2046287" y="2715358"/>
                                    <a:pt x="2066925" y="2761395"/>
                                    <a:pt x="2124075" y="2870933"/>
                                  </a:cubicBezTo>
                                  <a:cubicBezTo>
                                    <a:pt x="2181225" y="2980471"/>
                                    <a:pt x="2262188" y="3134458"/>
                                    <a:pt x="2324100" y="3223358"/>
                                  </a:cubicBezTo>
                                  <a:cubicBezTo>
                                    <a:pt x="2386012" y="3312258"/>
                                    <a:pt x="2444750" y="3364646"/>
                                    <a:pt x="2495550" y="3404333"/>
                                  </a:cubicBezTo>
                                  <a:cubicBezTo>
                                    <a:pt x="2546350" y="3444020"/>
                                    <a:pt x="2573338" y="3451958"/>
                                    <a:pt x="2628900" y="3461483"/>
                                  </a:cubicBezTo>
                                  <a:cubicBezTo>
                                    <a:pt x="2684462" y="3471008"/>
                                    <a:pt x="2771775" y="3475771"/>
                                    <a:pt x="2828925" y="3461483"/>
                                  </a:cubicBezTo>
                                  <a:cubicBezTo>
                                    <a:pt x="2886075" y="3447196"/>
                                    <a:pt x="2933700" y="3412270"/>
                                    <a:pt x="2971800" y="3375758"/>
                                  </a:cubicBezTo>
                                  <a:cubicBezTo>
                                    <a:pt x="3009900" y="3339246"/>
                                    <a:pt x="3040063" y="3278920"/>
                                    <a:pt x="3057525" y="3242408"/>
                                  </a:cubicBezTo>
                                  <a:cubicBezTo>
                                    <a:pt x="3074987" y="3205896"/>
                                    <a:pt x="3109913" y="3155096"/>
                                    <a:pt x="3143250" y="3080483"/>
                                  </a:cubicBezTo>
                                  <a:cubicBezTo>
                                    <a:pt x="3176588" y="3005871"/>
                                    <a:pt x="3214688" y="2923321"/>
                                    <a:pt x="3257550" y="2794733"/>
                                  </a:cubicBezTo>
                                  <a:cubicBezTo>
                                    <a:pt x="3300413" y="2666146"/>
                                    <a:pt x="3327400" y="2608996"/>
                                    <a:pt x="3400425" y="2308958"/>
                                  </a:cubicBezTo>
                                  <a:cubicBezTo>
                                    <a:pt x="3473450" y="2008920"/>
                                    <a:pt x="3614738" y="1323120"/>
                                    <a:pt x="3695700" y="994508"/>
                                  </a:cubicBezTo>
                                  <a:cubicBezTo>
                                    <a:pt x="3776663" y="665895"/>
                                    <a:pt x="3848100" y="465870"/>
                                    <a:pt x="3886200" y="337283"/>
                                  </a:cubicBezTo>
                                  <a:cubicBezTo>
                                    <a:pt x="3924300" y="208695"/>
                                    <a:pt x="3905250" y="264258"/>
                                    <a:pt x="3924300" y="222983"/>
                                  </a:cubicBezTo>
                                  <a:cubicBezTo>
                                    <a:pt x="3943350" y="181708"/>
                                    <a:pt x="3976688" y="124558"/>
                                    <a:pt x="4000500" y="89633"/>
                                  </a:cubicBezTo>
                                  <a:cubicBezTo>
                                    <a:pt x="4024312" y="54708"/>
                                    <a:pt x="4041775" y="27720"/>
                                    <a:pt x="4067175" y="13433"/>
                                  </a:cubicBezTo>
                                  <a:cubicBezTo>
                                    <a:pt x="4092575" y="-854"/>
                                    <a:pt x="4129087" y="5496"/>
                                    <a:pt x="4152900" y="3908"/>
                                  </a:cubicBezTo>
                                  <a:cubicBezTo>
                                    <a:pt x="4176713" y="2320"/>
                                    <a:pt x="4186238" y="-4030"/>
                                    <a:pt x="4210050" y="3908"/>
                                  </a:cubicBezTo>
                                  <a:cubicBezTo>
                                    <a:pt x="4233863" y="11845"/>
                                    <a:pt x="4268788" y="21370"/>
                                    <a:pt x="4295775" y="51533"/>
                                  </a:cubicBezTo>
                                  <a:cubicBezTo>
                                    <a:pt x="4322763" y="81695"/>
                                    <a:pt x="4348163" y="140433"/>
                                    <a:pt x="4371975" y="184883"/>
                                  </a:cubicBezTo>
                                  <a:cubicBezTo>
                                    <a:pt x="4395787" y="229333"/>
                                    <a:pt x="4413250" y="264258"/>
                                    <a:pt x="4438650" y="318233"/>
                                  </a:cubicBezTo>
                                  <a:cubicBezTo>
                                    <a:pt x="4464050" y="372208"/>
                                    <a:pt x="4489450" y="437296"/>
                                    <a:pt x="4524375" y="508733"/>
                                  </a:cubicBezTo>
                                  <a:cubicBezTo>
                                    <a:pt x="4559300" y="580170"/>
                                    <a:pt x="4613275" y="681770"/>
                                    <a:pt x="4648200" y="746858"/>
                                  </a:cubicBezTo>
                                  <a:cubicBezTo>
                                    <a:pt x="4683125" y="811946"/>
                                    <a:pt x="4699000" y="840521"/>
                                    <a:pt x="4733925" y="899258"/>
                                  </a:cubicBezTo>
                                  <a:cubicBezTo>
                                    <a:pt x="4768850" y="957996"/>
                                    <a:pt x="4819650" y="1037370"/>
                                    <a:pt x="4857750" y="1099283"/>
                                  </a:cubicBezTo>
                                  <a:cubicBezTo>
                                    <a:pt x="4895850" y="1161196"/>
                                    <a:pt x="4921250" y="1208821"/>
                                    <a:pt x="4962525" y="1270733"/>
                                  </a:cubicBezTo>
                                  <a:cubicBezTo>
                                    <a:pt x="5003800" y="1332645"/>
                                    <a:pt x="5049838" y="1402496"/>
                                    <a:pt x="5105400" y="1470758"/>
                                  </a:cubicBezTo>
                                  <a:cubicBezTo>
                                    <a:pt x="5160962" y="1539020"/>
                                    <a:pt x="5230813" y="1619983"/>
                                    <a:pt x="5295900" y="1680308"/>
                                  </a:cubicBezTo>
                                  <a:cubicBezTo>
                                    <a:pt x="5360987" y="1740633"/>
                                    <a:pt x="5454650" y="1805721"/>
                                    <a:pt x="5495925" y="1832708"/>
                                  </a:cubicBezTo>
                                  <a:cubicBezTo>
                                    <a:pt x="5537200" y="1859695"/>
                                    <a:pt x="5540375" y="1850964"/>
                                    <a:pt x="5543550" y="1842233"/>
                                  </a:cubicBezTo>
                                </a:path>
                              </a:pathLst>
                            </a:custGeom>
                            <a:noFill/>
                            <a:ln w="12700" algn="ctr">
                              <a:solidFill>
                                <a:srgbClr val="000001"/>
                              </a:solidFill>
                              <a:miter lim="800000"/>
                            </a:ln>
                          </wps:spPr>
                          <wps:txbx>
                            <w:txbxContent>
                              <w:p>
                                <w:pPr>
                                  <w:rPr>
                                    <w:rFonts w:hint="eastAsia" w:ascii="宋体" w:hAnsi="宋体"/>
                                    <w:sz w:val="15"/>
                                    <w:szCs w:val="15"/>
                                  </w:rPr>
                                </w:pPr>
                              </w:p>
                            </w:txbxContent>
                          </wps:txbx>
                          <wps:bodyPr rot="0" vert="horz" wrap="square" lIns="91440" tIns="45720" rIns="91440" bIns="45720" anchor="t" anchorCtr="0" upright="1">
                            <a:noAutofit/>
                          </wps:bodyPr>
                        </wps:wsp>
                        <wps:wsp>
                          <wps:cNvPr id="1291" name="直接连接符 15592"/>
                          <wps:cNvCnPr/>
                          <wps:spPr bwMode="auto">
                            <a:xfrm>
                              <a:off x="3181563" y="1011771"/>
                              <a:ext cx="0" cy="958354"/>
                            </a:xfrm>
                            <a:prstGeom prst="line">
                              <a:avLst/>
                            </a:prstGeom>
                            <a:noFill/>
                            <a:ln w="9525" algn="ctr">
                              <a:solidFill>
                                <a:srgbClr val="000001"/>
                              </a:solidFill>
                              <a:round/>
                            </a:ln>
                          </wps:spPr>
                          <wps:bodyPr/>
                        </wps:wsp>
                        <wps:wsp>
                          <wps:cNvPr id="1292" name="直接连接符 15593"/>
                          <wps:cNvCnPr/>
                          <wps:spPr bwMode="auto">
                            <a:xfrm>
                              <a:off x="1728879" y="1035618"/>
                              <a:ext cx="0" cy="751142"/>
                            </a:xfrm>
                            <a:prstGeom prst="line">
                              <a:avLst/>
                            </a:prstGeom>
                            <a:noFill/>
                            <a:ln w="9525" algn="ctr">
                              <a:solidFill>
                                <a:srgbClr val="000001"/>
                              </a:solidFill>
                              <a:round/>
                            </a:ln>
                          </wps:spPr>
                          <wps:bodyPr/>
                        </wps:wsp>
                        <wps:wsp>
                          <wps:cNvPr id="1293" name="直接连接符 15594"/>
                          <wps:cNvCnPr/>
                          <wps:spPr bwMode="auto">
                            <a:xfrm rot="-5400000">
                              <a:off x="2448704" y="559581"/>
                              <a:ext cx="0" cy="1441411"/>
                            </a:xfrm>
                            <a:prstGeom prst="line">
                              <a:avLst/>
                            </a:prstGeom>
                            <a:noFill/>
                            <a:ln w="9525" algn="ctr">
                              <a:solidFill>
                                <a:srgbClr val="000001"/>
                              </a:solidFill>
                              <a:round/>
                              <a:headEnd type="stealth" w="med" len="med"/>
                              <a:tailEnd type="stealth" w="med" len="med"/>
                            </a:ln>
                          </wps:spPr>
                          <wps:bodyPr/>
                        </wps:wsp>
                      </wpg:wgp>
                      <wps:wsp>
                        <wps:cNvPr id="1294" name="TextBox 94"/>
                        <wps:cNvSpPr txBox="1">
                          <a:spLocks noChangeArrowheads="1"/>
                        </wps:cNvSpPr>
                        <wps:spPr bwMode="auto">
                          <a:xfrm>
                            <a:off x="360432" y="2012296"/>
                            <a:ext cx="2285890" cy="244309"/>
                          </a:xfrm>
                          <a:prstGeom prst="rect">
                            <a:avLst/>
                          </a:prstGeom>
                          <a:noFill/>
                          <a:ln>
                            <a:noFill/>
                          </a:ln>
                        </wps:spPr>
                        <wps:txbx>
                          <w:txbxContent>
                            <w:p>
                              <w:pPr>
                                <w:pStyle w:val="18"/>
                                <w:adjustRightInd w:val="0"/>
                                <w:snapToGrid w:val="0"/>
                                <w:spacing w:before="0" w:beforeAutospacing="0" w:after="0" w:afterAutospacing="0"/>
                                <w:jc w:val="center"/>
                                <w:rPr>
                                  <w:rFonts w:hint="eastAsia" w:ascii="黑体" w:eastAsia="黑体" w:cs="Times New Roman"/>
                                  <w:color w:val="000000"/>
                                  <w:sz w:val="18"/>
                                  <w:szCs w:val="18"/>
                                </w:rPr>
                              </w:pPr>
                              <w:r>
                                <w:rPr>
                                  <w:rFonts w:ascii="Times New Roman" w:hAnsi="Times New Roman" w:eastAsia="黑体" w:cs="Times New Roman"/>
                                  <w:color w:val="000000"/>
                                  <w:sz w:val="18"/>
                                  <w:szCs w:val="18"/>
                                </w:rPr>
                                <w:t>图</w:t>
                              </w:r>
                              <w:r>
                                <w:rPr>
                                  <w:rFonts w:hint="eastAsia" w:ascii="Times New Roman" w:hAnsi="Times New Roman" w:eastAsia="黑体" w:cs="Times New Roman"/>
                                  <w:color w:val="000000"/>
                                  <w:sz w:val="18"/>
                                  <w:szCs w:val="18"/>
                                </w:rPr>
                                <w:t>D</w:t>
                              </w:r>
                              <w:r>
                                <w:rPr>
                                  <w:rFonts w:ascii="Times New Roman" w:hAnsi="Times New Roman" w:eastAsia="黑体" w:cs="Times New Roman"/>
                                  <w:color w:val="000000"/>
                                  <w:sz w:val="18"/>
                                  <w:szCs w:val="18"/>
                                </w:rPr>
                                <w:t>.</w:t>
                              </w:r>
                              <w:r>
                                <w:rPr>
                                  <w:rFonts w:hint="eastAsia" w:ascii="Times New Roman" w:hAnsi="Times New Roman" w:eastAsia="黑体" w:cs="Times New Roman"/>
                                  <w:color w:val="000000"/>
                                  <w:sz w:val="18"/>
                                  <w:szCs w:val="18"/>
                                </w:rPr>
                                <w:t>2</w:t>
                              </w:r>
                              <w:r>
                                <w:rPr>
                                  <w:rFonts w:ascii="Times New Roman" w:hAnsi="Times New Roman" w:eastAsia="黑体" w:cs="Times New Roman"/>
                                  <w:color w:val="000000"/>
                                  <w:sz w:val="18"/>
                                  <w:szCs w:val="18"/>
                                </w:rPr>
                                <w:t>.</w:t>
                              </w:r>
                              <w:r>
                                <w:rPr>
                                  <w:rFonts w:hint="eastAsia" w:ascii="Times New Roman" w:hAnsi="Times New Roman" w:eastAsia="黑体" w:cs="Times New Roman"/>
                                  <w:color w:val="000000"/>
                                  <w:sz w:val="18"/>
                                  <w:szCs w:val="18"/>
                                </w:rPr>
                                <w:t>5-1</w:t>
                              </w:r>
                              <w:r>
                                <w:rPr>
                                  <w:rFonts w:hint="eastAsia" w:ascii="黑体" w:eastAsia="黑体" w:cs="Times New Roman"/>
                                  <w:color w:val="000000"/>
                                  <w:sz w:val="18"/>
                                  <w:szCs w:val="18"/>
                                </w:rPr>
                                <w:t xml:space="preserve">  冲击时间估测示意图</w:t>
                              </w:r>
                            </w:p>
                          </w:txbxContent>
                        </wps:txbx>
                        <wps:bodyPr rot="0" vert="horz" wrap="square" lIns="91440" tIns="45720" rIns="91440" bIns="45720" anchor="t" anchorCtr="0" upright="1">
                          <a:noAutofit/>
                        </wps:bodyPr>
                      </wps:wsp>
                      <wps:wsp>
                        <wps:cNvPr id="1295" name="TextBox 97"/>
                        <wps:cNvSpPr txBox="1">
                          <a:spLocks noChangeArrowheads="1"/>
                        </wps:cNvSpPr>
                        <wps:spPr bwMode="auto">
                          <a:xfrm>
                            <a:off x="2028667" y="1822612"/>
                            <a:ext cx="635119" cy="237929"/>
                          </a:xfrm>
                          <a:prstGeom prst="rect">
                            <a:avLst/>
                          </a:prstGeom>
                          <a:noFill/>
                          <a:ln>
                            <a:noFill/>
                          </a:ln>
                        </wps:spPr>
                        <wps:txbx>
                          <w:txbxContent>
                            <w:p>
                              <w:pPr>
                                <w:pStyle w:val="18"/>
                                <w:adjustRightInd w:val="0"/>
                                <w:snapToGrid w:val="0"/>
                                <w:spacing w:before="0" w:beforeAutospacing="0" w:after="0" w:afterAutospacing="0"/>
                                <w:jc w:val="center"/>
                                <w:rPr>
                                  <w:rFonts w:hint="eastAsia" w:cs="Times New Roman"/>
                                  <w:color w:val="000000"/>
                                  <w:sz w:val="15"/>
                                  <w:szCs w:val="15"/>
                                </w:rPr>
                              </w:pPr>
                              <w:r>
                                <w:rPr>
                                  <w:rFonts w:hint="eastAsia" w:cs="Times New Roman"/>
                                  <w:color w:val="000000"/>
                                  <w:sz w:val="15"/>
                                  <w:szCs w:val="15"/>
                                </w:rPr>
                                <w:t>时间（</w:t>
                              </w:r>
                              <w:r>
                                <w:rPr>
                                  <w:rFonts w:ascii="Times New Roman" w:hAnsi="Times New Roman" w:cs="Times New Roman"/>
                                  <w:color w:val="000000"/>
                                  <w:sz w:val="15"/>
                                  <w:szCs w:val="15"/>
                                </w:rPr>
                                <w:t>μs</w:t>
                              </w:r>
                              <w:r>
                                <w:rPr>
                                  <w:rFonts w:hint="eastAsia" w:ascii="Times New Roman" w:hAnsi="Times New Roman" w:cs="Times New Roman"/>
                                  <w:color w:val="000000"/>
                                  <w:sz w:val="15"/>
                                  <w:szCs w:val="15"/>
                                </w:rPr>
                                <w:t>）</w:t>
                              </w:r>
                            </w:p>
                          </w:txbxContent>
                        </wps:txbx>
                        <wps:bodyPr rot="0" vert="horz" wrap="square" lIns="91440" tIns="45720" rIns="91440" bIns="45720" anchor="t" anchorCtr="0" upright="1">
                          <a:noAutofit/>
                        </wps:bodyPr>
                      </wps:wsp>
                      <wps:wsp>
                        <wps:cNvPr id="1296" name="TextBox 96"/>
                        <wps:cNvSpPr txBox="1">
                          <a:spLocks noChangeArrowheads="1"/>
                        </wps:cNvSpPr>
                        <wps:spPr bwMode="auto">
                          <a:xfrm>
                            <a:off x="276171" y="1730760"/>
                            <a:ext cx="494598" cy="205593"/>
                          </a:xfrm>
                          <a:prstGeom prst="rect">
                            <a:avLst/>
                          </a:prstGeom>
                          <a:noFill/>
                          <a:ln>
                            <a:noFill/>
                          </a:ln>
                        </wps:spPr>
                        <wps:txbx>
                          <w:txbxContent>
                            <w:p>
                              <w:pPr>
                                <w:pStyle w:val="18"/>
                                <w:adjustRightInd w:val="0"/>
                                <w:snapToGrid w:val="0"/>
                                <w:spacing w:before="0" w:beforeAutospacing="0" w:after="0" w:afterAutospacing="0"/>
                                <w:jc w:val="center"/>
                                <w:rPr>
                                  <w:rFonts w:hint="eastAsia" w:cs="Times New Roman"/>
                                  <w:color w:val="000000"/>
                                  <w:sz w:val="15"/>
                                  <w:szCs w:val="15"/>
                                </w:rPr>
                              </w:pPr>
                              <w:r>
                                <w:rPr>
                                  <w:rFonts w:cs="Times New Roman"/>
                                  <w:color w:val="000000"/>
                                  <w:sz w:val="15"/>
                                  <w:szCs w:val="15"/>
                                </w:rPr>
                                <w:t>150</w:t>
                              </w:r>
                            </w:p>
                          </w:txbxContent>
                        </wps:txbx>
                        <wps:bodyPr rot="0" vert="horz" wrap="square" lIns="91440" tIns="45720" rIns="91440" bIns="45720" anchor="t" anchorCtr="0" upright="1">
                          <a:noAutofit/>
                        </wps:bodyPr>
                      </wps:wsp>
                      <wps:wsp>
                        <wps:cNvPr id="1297" name="TextBox 102"/>
                        <wps:cNvSpPr txBox="1">
                          <a:spLocks noChangeArrowheads="1"/>
                        </wps:cNvSpPr>
                        <wps:spPr bwMode="auto">
                          <a:xfrm>
                            <a:off x="978627" y="1723947"/>
                            <a:ext cx="490034" cy="205593"/>
                          </a:xfrm>
                          <a:prstGeom prst="rect">
                            <a:avLst/>
                          </a:prstGeom>
                          <a:noFill/>
                          <a:ln>
                            <a:noFill/>
                          </a:ln>
                        </wps:spPr>
                        <wps:txbx>
                          <w:txbxContent>
                            <w:p>
                              <w:pPr>
                                <w:pStyle w:val="18"/>
                                <w:adjustRightInd w:val="0"/>
                                <w:snapToGrid w:val="0"/>
                                <w:spacing w:before="0" w:beforeAutospacing="0" w:after="0" w:afterAutospacing="0"/>
                                <w:jc w:val="center"/>
                                <w:rPr>
                                  <w:rFonts w:hint="eastAsia"/>
                                  <w:sz w:val="15"/>
                                  <w:szCs w:val="15"/>
                                </w:rPr>
                              </w:pPr>
                              <w:r>
                                <w:rPr>
                                  <w:rFonts w:cs="Times New Roman"/>
                                  <w:color w:val="000000"/>
                                  <w:sz w:val="15"/>
                                  <w:szCs w:val="15"/>
                                </w:rPr>
                                <w:t>200</w:t>
                              </w:r>
                            </w:p>
                          </w:txbxContent>
                        </wps:txbx>
                        <wps:bodyPr rot="0" vert="horz" wrap="square" lIns="91440" tIns="45720" rIns="91440" bIns="45720" anchor="t" anchorCtr="0" upright="1">
                          <a:noAutofit/>
                        </wps:bodyPr>
                      </wps:wsp>
                      <wps:wsp>
                        <wps:cNvPr id="1298" name="TextBox 103"/>
                        <wps:cNvSpPr txBox="1">
                          <a:spLocks noChangeArrowheads="1"/>
                        </wps:cNvSpPr>
                        <wps:spPr bwMode="auto">
                          <a:xfrm>
                            <a:off x="1659890" y="1723943"/>
                            <a:ext cx="515794" cy="205593"/>
                          </a:xfrm>
                          <a:prstGeom prst="rect">
                            <a:avLst/>
                          </a:prstGeom>
                          <a:noFill/>
                          <a:ln>
                            <a:noFill/>
                          </a:ln>
                        </wps:spPr>
                        <wps:txbx>
                          <w:txbxContent>
                            <w:p>
                              <w:pPr>
                                <w:pStyle w:val="18"/>
                                <w:adjustRightInd w:val="0"/>
                                <w:snapToGrid w:val="0"/>
                                <w:spacing w:before="0" w:beforeAutospacing="0" w:after="0" w:afterAutospacing="0"/>
                                <w:jc w:val="center"/>
                                <w:rPr>
                                  <w:rFonts w:hint="eastAsia" w:cs="Times New Roman"/>
                                  <w:color w:val="000000"/>
                                  <w:sz w:val="15"/>
                                  <w:szCs w:val="15"/>
                                </w:rPr>
                              </w:pPr>
                              <w:r>
                                <w:rPr>
                                  <w:rFonts w:cs="Times New Roman"/>
                                  <w:color w:val="000000"/>
                                  <w:sz w:val="15"/>
                                  <w:szCs w:val="15"/>
                                </w:rPr>
                                <w:t>250</w:t>
                              </w:r>
                            </w:p>
                          </w:txbxContent>
                        </wps:txbx>
                        <wps:bodyPr rot="0" vert="horz" wrap="square" lIns="91440" tIns="45720" rIns="91440" bIns="45720" anchor="t" anchorCtr="0" upright="1">
                          <a:noAutofit/>
                        </wps:bodyPr>
                      </wps:wsp>
                      <wps:wsp>
                        <wps:cNvPr id="1299" name="TextBox 104"/>
                        <wps:cNvSpPr txBox="1">
                          <a:spLocks noChangeArrowheads="1"/>
                        </wps:cNvSpPr>
                        <wps:spPr bwMode="auto">
                          <a:xfrm>
                            <a:off x="2366471" y="1708595"/>
                            <a:ext cx="539691" cy="205593"/>
                          </a:xfrm>
                          <a:prstGeom prst="rect">
                            <a:avLst/>
                          </a:prstGeom>
                          <a:noFill/>
                          <a:ln>
                            <a:noFill/>
                          </a:ln>
                        </wps:spPr>
                        <wps:txbx>
                          <w:txbxContent>
                            <w:p>
                              <w:pPr>
                                <w:pStyle w:val="18"/>
                                <w:adjustRightInd w:val="0"/>
                                <w:snapToGrid w:val="0"/>
                                <w:spacing w:before="0" w:beforeAutospacing="0" w:after="0" w:afterAutospacing="0"/>
                                <w:jc w:val="center"/>
                                <w:rPr>
                                  <w:rFonts w:hint="eastAsia" w:cs="Times New Roman"/>
                                  <w:color w:val="000000"/>
                                  <w:sz w:val="15"/>
                                  <w:szCs w:val="15"/>
                                </w:rPr>
                              </w:pPr>
                              <w:r>
                                <w:rPr>
                                  <w:rFonts w:cs="Times New Roman"/>
                                  <w:color w:val="000000"/>
                                  <w:sz w:val="15"/>
                                  <w:szCs w:val="15"/>
                                </w:rPr>
                                <w:t>300</w:t>
                              </w:r>
                            </w:p>
                          </w:txbxContent>
                        </wps:txbx>
                        <wps:bodyPr rot="0" vert="horz" wrap="square" lIns="91440" tIns="45720" rIns="91440" bIns="45720" anchor="t" anchorCtr="0" upright="1">
                          <a:noAutofit/>
                        </wps:bodyPr>
                      </wps:wsp>
                      <wps:wsp>
                        <wps:cNvPr id="1300" name="TextBox 109"/>
                        <wps:cNvSpPr txBox="1">
                          <a:spLocks noChangeArrowheads="1"/>
                        </wps:cNvSpPr>
                        <wps:spPr bwMode="auto">
                          <a:xfrm>
                            <a:off x="1140828" y="525430"/>
                            <a:ext cx="673769" cy="205593"/>
                          </a:xfrm>
                          <a:prstGeom prst="rect">
                            <a:avLst/>
                          </a:prstGeom>
                          <a:noFill/>
                          <a:ln>
                            <a:noFill/>
                          </a:ln>
                        </wps:spPr>
                        <wps:txbx>
                          <w:txbxContent>
                            <w:p>
                              <w:pPr>
                                <w:pStyle w:val="18"/>
                                <w:adjustRightInd w:val="0"/>
                                <w:snapToGrid w:val="0"/>
                                <w:spacing w:before="0" w:beforeAutospacing="0" w:after="0" w:afterAutospacing="0"/>
                                <w:jc w:val="center"/>
                                <w:rPr>
                                  <w:rFonts w:hint="eastAsia"/>
                                  <w:sz w:val="11"/>
                                  <w:szCs w:val="11"/>
                                </w:rPr>
                              </w:pPr>
                              <w:r>
                                <w:rPr>
                                  <w:rFonts w:hint="eastAsia" w:cs="Times New Roman"/>
                                  <w:color w:val="000000"/>
                                  <w:sz w:val="11"/>
                                  <w:szCs w:val="11"/>
                                </w:rPr>
                                <w:t>冲击持续时间</w:t>
                              </w:r>
                            </w:p>
                          </w:txbxContent>
                        </wps:txbx>
                        <wps:bodyPr rot="0" vert="horz" wrap="square" lIns="91440" tIns="45720" rIns="91440" bIns="45720" anchor="t" anchorCtr="0" upright="1">
                          <a:noAutofit/>
                        </wps:bodyPr>
                      </wps:wsp>
                      <wpg:wgp>
                        <wpg:cNvPr id="1301" name="组合 15603"/>
                        <wpg:cNvGrpSpPr/>
                        <wpg:grpSpPr>
                          <a:xfrm>
                            <a:off x="72735" y="59235"/>
                            <a:ext cx="438150" cy="1783505"/>
                            <a:chOff x="0" y="0"/>
                            <a:chExt cx="438150" cy="1805084"/>
                          </a:xfrm>
                        </wpg:grpSpPr>
                        <wps:wsp>
                          <wps:cNvPr id="1302" name="TextBox 94"/>
                          <wps:cNvSpPr txBox="1">
                            <a:spLocks noChangeArrowheads="1"/>
                          </wps:cNvSpPr>
                          <wps:spPr bwMode="auto">
                            <a:xfrm>
                              <a:off x="0" y="0"/>
                              <a:ext cx="438150" cy="243840"/>
                            </a:xfrm>
                            <a:prstGeom prst="rect">
                              <a:avLst/>
                            </a:prstGeom>
                            <a:noFill/>
                            <a:ln>
                              <a:noFill/>
                            </a:ln>
                          </wps:spPr>
                          <wps:txbx>
                            <w:txbxContent>
                              <w:p>
                                <w:pPr>
                                  <w:pStyle w:val="18"/>
                                  <w:spacing w:before="0" w:beforeAutospacing="0" w:after="0" w:afterAutospacing="0"/>
                                  <w:jc w:val="right"/>
                                  <w:rPr>
                                    <w:rFonts w:hint="eastAsia"/>
                                    <w:sz w:val="15"/>
                                    <w:szCs w:val="15"/>
                                  </w:rPr>
                                </w:pPr>
                                <w:r>
                                  <w:rPr>
                                    <w:rFonts w:cs="Times New Roman"/>
                                    <w:color w:val="000000"/>
                                    <w:sz w:val="15"/>
                                    <w:szCs w:val="15"/>
                                  </w:rPr>
                                  <w:t>1.5</w:t>
                                </w:r>
                              </w:p>
                            </w:txbxContent>
                          </wps:txbx>
                          <wps:bodyPr rot="0" vert="horz" wrap="square" lIns="91440" tIns="45720" rIns="91440" bIns="45720" anchor="t" anchorCtr="0" upright="1">
                            <a:noAutofit/>
                          </wps:bodyPr>
                        </wps:wsp>
                        <wps:wsp>
                          <wps:cNvPr id="1303" name="TextBox 97"/>
                          <wps:cNvSpPr txBox="1">
                            <a:spLocks noChangeArrowheads="1"/>
                          </wps:cNvSpPr>
                          <wps:spPr bwMode="auto">
                            <a:xfrm>
                              <a:off x="0" y="307427"/>
                              <a:ext cx="438150" cy="237490"/>
                            </a:xfrm>
                            <a:prstGeom prst="rect">
                              <a:avLst/>
                            </a:prstGeom>
                            <a:noFill/>
                            <a:ln>
                              <a:noFill/>
                            </a:ln>
                          </wps:spPr>
                          <wps:txbx>
                            <w:txbxContent>
                              <w:p>
                                <w:pPr>
                                  <w:pStyle w:val="18"/>
                                  <w:spacing w:before="0" w:beforeAutospacing="0" w:after="0" w:afterAutospacing="0"/>
                                  <w:jc w:val="right"/>
                                  <w:rPr>
                                    <w:rFonts w:hint="eastAsia"/>
                                    <w:sz w:val="15"/>
                                    <w:szCs w:val="15"/>
                                  </w:rPr>
                                </w:pPr>
                                <w:r>
                                  <w:rPr>
                                    <w:rFonts w:hint="eastAsia" w:cs="Times New Roman"/>
                                    <w:color w:val="000000"/>
                                    <w:sz w:val="15"/>
                                    <w:szCs w:val="15"/>
                                  </w:rPr>
                                  <w:t>1.0</w:t>
                                </w:r>
                              </w:p>
                            </w:txbxContent>
                          </wps:txbx>
                          <wps:bodyPr rot="0" vert="horz" wrap="square" lIns="91440" tIns="45720" rIns="91440" bIns="45720" anchor="t" anchorCtr="0" upright="1">
                            <a:noAutofit/>
                          </wps:bodyPr>
                        </wps:wsp>
                        <wps:wsp>
                          <wps:cNvPr id="1304" name="TextBox 98"/>
                          <wps:cNvSpPr txBox="1">
                            <a:spLocks noChangeArrowheads="1"/>
                          </wps:cNvSpPr>
                          <wps:spPr bwMode="auto">
                            <a:xfrm>
                              <a:off x="0" y="614763"/>
                              <a:ext cx="438150" cy="269310"/>
                            </a:xfrm>
                            <a:prstGeom prst="rect">
                              <a:avLst/>
                            </a:prstGeom>
                            <a:noFill/>
                            <a:ln>
                              <a:noFill/>
                            </a:ln>
                          </wps:spPr>
                          <wps:txbx>
                            <w:txbxContent>
                              <w:p>
                                <w:pPr>
                                  <w:pStyle w:val="18"/>
                                  <w:spacing w:before="0" w:beforeAutospacing="0" w:after="0" w:afterAutospacing="0"/>
                                  <w:jc w:val="right"/>
                                  <w:rPr>
                                    <w:rFonts w:hint="eastAsia"/>
                                    <w:sz w:val="15"/>
                                    <w:szCs w:val="15"/>
                                  </w:rPr>
                                </w:pPr>
                                <w:r>
                                  <w:rPr>
                                    <w:rFonts w:cs="Times New Roman"/>
                                    <w:color w:val="000000"/>
                                    <w:sz w:val="15"/>
                                    <w:szCs w:val="15"/>
                                  </w:rPr>
                                  <w:t>0.5</w:t>
                                </w:r>
                              </w:p>
                            </w:txbxContent>
                          </wps:txbx>
                          <wps:bodyPr rot="0" vert="horz" wrap="square" lIns="91440" tIns="45720" rIns="91440" bIns="45720" anchor="t" anchorCtr="0" upright="1">
                            <a:noAutofit/>
                          </wps:bodyPr>
                        </wps:wsp>
                        <wps:wsp>
                          <wps:cNvPr id="1305" name="TextBox 99"/>
                          <wps:cNvSpPr txBox="1">
                            <a:spLocks noChangeArrowheads="1"/>
                          </wps:cNvSpPr>
                          <wps:spPr bwMode="auto">
                            <a:xfrm>
                              <a:off x="0" y="898634"/>
                              <a:ext cx="438150" cy="268605"/>
                            </a:xfrm>
                            <a:prstGeom prst="rect">
                              <a:avLst/>
                            </a:prstGeom>
                            <a:noFill/>
                            <a:ln>
                              <a:noFill/>
                            </a:ln>
                          </wps:spPr>
                          <wps:txbx>
                            <w:txbxContent>
                              <w:p>
                                <w:pPr>
                                  <w:pStyle w:val="18"/>
                                  <w:spacing w:before="0" w:beforeAutospacing="0" w:after="0" w:afterAutospacing="0"/>
                                  <w:jc w:val="right"/>
                                  <w:rPr>
                                    <w:rFonts w:hint="eastAsia"/>
                                    <w:sz w:val="15"/>
                                    <w:szCs w:val="15"/>
                                  </w:rPr>
                                </w:pPr>
                                <w:r>
                                  <w:rPr>
                                    <w:rFonts w:hint="eastAsia" w:cs="Times New Roman"/>
                                    <w:color w:val="000000"/>
                                    <w:sz w:val="15"/>
                                    <w:szCs w:val="15"/>
                                  </w:rPr>
                                  <w:t>0</w:t>
                                </w:r>
                              </w:p>
                            </w:txbxContent>
                          </wps:txbx>
                          <wps:bodyPr rot="0" vert="horz" wrap="square" lIns="91440" tIns="45720" rIns="91440" bIns="45720" anchor="t" anchorCtr="0" upright="1">
                            <a:noAutofit/>
                          </wps:bodyPr>
                        </wps:wsp>
                        <wps:wsp>
                          <wps:cNvPr id="1306" name="TextBox 100"/>
                          <wps:cNvSpPr txBox="1">
                            <a:spLocks noChangeArrowheads="1"/>
                          </wps:cNvSpPr>
                          <wps:spPr bwMode="auto">
                            <a:xfrm>
                              <a:off x="0" y="1237431"/>
                              <a:ext cx="438150" cy="310066"/>
                            </a:xfrm>
                            <a:prstGeom prst="rect">
                              <a:avLst/>
                            </a:prstGeom>
                            <a:noFill/>
                            <a:ln>
                              <a:noFill/>
                            </a:ln>
                          </wps:spPr>
                          <wps:txbx>
                            <w:txbxContent>
                              <w:p>
                                <w:pPr>
                                  <w:pStyle w:val="18"/>
                                  <w:spacing w:before="0" w:beforeAutospacing="0" w:after="0" w:afterAutospacing="0"/>
                                  <w:jc w:val="right"/>
                                  <w:rPr>
                                    <w:rFonts w:hint="eastAsia"/>
                                    <w:sz w:val="15"/>
                                    <w:szCs w:val="15"/>
                                  </w:rPr>
                                </w:pPr>
                                <w:r>
                                  <w:rPr>
                                    <w:rFonts w:hint="eastAsia"/>
                                    <w:sz w:val="15"/>
                                    <w:szCs w:val="15"/>
                                  </w:rPr>
                                  <w:t>-0.5</w:t>
                                </w:r>
                              </w:p>
                            </w:txbxContent>
                          </wps:txbx>
                          <wps:bodyPr rot="0" vert="horz" wrap="square" lIns="91440" tIns="45720" rIns="91440" bIns="45720" anchor="t" anchorCtr="0" upright="1">
                            <a:noAutofit/>
                          </wps:bodyPr>
                        </wps:wsp>
                        <wps:wsp>
                          <wps:cNvPr id="1307" name="TextBox 101"/>
                          <wps:cNvSpPr txBox="1">
                            <a:spLocks noChangeArrowheads="1"/>
                          </wps:cNvSpPr>
                          <wps:spPr bwMode="auto">
                            <a:xfrm>
                              <a:off x="0" y="1521177"/>
                              <a:ext cx="438150" cy="283907"/>
                            </a:xfrm>
                            <a:prstGeom prst="rect">
                              <a:avLst/>
                            </a:prstGeom>
                            <a:noFill/>
                            <a:ln>
                              <a:noFill/>
                            </a:ln>
                          </wps:spPr>
                          <wps:txbx>
                            <w:txbxContent>
                              <w:p>
                                <w:pPr>
                                  <w:pStyle w:val="18"/>
                                  <w:spacing w:before="0" w:beforeAutospacing="0" w:after="0" w:afterAutospacing="0"/>
                                  <w:jc w:val="right"/>
                                  <w:rPr>
                                    <w:rFonts w:hint="eastAsia"/>
                                    <w:sz w:val="15"/>
                                    <w:szCs w:val="15"/>
                                  </w:rPr>
                                </w:pPr>
                                <w:r>
                                  <w:rPr>
                                    <w:rFonts w:cs="Times New Roman"/>
                                    <w:color w:val="000000"/>
                                    <w:sz w:val="15"/>
                                    <w:szCs w:val="15"/>
                                  </w:rPr>
                                  <w:t>-1</w:t>
                                </w:r>
                                <w:r>
                                  <w:rPr>
                                    <w:rFonts w:hint="eastAsia" w:cs="Times New Roman"/>
                                    <w:color w:val="000000"/>
                                    <w:sz w:val="15"/>
                                    <w:szCs w:val="15"/>
                                  </w:rPr>
                                  <w:t>.0</w:t>
                                </w:r>
                              </w:p>
                            </w:txbxContent>
                          </wps:txbx>
                          <wps:bodyPr rot="0" vert="horz" wrap="square" lIns="91440" tIns="45720" rIns="91440" bIns="45720" anchor="t" anchorCtr="0" upright="1">
                            <a:noAutofit/>
                          </wps:bodyPr>
                        </wps:wsp>
                      </wpg:wgp>
                      <wps:wsp>
                        <wps:cNvPr id="1308" name="Text Box 902"/>
                        <wps:cNvSpPr txBox="1">
                          <a:spLocks noChangeArrowheads="1"/>
                        </wps:cNvSpPr>
                        <wps:spPr bwMode="auto">
                          <a:xfrm>
                            <a:off x="59055" y="145415"/>
                            <a:ext cx="196850" cy="718185"/>
                          </a:xfrm>
                          <a:prstGeom prst="rect">
                            <a:avLst/>
                          </a:prstGeom>
                          <a:noFill/>
                          <a:ln>
                            <a:noFill/>
                          </a:ln>
                        </wps:spPr>
                        <wps:txbx>
                          <w:txbxContent>
                            <w:p>
                              <w:pPr>
                                <w:pStyle w:val="6"/>
                                <w:rPr>
                                  <w:rFonts w:hint="eastAsia"/>
                                </w:rPr>
                              </w:pPr>
                              <w:r>
                                <w:rPr>
                                  <w:rFonts w:hint="eastAsia"/>
                                </w:rPr>
                                <w:t>电压(V</w:t>
                              </w:r>
                              <w:r>
                                <w:t>）</w:t>
                              </w:r>
                            </w:p>
                          </w:txbxContent>
                        </wps:txbx>
                        <wps:bodyPr rot="0" vert="vert270" wrap="square" lIns="0" tIns="0" rIns="0" bIns="0" anchor="t" anchorCtr="0" upright="1">
                          <a:noAutofit/>
                        </wps:bodyPr>
                      </wps:wsp>
                    </wpc:wpc>
                  </a:graphicData>
                </a:graphic>
              </wp:anchor>
            </w:drawing>
          </mc:Choice>
          <mc:Fallback>
            <w:pict>
              <v:group id="画布 15610" o:spid="_x0000_s1026" o:spt="203" style="position:absolute;left:0pt;margin-left:183.75pt;margin-top:0.9pt;height:188.3pt;width:230.55pt;mso-wrap-distance-bottom:0pt;mso-wrap-distance-left:9pt;mso-wrap-distance-right:9pt;mso-wrap-distance-top:0pt;z-index:251663360;mso-width-relative:page;mso-height-relative:page;" coordsize="2927985,2391410" editas="canvas" o:gfxdata="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">
                <o:lock v:ext="edit" aspectratio="f"/>
                <v:shape id="画布 15610" o:spid="_x0000_s1026" style="position:absolute;left:0;top:0;height:2391410;width:2927985;" filled="f" stroked="f" coordsize="21600,21600" o:gfxdata="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">
                  <v:fill on="f" focussize="0,0"/>
                  <v:stroke on="f"/>
                  <v:imagedata o:title=""/>
                  <o:lock v:ext="edit" aspectratio="f"/>
                </v:shape>
                <v:group id="组合 15521" o:spid="_x0000_s1026" o:spt="203" style="position:absolute;left:510884;top:183202;height:1525373;width:2135430;" coordorigin="663451,237371" coordsize="3995367,2857744" o:gfxdata="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">
                  <o:lock v:ext="edit" aspectratio="f"/>
                  <v:line id="直接连接符 15522" o:spid="_x0000_s1026" o:spt="20" style="position:absolute;left:2657867;top:-1750191;height:3988830;width:0;rotation:-5898240f;" filled="f" stroked="t" coordsize="21600,21600" o:gfxdata="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WZELCvQAA&#10;AN0AAAAPAAAAAAAAAAEAIAAAACIAAABkcnMvZG93bnJldi54bWxQSwECFAAUAAAACACHTuJAMy8F&#10;njsAAAA5AAAAEAAAAAAAAAABACAAAAAMAQAAZHJzL3NoYXBleG1sLnhtbFBLBQYAAAAABgAGAFsB&#10;AAC2AwAAAAA=&#10;">
                    <v:fill on="f" focussize="0,0"/>
                    <v:stroke color="#000001" joinstyle="round"/>
                    <v:imagedata o:title=""/>
                    <o:lock v:ext="edit" aspectratio="f"/>
                  </v:line>
                  <v:line id="直接连接符 15523" o:spid="_x0000_s1026" o:spt="20" style="position:absolute;left:2657866;top:-1180012;height:3988831;width:0;rotation:-5898240f;" filled="f" stroked="t" coordsize="21600,21600" o:gfxdata="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wHzqvQAA&#10;AN0AAAAPAAAAAAAAAAEAIAAAACIAAABkcnMvZG93bnJldi54bWxQSwECFAAUAAAACACHTuJAMy8F&#10;njsAAAA5AAAAEAAAAAAAAAABACAAAAAMAQAAZHJzL3NoYXBleG1sLnhtbFBLBQYAAAAABgAGAFsB&#10;AAC2AwAAAAA=&#10;">
                    <v:fill on="f" focussize="0,0"/>
                    <v:stroke color="#000001" joinstyle="round" dashstyle="1 1"/>
                    <v:imagedata o:title=""/>
                    <o:lock v:ext="edit" aspectratio="f"/>
                  </v:line>
                  <v:line id="直接连接符 15524" o:spid="_x0000_s1026" o:spt="20" style="position:absolute;left:2657866;top:-609834;height:3988831;width:0;rotation:-5898240f;" filled="f" stroked="t" coordsize="21600,21600" o:gfxdata="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iKeSevQAA&#10;AN0AAAAPAAAAAAAAAAEAIAAAACIAAABkcnMvZG93bnJldi54bWxQSwECFAAUAAAACACHTuJAMy8F&#10;njsAAAA5AAAAEAAAAAAAAAABACAAAAAMAQAAZHJzL3NoYXBleG1sLnhtbFBLBQYAAAAABgAGAFsB&#10;AAC2AwAAAAA=&#10;">
                    <v:fill on="f" focussize="0,0"/>
                    <v:stroke color="#000001" joinstyle="round" dashstyle="1 1"/>
                    <v:imagedata o:title=""/>
                    <o:lock v:ext="edit" aspectratio="f"/>
                  </v:line>
                  <v:line id="直接连接符 15525" o:spid="_x0000_s1026" o:spt="20" style="position:absolute;left:2657867;top:-39656;height:3988830;width:0;rotation:-5898240f;" filled="f" stroked="t" coordsize="21600,21600" o:gfxdata="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1lQQW8AAAA&#10;3QAAAA8AAAAAAAAAAQAgAAAAIgAAAGRycy9kb3ducmV2LnhtbFBLAQIUABQAAAAIAIdO4kAzLwWe&#10;OwAAADkAAAAQAAAAAAAAAAEAIAAAAAsBAABkcnMvc2hhcGV4bWwueG1sUEsFBgAAAAAGAAYAWwEA&#10;ALUDAAAAAA==&#10;">
                    <v:fill on="f" focussize="0,0"/>
                    <v:stroke color="#000001" joinstyle="round" dashstyle="1 1"/>
                    <v:imagedata o:title=""/>
                    <o:lock v:ext="edit" aspectratio="f"/>
                  </v:line>
                  <v:line id="直接连接符 15526" o:spid="_x0000_s1026" o:spt="20" style="position:absolute;left:2657866;top:530522;height:3988831;width:0;rotation:-5898240f;" filled="f" stroked="t" coordsize="21600,21600" o:gfxdata="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2333K8AAAA&#10;3QAAAA8AAAAAAAAAAQAgAAAAIgAAAGRycy9kb3ducmV2LnhtbFBLAQIUABQAAAAIAIdO4kAzLwWe&#10;OwAAADkAAAAQAAAAAAAAAAEAIAAAAAsBAABkcnMvc2hhcGV4bWwueG1sUEsFBgAAAAAGAAYAWwEA&#10;ALUDAAAAAA==&#10;">
                    <v:fill on="f" focussize="0,0"/>
                    <v:stroke color="#000001" joinstyle="round" dashstyle="1 1"/>
                    <v:imagedata o:title=""/>
                    <o:lock v:ext="edit" aspectratio="f"/>
                  </v:line>
                  <v:group id="组合 15527" o:spid="_x0000_s1026" o:spt="203" style="position:absolute;left:663452;top:244224;height:2849165;width:110459;" coordorigin="628650,95250" coordsize="153525,3960000" o:gfxdata="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IVkOpm+AAAA3QAAAA8AAAAAAAAAAQAgAAAAIgAAAGRycy9kb3ducmV2Lnht&#10;bFBLAQIUABQAAAAIAIdO4kAzLwWeOwAAADkAAAAVAAAAAAAAAAEAIAAAAA0BAABkcnMvZ3JvdXBz&#10;aGFwZXhtbC54bWxQSwUGAAAAAAYABgBgAQAAygMAAAAA&#10;">
                    <o:lock v:ext="edit" aspectratio="f"/>
                    <v:line id="直接连接符 15528" o:spid="_x0000_s1026" o:spt="20" style="position:absolute;left:628650;top:95250;height:3960000;width:0;" filled="f" stroked="t" coordsize="21600,21600" o:gfxdata="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qX4pXvQAA&#10;AN0AAAAPAAAAAAAAAAEAIAAAACIAAABkcnMvZG93bnJldi54bWxQSwECFAAUAAAACACHTuJAMy8F&#10;njsAAAA5AAAAEAAAAAAAAAABACAAAAAMAQAAZHJzL3NoYXBleG1sLnhtbFBLBQYAAAAABgAGAFsB&#10;AAC2AwAAAAA=&#10;">
                      <v:fill on="f" focussize="0,0"/>
                      <v:stroke color="#000001" joinstyle="round"/>
                      <v:imagedata o:title=""/>
                      <o:lock v:ext="edit" aspectratio="f"/>
                    </v:line>
                    <v:group id="组合 15529" o:spid="_x0000_s1026" o:spt="203" style="position:absolute;left:638175;top:244222;height:3645407;width:144000;" coordorigin="638175,244221" coordsize="144000,3645408" o:gfxdata="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Ju3C3C+AAAA3QAAAA8AAAAAAAAAAQAgAAAAIgAAAGRycy9kb3ducmV2Lnht&#10;bFBLAQIUABQAAAAIAIdO4kAzLwWeOwAAADkAAAAVAAAAAAAAAAEAIAAAAA0BAABkcnMvZ3JvdXBz&#10;aGFwZXhtbC54bWxQSwUGAAAAAAYABgBgAQAAygMAAAAA&#10;">
                      <o:lock v:ext="edit" aspectratio="f"/>
                      <v:group id="组合 15530" o:spid="_x0000_s1026" o:spt="203" style="position:absolute;left:638175;top:244221;height:475488;width:144000;" coordorigin="638175,244221" coordsize="144000,475488" o:gfxdata="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E4WhQvwAAAN0AAAAPAAAAAAAAAAEAIAAAACIAAABkcnMvZG93bnJldi54&#10;bWxQSwECFAAUAAAACACHTuJAMy8FnjsAAAA5AAAAFQAAAAAAAAABACAAAAAOAQAAZHJzL2dyb3Vw&#10;c2hhcGV4bWwueG1sUEsFBgAAAAAGAAYAYAEAAMsDAAAAAA==&#10;">
                        <o:lock v:ext="edit" aspectratio="f"/>
                        <v:line id="直接连接符 15531" o:spid="_x0000_s1026" o:spt="20" style="position:absolute;left:710175;top:172221;height:144000;width:0;rotation:-5898240f;" filled="f" stroked="t" coordsize="21600,21600" o:gfxdata="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jaFgi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line id="直接连接符 15532" o:spid="_x0000_s1026" o:spt="20" style="position:absolute;left:710175;top:330716;height:144000;width:0;rotation:-5898240f;" filled="f" stroked="t" coordsize="21600,21600" o:gfxdata="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YCIh/vQAA&#10;AN0AAAAPAAAAAAAAAAEAIAAAACIAAABkcnMvZG93bnJldi54bWxQSwECFAAUAAAACACHTuJAMy8F&#10;njsAAAA5AAAAEAAAAAAAAAABACAAAAAMAQAAZHJzL3NoYXBleG1sLnhtbFBLBQYAAAAABgAGAFsB&#10;AAC2AwAAAAA=&#10;">
                          <v:fill on="f" focussize="0,0"/>
                          <v:stroke color="#000001" joinstyle="round"/>
                          <v:imagedata o:title=""/>
                          <o:lock v:ext="edit" aspectratio="f"/>
                        </v:line>
                        <v:line id="直接连接符 15533" o:spid="_x0000_s1026" o:spt="20" style="position:absolute;left:710175;top:489213;height:144000;width:0;rotation:-5898240f;" filled="f" stroked="t" coordsize="21600,21600" o:gfxdata="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dELeS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line id="直接连接符 15534" o:spid="_x0000_s1026" o:spt="20" style="position:absolute;left:710175;top:647709;height:144000;width:0;rotation:-5898240f;" filled="f" stroked="t" coordsize="21600,21600" o:gfxdata="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ittZC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group>
                      <v:group id="组合 15535" o:spid="_x0000_s1026" o:spt="203" style="position:absolute;left:638175;top:1036701;height:475488;width:144000;" coordorigin="638175,1036701" coordsize="144000,475488" o:gfxdata="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NSWy8i+AAAA3QAAAA8AAAAAAAAAAQAgAAAAIgAAAGRycy9kb3ducmV2Lnht&#10;bFBLAQIUABQAAAAIAIdO4kAzLwWeOwAAADkAAAAVAAAAAAAAAAEAIAAAAA0BAABkcnMvZ3JvdXBz&#10;aGFwZXhtbC54bWxQSwUGAAAAAAYABgBgAQAAygMAAAAA&#10;">
                        <o:lock v:ext="edit" aspectratio="f"/>
                        <v:line id="直接连接符 15536" o:spid="_x0000_s1026" o:spt="20" style="position:absolute;left:710175;top:964701;height:144000;width:0;rotation:-5898240f;" filled="f" stroked="t" coordsize="21600,21600" o:gfxdata="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nM458vQAA&#10;AN0AAAAPAAAAAAAAAAEAIAAAACIAAABkcnMvZG93bnJldi54bWxQSwECFAAUAAAACACHTuJAMy8F&#10;njsAAAA5AAAAEAAAAAAAAAABACAAAAAMAQAAZHJzL3NoYXBleG1sLnhtbFBLBQYAAAAABgAGAFsB&#10;AAC2AwAAAAA=&#10;">
                          <v:fill on="f" focussize="0,0"/>
                          <v:stroke color="#000001" joinstyle="round"/>
                          <v:imagedata o:title=""/>
                          <o:lock v:ext="edit" aspectratio="f"/>
                        </v:line>
                        <v:line id="直接连接符 15537" o:spid="_x0000_s1026" o:spt="20" style="position:absolute;left:710175;top:1123197;height:144000;width:0;rotation:-5898240f;" filled="f" stroked="t" coordsize="21600,21600" o:gfxdata="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h/K+e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line id="直接连接符 15538" o:spid="_x0000_s1026" o:spt="20" style="position:absolute;left:710175;top:1281693;height:144000;width:0;rotation:-5898240f;" filled="f" stroked="t" coordsize="21600,21600" o:gfxdata="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ngv5W/&#10;AAAA3QAAAA8AAAAAAAAAAQAgAAAAIgAAAGRycy9kb3ducmV2LnhtbFBLAQIUABQAAAAIAIdO4kAz&#10;LwWeOwAAADkAAAAQAAAAAAAAAAEAIAAAAA4BAABkcnMvc2hhcGV4bWwueG1sUEsFBgAAAAAGAAYA&#10;WwEAALgDAAAAAA==&#10;">
                          <v:fill on="f" focussize="0,0"/>
                          <v:stroke color="#000001" joinstyle="round"/>
                          <v:imagedata o:title=""/>
                          <o:lock v:ext="edit" aspectratio="f"/>
                        </v:line>
                        <v:line id="直接连接符 15539" o:spid="_x0000_s1026" o:spt="20" style="position:absolute;left:710175;top:1440189;height:144000;width:0;rotation:-5898240f;" filled="f" stroked="t" coordsize="21600,21600" o:gfxdata="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qwaDr4A&#10;AADdAAAADwAAAAAAAAABACAAAAAiAAAAZHJzL2Rvd25yZXYueG1sUEsBAhQAFAAAAAgAh07iQDMv&#10;BZ47AAAAOQAAABAAAAAAAAAAAQAgAAAADQEAAGRycy9zaGFwZXhtbC54bWxQSwUGAAAAAAYABgBb&#10;AQAAtwMAAAAA&#10;">
                          <v:fill on="f" focussize="0,0"/>
                          <v:stroke color="#000001" joinstyle="round"/>
                          <v:imagedata o:title=""/>
                          <o:lock v:ext="edit" aspectratio="f"/>
                        </v:line>
                      </v:group>
                      <v:group id="组合 15540" o:spid="_x0000_s1026" o:spt="203" style="position:absolute;left:638175;top:2621661;height:475488;width:144000;" coordorigin="638175,2621661" coordsize="144000,475488" o:gfxdata="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">
                        <o:lock v:ext="edit" aspectratio="f"/>
                        <v:line id="直接连接符 15541" o:spid="_x0000_s1026" o:spt="20" style="position:absolute;left:710175;top:2549661;height:144000;width:0;rotation:-5898240f;" filled="f" stroked="t" coordsize="21600,21600" o:gfxdata="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QOA1bsAAADd&#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15542" o:spid="_x0000_s1026" o:spt="20" style="position:absolute;left:710175;top:2708156;height:144000;width:0;rotation:-5898240f;" filled="f" stroked="t" coordsize="21600,21600" o:gfxdata="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d0R6ivQAA&#10;AN0AAAAPAAAAAAAAAAEAIAAAACIAAABkcnMvZG93bnJldi54bWxQSwECFAAUAAAACACHTuJAMy8F&#10;njsAAAA5AAAAEAAAAAAAAAABACAAAAAMAQAAZHJzL3NoYXBleG1sLnhtbFBLBQYAAAAABgAGAFsB&#10;AAC2AwAAAAA=&#10;">
                          <v:fill on="f" focussize="0,0"/>
                          <v:stroke color="#000001" joinstyle="round"/>
                          <v:imagedata o:title=""/>
                          <o:lock v:ext="edit" aspectratio="f"/>
                        </v:line>
                        <v:line id="直接连接符 15543" o:spid="_x0000_s1026" o:spt="20" style="position:absolute;left:710175;top:2866653;height:144000;width:0;rotation:-5898240f;" filled="f" stroked="t" coordsize="21600,21600" o:gfxdata="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Kduzm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line id="直接连接符 15544" o:spid="_x0000_s1026" o:spt="20" style="position:absolute;left:710175;top:3025149;height:144000;width:0;rotation:-5898240f;" filled="f" stroked="t" coordsize="21600,21600" o:gfxdata="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10I02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group>
                      <v:group id="组合 15545" o:spid="_x0000_s1026" o:spt="203" style="position:absolute;left:638175;top:1829180;height:475488;width:144000;" coordorigin="638175,1829181" coordsize="144000,475488" o:gfxdata="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FFPXRW+AAAA3QAAAA8AAAAAAAAAAQAgAAAAIgAAAGRycy9kb3ducmV2Lnht&#10;bFBLAQIUABQAAAAIAIdO4kAzLwWeOwAAADkAAAAVAAAAAAAAAAEAIAAAAA0BAABkcnMvZ3JvdXBz&#10;aGFwZXhtbC54bWxQSwUGAAAAAAYABgBgAQAAygMAAAAA&#10;">
                        <o:lock v:ext="edit" aspectratio="f"/>
                        <v:line id="直接连接符 15546" o:spid="_x0000_s1026" o:spt="20" style="position:absolute;left:710175;top:1757181;height:144000;width:0;rotation:-5898240f;" filled="f" stroked="t" coordsize="21600,21600" o:gfxdata="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LqGKG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line id="直接连接符 15547" o:spid="_x0000_s1026" o:spt="20" style="position:absolute;left:710175;top:1915677;height:144000;width:0;rotation:-5898240f;" filled="f" stroked="t" coordsize="21600,21600" o:gfxdata="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2mvTq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line id="直接连接符 15548" o:spid="_x0000_s1026" o:spt="20" style="position:absolute;left:710175;top:2074174;height:144000;width:0;rotation:-5898240f;" filled="f" stroked="t" coordsize="21600,21600" o:gfxdata="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w5KUi/&#10;AAAA3QAAAA8AAAAAAAAAAQAgAAAAIgAAAGRycy9kb3ducmV2LnhtbFBLAQIUABQAAAAIAIdO4kAz&#10;LwWeOwAAADkAAAAQAAAAAAAAAAEAIAAAAA4BAABkcnMvc2hhcGV4bWwueG1sUEsFBgAAAAAGAAYA&#10;WwEAALgDAAAAAA==&#10;">
                          <v:fill on="f" focussize="0,0"/>
                          <v:stroke color="#000001" joinstyle="round"/>
                          <v:imagedata o:title=""/>
                          <o:lock v:ext="edit" aspectratio="f"/>
                        </v:line>
                        <v:line id="直接连接符 15549" o:spid="_x0000_s1026" o:spt="20" style="position:absolute;left:710175;top:2232669;height:144000;width:0;rotation:-5898240f;" filled="f" stroked="t" coordsize="21600,21600" o:gfxdata="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N1jNO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group>
                      <v:group id="组合 15550" o:spid="_x0000_s1026" o:spt="203" style="position:absolute;left:638175;top:3414141;height:475488;width:144000;" coordorigin="638175,3414141" coordsize="144000,475488" o:gfxdata="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MEGqJvwAAANwAAAAPAAAAAAAAAAEAIAAAACIAAABkcnMvZG93bnJldi54&#10;bWxQSwECFAAUAAAACACHTuJAMy8FnjsAAAA5AAAAFQAAAAAAAAABACAAAAAOAQAAZHJzL2dyb3Vw&#10;c2hhcGV4bWwueG1sUEsFBgAAAAAGAAYAYAEAAMsDAAAAAA==&#10;">
                        <o:lock v:ext="edit" aspectratio="f"/>
                        <v:line id="直接连接符 15551" o:spid="_x0000_s1026" o:spt="20" style="position:absolute;left:710175;top:3342141;height:144000;width:0;rotation:-5898240f;" filled="f" stroked="t" coordsize="21600,21600" o:gfxdata="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v42xb4A&#10;AADcAAAADwAAAAAAAAABACAAAAAiAAAAZHJzL2Rvd25yZXYueG1sUEsBAhQAFAAAAAgAh07iQDMv&#10;BZ47AAAAOQAAABAAAAAAAAAAAQAgAAAADQEAAGRycy9zaGFwZXhtbC54bWxQSwUGAAAAAAYABgBb&#10;AQAAtwMAAAAA&#10;">
                          <v:fill on="f" focussize="0,0"/>
                          <v:stroke color="#000001" joinstyle="round"/>
                          <v:imagedata o:title=""/>
                          <o:lock v:ext="edit" aspectratio="f"/>
                        </v:line>
                        <v:line id="直接连接符 15552" o:spid="_x0000_s1026" o:spt="20" style="position:absolute;left:710175;top:3500637;height:144000;width:0;rotation:-5898240f;" filled="f" stroked="t" coordsize="21600,21600" o:gfxdata="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Reusb4A&#10;AADcAAAADwAAAAAAAAABACAAAAAiAAAAZHJzL2Rvd25yZXYueG1sUEsBAhQAFAAAAAgAh07iQDMv&#10;BZ47AAAAOQAAABAAAAAAAAAAAQAgAAAADQEAAGRycy9zaGFwZXhtbC54bWxQSwUGAAAAAAYABgBb&#10;AQAAtwMAAAAA&#10;">
                          <v:fill on="f" focussize="0,0"/>
                          <v:stroke color="#000001" joinstyle="round"/>
                          <v:imagedata o:title=""/>
                          <o:lock v:ext="edit" aspectratio="f"/>
                        </v:line>
                        <v:line id="直接连接符 15553" o:spid="_x0000_s1026" o:spt="20" style="position:absolute;left:710175;top:3659133;height:144000;width:0;rotation:-5898240f;" filled="f" stroked="t" coordsize="21600,21600" o:gfxdata="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lsLKr4A&#10;AADcAAAADwAAAAAAAAABACAAAAAiAAAAZHJzL2Rvd25yZXYueG1sUEsBAhQAFAAAAAgAh07iQDMv&#10;BZ47AAAAOQAAABAAAAAAAAAAAQAgAAAADQEAAGRycy9zaGFwZXhtbC54bWxQSwUGAAAAAAYABgBb&#10;AQAAtwMAAAAA&#10;">
                          <v:fill on="f" focussize="0,0"/>
                          <v:stroke color="#000001" joinstyle="round"/>
                          <v:imagedata o:title=""/>
                          <o:lock v:ext="edit" aspectratio="f"/>
                        </v:line>
                        <v:line id="直接连接符 15554" o:spid="_x0000_s1026" o:spt="20" style="position:absolute;left:710175;top:3817629;height:144000;width:0;rotation:-5898240f;" filled="f" stroked="t" coordsize="21600,21600" o:gfxdata="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OiZVdvQAA&#10;ANwAAAAPAAAAAAAAAAEAIAAAACIAAABkcnMvZG93bnJldi54bWxQSwECFAAUAAAACACHTuJAMy8F&#10;njsAAAA5AAAAEAAAAAAAAAABACAAAAAMAQAAZHJzL3NoYXBleG1sLnhtbFBLBQYAAAAABgAGAFsB&#10;AAC2AwAAAAA=&#10;">
                          <v:fill on="f" focussize="0,0"/>
                          <v:stroke color="#000001" joinstyle="round"/>
                          <v:imagedata o:title=""/>
                          <o:lock v:ext="edit" aspectratio="f"/>
                        </v:line>
                      </v:group>
                    </v:group>
                  </v:group>
                  <v:line id="直接连接符 15555" o:spid="_x0000_s1026" o:spt="20" style="position:absolute;left:4658812;top:237371;height:2849165;width:0;" filled="f" stroked="t" coordsize="21600,21600" o:gfxdata="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to+5TvQAA&#10;ANwAAAAPAAAAAAAAAAEAIAAAACIAAABkcnMvZG93bnJldi54bWxQSwECFAAUAAAACACHTuJAMy8F&#10;njsAAAA5AAAAEAAAAAAAAAABACAAAAAMAQAAZHJzL3NoYXBleG1sLnhtbFBLBQYAAAAABgAGAFsB&#10;AAC2AwAAAAA=&#10;">
                    <v:fill on="f" focussize="0,0"/>
                    <v:stroke color="#000001" joinstyle="round"/>
                    <v:imagedata o:title=""/>
                    <o:lock v:ext="edit" aspectratio="f"/>
                  </v:line>
                  <v:line id="直接连接符 15556" o:spid="_x0000_s1026" o:spt="20" style="position:absolute;left:3327025;top:237371;height:2849165;width:0;" filled="f" stroked="t" coordsize="21600,21600" o:gfxdata="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">
                    <v:fill on="f" focussize="0,0"/>
                    <v:stroke color="#000001" joinstyle="round" dashstyle="1 1"/>
                    <v:imagedata o:title=""/>
                    <o:lock v:ext="edit" aspectratio="f"/>
                  </v:line>
                  <v:line id="直接连接符 15557" o:spid="_x0000_s1026" o:spt="20" style="position:absolute;left:1995239;top:244224;height:2849165;width:0;" filled="f" stroked="t" coordsize="21600,21600" o:gfxdata="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CR3W/u2AAAA3AAAAA8A&#10;AAAAAAAAAQAgAAAAIgAAAGRycy9kb3ducmV2LnhtbFBLAQIUABQAAAAIAIdO4kAzLwWeOwAAADkA&#10;AAAQAAAAAAAAAAEAIAAAAAUBAABkcnMvc2hhcGV4bWwueG1sUEsFBgAAAAAGAAYAWwEAAK8DAAAA&#10;AA==&#10;">
                    <v:fill on="f" focussize="0,0"/>
                    <v:stroke color="#000001" joinstyle="round" dashstyle="1 1"/>
                    <v:imagedata o:title=""/>
                    <o:lock v:ext="edit" aspectratio="f"/>
                  </v:line>
                  <v:group id="组合 15558" o:spid="_x0000_s1026" o:spt="203" style="position:absolute;left:663451;top:2988488;height:106627;width:3988831;" coordorigin="628649,3909450" coordsize="5544000,148199" o:gfxdata="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">
                    <o:lock v:ext="edit" aspectratio="f"/>
                    <v:line id="直接连接符 15559" o:spid="_x0000_s1026" o:spt="20" style="position:absolute;left:3400649;top:1285649;height:5544000;width:0;rotation:-5898240f;" filled="f" stroked="t" coordsize="21600,21600" o:gfxdata="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YwZ1JvQAA&#10;AN0AAAAPAAAAAAAAAAEAIAAAACIAAABkcnMvZG93bnJldi54bWxQSwECFAAUAAAACACHTuJAMy8F&#10;njsAAAA5AAAAEAAAAAAAAAABACAAAAAMAQAAZHJzL3NoYXBleG1sLnhtbFBLBQYAAAAABgAGAFsB&#10;AAC2AwAAAAA=&#10;">
                      <v:fill on="f" focussize="0,0"/>
                      <v:stroke color="#000001" joinstyle="round"/>
                      <v:imagedata o:title=""/>
                      <o:lock v:ext="edit" aspectratio="f"/>
                    </v:line>
                    <v:group id="组合 15560" o:spid="_x0000_s1026" o:spt="203" style="position:absolute;left:813753;top:3909450;height:144000;width:5195569;" coordorigin="813753,3909450" coordsize="5195569,144000" o:gfxdata="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ArZNj9vAAAAN0AAAAPAAAAAAAAAAEAIAAAACIAAABkcnMvZG93bnJldi54bWxQ&#10;SwECFAAUAAAACACHTuJAMy8FnjsAAAA5AAAAFQAAAAAAAAABACAAAAALAQAAZHJzL2dyb3Vwc2hh&#10;cGV4bWwueG1sUEsFBgAAAAAGAAYAYAEAAMgDAAAAAA==&#10;">
                      <o:lock v:ext="edit" aspectratio="f"/>
                      <v:group id="组合 15561" o:spid="_x0000_s1026" o:spt="203" style="position:absolute;left:813753;top:3909450;height:144000;width:1480819;" coordorigin="813753,3909450" coordsize="1480819,144000" o:gfxdata="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EKH1mvAAAAN0AAAAPAAAAAAAAAAEAIAAAACIAAABkcnMvZG93bnJldi54bWxQ&#10;SwECFAAUAAAACACHTuJAMy8FnjsAAAA5AAAAFQAAAAAAAAABACAAAAALAQAAZHJzL2dyb3Vwc2hh&#10;cGV4bWwueG1sUEsFBgAAAAAGAAYAYAEAAMgDAAAAAA==&#10;">
                        <o:lock v:ext="edit" aspectratio="f"/>
                        <v:line id="直接连接符 15562" o:spid="_x0000_s1026" o:spt="20" style="position:absolute;left:813753;top:3909450;height:144000;width:0;rotation:11796480f;" filled="f" stroked="t" coordsize="21600,21600" o:gfxdata="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FriOLsAAADd&#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15563" o:spid="_x0000_s1026" o:spt="20" style="position:absolute;left:998856;top:3909450;height:144000;width:0;rotation:11796480f;" filled="f" stroked="t" coordsize="21600,21600" o:gfxdata="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xZHo7sAAADd&#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15564" o:spid="_x0000_s1026" o:spt="20" style="position:absolute;left:1183959;top:3909450;height:144000;width:0;rotation:11796480f;" filled="f" stroked="t" coordsize="21600,21600" o:gfxdata="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Ih8T7sAAADd&#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15565" o:spid="_x0000_s1026" o:spt="20" style="position:absolute;left:1369062;top:3909450;height:144000;width:0;rotation:11796480f;" filled="f" stroked="t" coordsize="21600,21600" o:gfxdata="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RfoPb4A&#10;AADdAAAADwAAAAAAAAABACAAAAAiAAAAZHJzL2Rvd25yZXYueG1sUEsBAhQAFAAAAAgAh07iQDMv&#10;BZ47AAAAOQAAABAAAAAAAAAAAQAgAAAADQEAAGRycy9zaGFwZXhtbC54bWxQSwUGAAAAAAYABgBb&#10;AQAAtwMAAAAA&#10;">
                          <v:fill on="f" focussize="0,0"/>
                          <v:stroke color="#000001" joinstyle="round"/>
                          <v:imagedata o:title=""/>
                          <o:lock v:ext="edit" aspectratio="f"/>
                        </v:line>
                        <v:line id="直接连接符 15566" o:spid="_x0000_s1026" o:spt="20" style="position:absolute;left:1554163;top:3909450;height:144000;width:0;rotation:11796480f;" filled="f" stroked="t" coordsize="21600,21600" o:gfxdata="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ltNprsAAADd&#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15567" o:spid="_x0000_s1026" o:spt="20" style="position:absolute;left:1739266;top:3909450;height:144000;width:0;rotation:11796480f;" filled="f" stroked="t" coordsize="21600,21600" o:gfxdata="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q4cua/&#10;AAAA3QAAAA8AAAAAAAAAAQAgAAAAIgAAAGRycy9kb3ducmV2LnhtbFBLAQIUABQAAAAIAIdO4kAz&#10;LwWeOwAAADkAAAAQAAAAAAAAAAEAIAAAAA4BAABkcnMvc2hhcGV4bWwueG1sUEsFBgAAAAAGAAYA&#10;WwEAALgDAAAAAA==&#10;">
                          <v:fill on="f" focussize="0,0"/>
                          <v:stroke color="#000001" joinstyle="round"/>
                          <v:imagedata o:title=""/>
                          <o:lock v:ext="edit" aspectratio="f"/>
                        </v:line>
                        <v:line id="直接连接符 15568" o:spid="_x0000_s1026" o:spt="20" style="position:absolute;left:1924368;top:3909450;height:144000;width:0;rotation:11796480f;" filled="f" stroked="t" coordsize="21600,21600" o:gfxdata="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9fTXfbsAAADd&#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15569" o:spid="_x0000_s1026" o:spt="20" style="position:absolute;left:2109469;top:3909450;height:144000;width:0;rotation:11796480f;" filled="f" stroked="t" coordsize="21600,21600" o:gfxdata="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FJkkKvQAA&#10;AN0AAAAPAAAAAAAAAAEAIAAAACIAAABkcnMvZG93bnJldi54bWxQSwECFAAUAAAACACHTuJAMy8F&#10;njsAAAA5AAAAEAAAAAAAAAABACAAAAAMAQAAZHJzL3NoYXBleG1sLnhtbFBLBQYAAAAABgAGAFsB&#10;AAC2AwAAAAA=&#10;">
                          <v:fill on="f" focussize="0,0"/>
                          <v:stroke color="#000001" joinstyle="round"/>
                          <v:imagedata o:title=""/>
                          <o:lock v:ext="edit" aspectratio="f"/>
                        </v:line>
                        <v:line id="直接连接符 15570" o:spid="_x0000_s1026" o:spt="20" style="position:absolute;left:2294572;top:3909450;height:144000;width:0;rotation:11796480f;" filled="f" stroked="t" coordsize="21600,21600" o:gfxdata="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qauyRvQAA&#10;AN0AAAAPAAAAAAAAAAEAIAAAACIAAABkcnMvZG93bnJldi54bWxQSwECFAAUAAAACACHTuJAMy8F&#10;njsAAAA5AAAAEAAAAAAAAAABACAAAAAMAQAAZHJzL3NoYXBleG1sLnhtbFBLBQYAAAAABgAGAFsB&#10;AAC2AwAAAAA=&#10;">
                          <v:fill on="f" focussize="0,0"/>
                          <v:stroke color="#000001" joinstyle="round"/>
                          <v:imagedata o:title=""/>
                          <o:lock v:ext="edit" aspectratio="f"/>
                        </v:line>
                      </v:group>
                      <v:group id="组合 15571" o:spid="_x0000_s1026" o:spt="203" style="position:absolute;left:2671127;top:3909450;height:144000;width:1480819;" coordorigin="2671128,3909450" coordsize="1480819,144000" o:gfxdata="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Thhzz70AAADdAAAADwAAAAAAAAABACAAAAAiAAAAZHJzL2Rvd25yZXYueG1s&#10;UEsBAhQAFAAAAAgAh07iQDMvBZ47AAAAOQAAABUAAAAAAAAAAQAgAAAADAEAAGRycy9ncm91cHNo&#10;YXBleG1sLnhtbFBLBQYAAAAABgAGAGABAADJAwAAAAA=&#10;">
                        <o:lock v:ext="edit" aspectratio="f"/>
                        <v:line id="直接连接符 15572" o:spid="_x0000_s1026" o:spt="20" style="position:absolute;left:2671128;top:3909450;height:144000;width:0;rotation:11796480f;" filled="f" stroked="t" coordsize="21600,21600" o:gfxdata="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Kz9F+vQAA&#10;AN0AAAAPAAAAAAAAAAEAIAAAACIAAABkcnMvZG93bnJldi54bWxQSwECFAAUAAAACACHTuJAMy8F&#10;njsAAAA5AAAAEAAAAAAAAAABACAAAAAMAQAAZHJzL3NoYXBleG1sLnhtbFBLBQYAAAAABgAGAFsB&#10;AAC2AwAAAAA=&#10;">
                          <v:fill on="f" focussize="0,0"/>
                          <v:stroke color="#000001" joinstyle="round"/>
                          <v:imagedata o:title=""/>
                          <o:lock v:ext="edit" aspectratio="f"/>
                        </v:line>
                        <v:line id="直接连接符 15573" o:spid="_x0000_s1026" o:spt="20" style="position:absolute;left:2856231;top:3909450;height:144000;width:0;rotation:11796480f;" filled="f" stroked="t" coordsize="21600,21600" o:gfxdata="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h1PCbsAAADd&#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15574" o:spid="_x0000_s1026" o:spt="20" style="position:absolute;left:3041334;top:3909450;height:144000;width:0;rotation:11796480f;" filled="f" stroked="t" coordsize="21600,21600" o:gfxdata="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VUeqSvQAA&#10;AN0AAAAPAAAAAAAAAAEAIAAAACIAAABkcnMvZG93bnJldi54bWxQSwECFAAUAAAACACHTuJAMy8F&#10;njsAAAA5AAAAEAAAAAAAAAABACAAAAAMAQAAZHJzL3NoYXBleG1sLnhtbFBLBQYAAAAABgAGAFsB&#10;AAC2AwAAAAA=&#10;">
                          <v:fill on="f" focussize="0,0"/>
                          <v:stroke color="#000001" joinstyle="round"/>
                          <v:imagedata o:title=""/>
                          <o:lock v:ext="edit" aspectratio="f"/>
                        </v:line>
                        <v:line id="直接连接符 15575" o:spid="_x0000_s1026" o:spt="20" style="position:absolute;left:3226438;top:3909450;height:144000;width:0;rotation:11796480f;" filled="f" stroked="t" coordsize="21600,21600" o:gfxdata="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TOfuC/&#10;AAAA3QAAAA8AAAAAAAAAAQAgAAAAIgAAAGRycy9kb3ducmV2LnhtbFBLAQIUABQAAAAIAIdO4kAz&#10;LwWeOwAAADkAAAAQAAAAAAAAAAEAIAAAAA4BAABkcnMvc2hhcGV4bWwueG1sUEsFBgAAAAAGAAYA&#10;WwEAALgDAAAAAA==&#10;">
                          <v:fill on="f" focussize="0,0"/>
                          <v:stroke color="#000001" joinstyle="round"/>
                          <v:imagedata o:title=""/>
                          <o:lock v:ext="edit" aspectratio="f"/>
                        </v:line>
                        <v:line id="直接连接符 15576" o:spid="_x0000_s1026" o:spt="20" style="position:absolute;left:3411540;top:3909450;height:144000;width:0;rotation:11796480f;" filled="f" stroked="t" coordsize="21600,21600" o:gfxdata="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gtt7vQAA&#10;AN0AAAAPAAAAAAAAAAEAIAAAACIAAABkcnMvZG93bnJldi54bWxQSwECFAAUAAAACACHTuJAMy8F&#10;njsAAAA5AAAAEAAAAAAAAAABACAAAAAMAQAAZHJzL3NoYXBleG1sLnhtbFBLBQYAAAAABgAGAFsB&#10;AAC2AwAAAAA=&#10;">
                          <v:fill on="f" focussize="0,0"/>
                          <v:stroke color="#000001" joinstyle="round"/>
                          <v:imagedata o:title=""/>
                          <o:lock v:ext="edit" aspectratio="f"/>
                        </v:line>
                        <v:line id="直接连接符 15577" o:spid="_x0000_s1026" o:spt="20" style="position:absolute;left:3596641;top:3909450;height:144000;width:0;rotation:11796480f;" filled="f" stroked="t" coordsize="21600,21600" o:gfxdata="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TUuFu/&#10;AAAA3QAAAA8AAAAAAAAAAQAgAAAAIgAAAGRycy9kb3ducmV2LnhtbFBLAQIUABQAAAAIAIdO4kAz&#10;LwWeOwAAADkAAAAQAAAAAAAAAAEAIAAAAA4BAABkcnMvc2hhcGV4bWwueG1sUEsFBgAAAAAGAAYA&#10;WwEAALgDAAAAAA==&#10;">
                          <v:fill on="f" focussize="0,0"/>
                          <v:stroke color="#000001" joinstyle="round"/>
                          <v:imagedata o:title=""/>
                          <o:lock v:ext="edit" aspectratio="f"/>
                        </v:line>
                        <v:line id="直接连接符 15578" o:spid="_x0000_s1026" o:spt="20" style="position:absolute;left:3781743;top:3909450;height:144000;width:0;rotation:11796480f;" filled="f" stroked="t" coordsize="21600,21600" o:gfxdata="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7mB3AvQAA&#10;AN0AAAAPAAAAAAAAAAEAIAAAACIAAABkcnMvZG93bnJldi54bWxQSwECFAAUAAAACACHTuJAMy8F&#10;njsAAAA5AAAAEAAAAAAAAAABACAAAAAMAQAAZHJzL3NoYXBleG1sLnhtbFBLBQYAAAAABgAGAFsB&#10;AAC2AwAAAAA=&#10;">
                          <v:fill on="f" focussize="0,0"/>
                          <v:stroke color="#000001" joinstyle="round"/>
                          <v:imagedata o:title=""/>
                          <o:lock v:ext="edit" aspectratio="f"/>
                        </v:line>
                        <v:line id="直接连接符 15579" o:spid="_x0000_s1026" o:spt="20" style="position:absolute;left:3966845;top:3909450;height:144000;width:0;rotation:11796480f;" filled="f" stroked="t" coordsize="21600,21600" o:gfxdata="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LSoO3vQAA&#10;AN0AAAAPAAAAAAAAAAEAIAAAACIAAABkcnMvZG93bnJldi54bWxQSwECFAAUAAAACACHTuJAMy8F&#10;njsAAAA5AAAAEAAAAAAAAAABACAAAAAMAQAAZHJzL3NoYXBleG1sLnhtbFBLBQYAAAAABgAGAFsB&#10;AAC2AwAAAAA=&#10;">
                          <v:fill on="f" focussize="0,0"/>
                          <v:stroke color="#000001" joinstyle="round"/>
                          <v:imagedata o:title=""/>
                          <o:lock v:ext="edit" aspectratio="f"/>
                        </v:line>
                        <v:line id="直接连接符 15580" o:spid="_x0000_s1026" o:spt="20" style="position:absolute;left:4151947;top:3909450;height:144000;width:0;rotation:11796480f;" filled="f" stroked="t" coordsize="21600,21600" o:gfxdata="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kBiYsvQAA&#10;AN0AAAAPAAAAAAAAAAEAIAAAACIAAABkcnMvZG93bnJldi54bWxQSwECFAAUAAAACACHTuJAMy8F&#10;njsAAAA5AAAAEAAAAAAAAAABACAAAAAMAQAAZHJzL3NoYXBleG1sLnhtbFBLBQYAAAAABgAGAFsB&#10;AAC2AwAAAAA=&#10;">
                          <v:fill on="f" focussize="0,0"/>
                          <v:stroke color="#000001" joinstyle="round"/>
                          <v:imagedata o:title=""/>
                          <o:lock v:ext="edit" aspectratio="f"/>
                        </v:line>
                      </v:group>
                      <v:group id="组合 15581" o:spid="_x0000_s1026" o:spt="203" style="position:absolute;left:4528503;top:3909450;height:144000;width:1480819;" coordorigin="4528503,3909450" coordsize="1480819,144000" o:gfxdata="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07Y6qvwAAAN0AAAAPAAAAAAAAAAEAIAAAACIAAABkcnMvZG93bnJldi54&#10;bWxQSwECFAAUAAAACACHTuJAMy8FnjsAAAA5AAAAFQAAAAAAAAABACAAAAAOAQAAZHJzL2dyb3Vw&#10;c2hhcGV4bWwueG1sUEsFBgAAAAAGAAYAYAEAAMsDAAAAAA==&#10;">
                        <o:lock v:ext="edit" aspectratio="f"/>
                        <v:line id="直接连接符 15582" o:spid="_x0000_s1026" o:spt="20" style="position:absolute;left:4528503;top:3909450;height:144000;width:0;rotation:11796480f;" filled="f" stroked="t" coordsize="21600,21600" o:gfxdata="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wOiwbvQAA&#10;AN0AAAAPAAAAAAAAAAEAIAAAACIAAABkcnMvZG93bnJldi54bWxQSwECFAAUAAAACACHTuJAMy8F&#10;njsAAAA5AAAAEAAAAAAAAAABACAAAAAMAQAAZHJzL3NoYXBleG1sLnhtbFBLBQYAAAAABgAGAFsB&#10;AAC2AwAAAAA=&#10;">
                          <v:fill on="f" focussize="0,0"/>
                          <v:stroke color="#000001" joinstyle="round"/>
                          <v:imagedata o:title=""/>
                          <o:lock v:ext="edit" aspectratio="f"/>
                        </v:line>
                        <v:line id="直接连接符 15583" o:spid="_x0000_s1026" o:spt="20" style="position:absolute;left:4713606;top:3909450;height:144000;width:0;rotation:11796480f;" filled="f" stroked="t" coordsize="21600,21600" o:gfxdata="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OiybLsAAADd&#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15584" o:spid="_x0000_s1026" o:spt="20" style="position:absolute;left:4898709;top:3909450;height:144000;width:0;rotation:11796480f;" filled="f" stroked="t" coordsize="21600,21600" o:gfxdata="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kF/e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line id="直接连接符 15585" o:spid="_x0000_s1026" o:spt="20" style="position:absolute;left:5083812;top:3909450;height:144000;width:0;rotation:11796480f;" filled="f" stroked="t" coordsize="21600,21600" o:gfxdata="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E2Pg7sAAADd&#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15586" o:spid="_x0000_s1026" o:spt="20" style="position:absolute;left:5268913;top:3909450;height:144000;width:0;rotation:11796480f;" filled="f" stroked="t" coordsize="21600,21600" o:gfxdata="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8BKhi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line id="直接连接符 15587" o:spid="_x0000_s1026" o:spt="20" style="position:absolute;left:5454016;top:3909450;height:144000;width:0;rotation:11796480f;" filled="f" stroked="t" coordsize="21600,21600" o:gfxdata="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TtG+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line id="直接连接符 15588" o:spid="_x0000_s1026" o:spt="20" style="position:absolute;left:5639118;top:3909450;height:144000;width:0;rotation:11796480f;" filled="f" stroked="t" coordsize="21600,21600" o:gfxdata="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CfEfS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line id="直接连接符 15589" o:spid="_x0000_s1026" o:spt="20" style="position:absolute;left:5824219;top:3909450;height:144000;width:0;rotation:11796480f;" filled="f" stroked="t" coordsize="21600,21600" o:gfxdata="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EAhYa/&#10;AAAA3QAAAA8AAAAAAAAAAQAgAAAAIgAAAGRycy9kb3ducmV2LnhtbFBLAQIUABQAAAAIAIdO4kAz&#10;LwWeOwAAADkAAAAQAAAAAAAAAAEAIAAAAA4BAABkcnMvc2hhcGV4bWwueG1sUEsFBgAAAAAGAAYA&#10;WwEAALgDAAAAAA==&#10;">
                          <v:fill on="f" focussize="0,0"/>
                          <v:stroke color="#000001" joinstyle="round"/>
                          <v:imagedata o:title=""/>
                          <o:lock v:ext="edit" aspectratio="f"/>
                        </v:line>
                        <v:line id="直接连接符 15590" o:spid="_x0000_s1026" o:spt="20" style="position:absolute;left:6009322;top:3909450;height:144000;width:0;rotation:11796480f;" filled="f" stroked="t" coordsize="21600,21600" o:gfxdata="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5MIB2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group>
                    </v:group>
                  </v:group>
                  <v:shape id="任意多边形 15591" o:spid="_x0000_s1026" o:spt="100" style="position:absolute;left:670312;top:579548;height:2496977;width:3988506;" filled="f" stroked="t" coordsize="5543550,3470500" o:gfxdata="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DK9f&#10;2cEAAADdAAAADwAAAAAAAAABACAAAAAiAAAAZHJzL2Rvd25yZXYueG1sUEsBAhQAFAAAAAgAh07i&#10;QDMvBZ47AAAAOQAAABAAAAAAAAAAAQAgAAAAEAEAAGRycy9zaGFwZXhtbC54bWxQSwUGAAAAAAYA&#10;BgBbAQAAugMAAAAA&#10;" path="m0,1927958l685800,1937483c857250,1939071,942975,1950183,1028700,1937483c1114425,1924783,1147763,1891445,1200150,1861283c1252537,1831121,1298575,1788258,1343025,1756508c1387475,1724758,1422400,1669196,1466850,1670783c1511300,1672371,1565275,1715233,1609725,1766033c1654175,1816833,1671638,1842233,1733550,1975583c1795462,2108933,1916113,2416908,1981200,2566133c2046287,2715358,2066925,2761395,2124075,2870933c2181225,2980471,2262188,3134458,2324100,3223358c2386012,3312258,2444750,3364646,2495550,3404333c2546350,3444020,2573338,3451958,2628900,3461483c2684462,3471008,2771775,3475771,2828925,3461483c2886075,3447196,2933700,3412270,2971800,3375758c3009900,3339246,3040063,3278920,3057525,3242408c3074987,3205896,3109913,3155096,3143250,3080483c3176588,3005871,3214688,2923321,3257550,2794733c3300413,2666146,3327400,2608996,3400425,2308958c3473450,2008920,3614738,1323120,3695700,994508c3776663,665895,3848100,465870,3886200,337283c3924300,208695,3905250,264258,3924300,222983c3943350,181708,3976688,124558,4000500,89633c4024312,54708,4041775,27720,4067175,13433c4092575,-854,4129087,5496,4152900,3908c4176713,2320,4186238,-4030,4210050,3908c4233863,11845,4268788,21370,4295775,51533c4322763,81695,4348163,140433,4371975,184883c4395787,229333,4413250,264258,4438650,318233c4464050,372208,4489450,437296,4524375,508733c4559300,580170,4613275,681770,4648200,746858c4683125,811946,4699000,840521,4733925,899258c4768850,957996,4819650,1037370,4857750,1099283c4895850,1161196,4921250,1208821,4962525,1270733c5003800,1332645,5049838,1402496,5105400,1470758c5160962,1539020,5230813,1619983,5295900,1680308c5360987,1740633,5454650,1805721,5495925,1832708c5537200,1859695,5540375,1850964,5543550,1842233e">
                    <v:path textboxrect="0,0,5543550,3470500" o:connectlocs="0,1387139;493423,1393992;740135,1393992;863490,1339167;966287,1263783;1055377,1202105;1158174,1270636;1247264,1421404;1425445,1846297;1528241,2065596;1672157,2319161;1795513,2449370;1891456,2490489;2035371,2490489;2138168,2428811;2199846,2332867;2261524,2216365;2343761,2010771;2446557,1661263;2659004,715534;2796066,242670;2823478,160433;2878303,64489;2926275,9664;2987952,2811;3029071,2811;3090749,37077;3145574,133020;3193546,228964;3255223,366026;3344314,537354;3405992,647003;3495082,790918;3570466,914274;3673263,1058190;3810325,1208958;3954240,1318608;3988506,1325461" o:connectangles="0,0,0,0,0,0,0,0,0,0,0,0,0,0,0,0,0,0,0,0,0,0,0,0,0,0,0,0,0,0,0,0,0,0,0,0,0,0"/>
                    <v:fill on="f" focussize="0,0"/>
                    <v:stroke weight="1pt" color="#000001" miterlimit="8" joinstyle="miter"/>
                    <v:imagedata o:title=""/>
                    <o:lock v:ext="edit" aspectratio="f"/>
                    <v:textbox>
                      <w:txbxContent>
                        <w:p>
                          <w:pPr>
                            <w:rPr>
                              <w:rFonts w:hint="eastAsia" w:ascii="宋体" w:hAnsi="宋体"/>
                              <w:sz w:val="15"/>
                              <w:szCs w:val="15"/>
                            </w:rPr>
                          </w:pPr>
                        </w:p>
                      </w:txbxContent>
                    </v:textbox>
                  </v:shape>
                  <v:line id="直接连接符 15592" o:spid="_x0000_s1026" o:spt="20" style="position:absolute;left:3181563;top:1011771;height:958354;width:0;" filled="f" stroked="t" coordsize="21600,21600" o:gfxdata="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A3JlQugAAAN0A&#10;AAAPAAAAAAAAAAEAIAAAACIAAABkcnMvZG93bnJldi54bWxQSwECFAAUAAAACACHTuJAMy8FnjsA&#10;AAA5AAAAEAAAAAAAAAABACAAAAAJAQAAZHJzL3NoYXBleG1sLnhtbFBLBQYAAAAABgAGAFsBAACz&#10;AwAAAAA=&#10;">
                    <v:fill on="f" focussize="0,0"/>
                    <v:stroke color="#000001" joinstyle="round"/>
                    <v:imagedata o:title=""/>
                    <o:lock v:ext="edit" aspectratio="f"/>
                  </v:line>
                  <v:line id="直接连接符 15593" o:spid="_x0000_s1026" o:spt="20" style="position:absolute;left:1728879;top:1035618;height:751142;width:0;" filled="f" stroked="t" coordsize="21600,21600" o:gfxdata="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AOBye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line id="直接连接符 15594" o:spid="_x0000_s1026" o:spt="20" style="position:absolute;left:2448704;top:559581;height:1441411;width:0;rotation:-5898240f;" filled="f" stroked="t" coordsize="21600,21600" o:gfxdata="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CMyeyvQAA&#10;AN0AAAAPAAAAAAAAAAEAIAAAACIAAABkcnMvZG93bnJldi54bWxQSwECFAAUAAAACACHTuJAMy8F&#10;njsAAAA5AAAAEAAAAAAAAAABACAAAAAMAQAAZHJzL3NoYXBleG1sLnhtbFBLBQYAAAAABgAGAFsB&#10;AAC2AwAAAAA=&#10;">
                    <v:fill on="f" focussize="0,0"/>
                    <v:stroke color="#000001" joinstyle="round" startarrow="classic" endarrow="classic"/>
                    <v:imagedata o:title=""/>
                    <o:lock v:ext="edit" aspectratio="f"/>
                  </v:line>
                </v:group>
                <v:shape id="TextBox 94" o:spid="_x0000_s1026" o:spt="202" type="#_x0000_t202" style="position:absolute;left:360432;top:2012296;height:244309;width:2285890;" filled="f" stroked="f" coordsize="21600,21600" o:gfxdata="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9Xzee1gAAAAkBAAAPAAAAAAAA&#10;AAEAIAAAACIAAABkcnMvZG93bnJldi54bWxQSwECFAAUAAAACACHTuJAj1SiKxQCAAAiBAAADgAA&#10;AAAAAAABACAAAAAlAQAAZHJzL2Uyb0RvYy54bWxQSwUGAAAAAAYABgBZAQAAqwUAAAAA&#10;">
                  <v:fill on="f" focussize="0,0"/>
                  <v:stroke on="f"/>
                  <v:imagedata o:title=""/>
                  <o:lock v:ext="edit" aspectratio="f"/>
                  <v:textbox>
                    <w:txbxContent>
                      <w:p>
                        <w:pPr>
                          <w:pStyle w:val="18"/>
                          <w:adjustRightInd w:val="0"/>
                          <w:snapToGrid w:val="0"/>
                          <w:spacing w:before="0" w:beforeAutospacing="0" w:after="0" w:afterAutospacing="0"/>
                          <w:jc w:val="center"/>
                          <w:rPr>
                            <w:rFonts w:hint="eastAsia" w:ascii="黑体" w:eastAsia="黑体" w:cs="Times New Roman"/>
                            <w:color w:val="000000"/>
                            <w:sz w:val="18"/>
                            <w:szCs w:val="18"/>
                          </w:rPr>
                        </w:pPr>
                        <w:r>
                          <w:rPr>
                            <w:rFonts w:ascii="Times New Roman" w:hAnsi="Times New Roman" w:eastAsia="黑体" w:cs="Times New Roman"/>
                            <w:color w:val="000000"/>
                            <w:sz w:val="18"/>
                            <w:szCs w:val="18"/>
                          </w:rPr>
                          <w:t>图</w:t>
                        </w:r>
                        <w:r>
                          <w:rPr>
                            <w:rFonts w:hint="eastAsia" w:ascii="Times New Roman" w:hAnsi="Times New Roman" w:eastAsia="黑体" w:cs="Times New Roman"/>
                            <w:color w:val="000000"/>
                            <w:sz w:val="18"/>
                            <w:szCs w:val="18"/>
                          </w:rPr>
                          <w:t>D</w:t>
                        </w:r>
                        <w:r>
                          <w:rPr>
                            <w:rFonts w:ascii="Times New Roman" w:hAnsi="Times New Roman" w:eastAsia="黑体" w:cs="Times New Roman"/>
                            <w:color w:val="000000"/>
                            <w:sz w:val="18"/>
                            <w:szCs w:val="18"/>
                          </w:rPr>
                          <w:t>.</w:t>
                        </w:r>
                        <w:r>
                          <w:rPr>
                            <w:rFonts w:hint="eastAsia" w:ascii="Times New Roman" w:hAnsi="Times New Roman" w:eastAsia="黑体" w:cs="Times New Roman"/>
                            <w:color w:val="000000"/>
                            <w:sz w:val="18"/>
                            <w:szCs w:val="18"/>
                          </w:rPr>
                          <w:t>2</w:t>
                        </w:r>
                        <w:r>
                          <w:rPr>
                            <w:rFonts w:ascii="Times New Roman" w:hAnsi="Times New Roman" w:eastAsia="黑体" w:cs="Times New Roman"/>
                            <w:color w:val="000000"/>
                            <w:sz w:val="18"/>
                            <w:szCs w:val="18"/>
                          </w:rPr>
                          <w:t>.</w:t>
                        </w:r>
                        <w:r>
                          <w:rPr>
                            <w:rFonts w:hint="eastAsia" w:ascii="Times New Roman" w:hAnsi="Times New Roman" w:eastAsia="黑体" w:cs="Times New Roman"/>
                            <w:color w:val="000000"/>
                            <w:sz w:val="18"/>
                            <w:szCs w:val="18"/>
                          </w:rPr>
                          <w:t>5-1</w:t>
                        </w:r>
                        <w:r>
                          <w:rPr>
                            <w:rFonts w:hint="eastAsia" w:ascii="黑体" w:eastAsia="黑体" w:cs="Times New Roman"/>
                            <w:color w:val="000000"/>
                            <w:sz w:val="18"/>
                            <w:szCs w:val="18"/>
                          </w:rPr>
                          <w:t xml:space="preserve">  冲击时间估测示意图</w:t>
                        </w:r>
                      </w:p>
                    </w:txbxContent>
                  </v:textbox>
                </v:shape>
                <v:shape id="TextBox 97" o:spid="_x0000_s1026" o:spt="202" type="#_x0000_t202" style="position:absolute;left:2028667;top:1822612;height:237929;width:635119;" filled="f" stroked="f" coordsize="21600,21600" o:gfxdata="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V83ntYAAAAJAQAADwAAAAAA&#10;AAABACAAAAAiAAAAZHJzL2Rvd25yZXYueG1sUEsBAhQAFAAAAAgAh07iQEQyyLsVAgAAIgQAAA4A&#10;AAAAAAAAAQAgAAAAJQEAAGRycy9lMm9Eb2MueG1sUEsFBgAAAAAGAAYAWQEAAKwFAAAAAA==&#10;">
                  <v:fill on="f" focussize="0,0"/>
                  <v:stroke on="f"/>
                  <v:imagedata o:title=""/>
                  <o:lock v:ext="edit" aspectratio="f"/>
                  <v:textbox>
                    <w:txbxContent>
                      <w:p>
                        <w:pPr>
                          <w:pStyle w:val="18"/>
                          <w:adjustRightInd w:val="0"/>
                          <w:snapToGrid w:val="0"/>
                          <w:spacing w:before="0" w:beforeAutospacing="0" w:after="0" w:afterAutospacing="0"/>
                          <w:jc w:val="center"/>
                          <w:rPr>
                            <w:rFonts w:hint="eastAsia" w:cs="Times New Roman"/>
                            <w:color w:val="000000"/>
                            <w:sz w:val="15"/>
                            <w:szCs w:val="15"/>
                          </w:rPr>
                        </w:pPr>
                        <w:r>
                          <w:rPr>
                            <w:rFonts w:hint="eastAsia" w:cs="Times New Roman"/>
                            <w:color w:val="000000"/>
                            <w:sz w:val="15"/>
                            <w:szCs w:val="15"/>
                          </w:rPr>
                          <w:t>时间（</w:t>
                        </w:r>
                        <w:r>
                          <w:rPr>
                            <w:rFonts w:ascii="Times New Roman" w:hAnsi="Times New Roman" w:cs="Times New Roman"/>
                            <w:color w:val="000000"/>
                            <w:sz w:val="15"/>
                            <w:szCs w:val="15"/>
                          </w:rPr>
                          <w:t>μs</w:t>
                        </w:r>
                        <w:r>
                          <w:rPr>
                            <w:rFonts w:hint="eastAsia" w:ascii="Times New Roman" w:hAnsi="Times New Roman" w:cs="Times New Roman"/>
                            <w:color w:val="000000"/>
                            <w:sz w:val="15"/>
                            <w:szCs w:val="15"/>
                          </w:rPr>
                          <w:t>）</w:t>
                        </w:r>
                      </w:p>
                    </w:txbxContent>
                  </v:textbox>
                </v:shape>
                <v:shape id="TextBox 96" o:spid="_x0000_s1026" o:spt="202" type="#_x0000_t202" style="position:absolute;left:276171;top:1730760;height:205593;width:494598;" filled="f" stroked="f" coordsize="21600,21600" o:gfxdata="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P1fN57WAAAACQEAAA8AAAAAAAAA&#10;AQAgAAAAIgAAAGRycy9kb3ducmV2LnhtbFBLAQIUABQAAAAIAIdO4kC4Aj0EEwIAACEEAAAOAAAA&#10;AAAAAAEAIAAAACUBAABkcnMvZTJvRG9jLnhtbFBLBQYAAAAABgAGAFkBAACqBQAAAAA=&#10;">
                  <v:fill on="f" focussize="0,0"/>
                  <v:stroke on="f"/>
                  <v:imagedata o:title=""/>
                  <o:lock v:ext="edit" aspectratio="f"/>
                  <v:textbox>
                    <w:txbxContent>
                      <w:p>
                        <w:pPr>
                          <w:pStyle w:val="18"/>
                          <w:adjustRightInd w:val="0"/>
                          <w:snapToGrid w:val="0"/>
                          <w:spacing w:before="0" w:beforeAutospacing="0" w:after="0" w:afterAutospacing="0"/>
                          <w:jc w:val="center"/>
                          <w:rPr>
                            <w:rFonts w:hint="eastAsia" w:cs="Times New Roman"/>
                            <w:color w:val="000000"/>
                            <w:sz w:val="15"/>
                            <w:szCs w:val="15"/>
                          </w:rPr>
                        </w:pPr>
                        <w:r>
                          <w:rPr>
                            <w:rFonts w:cs="Times New Roman"/>
                            <w:color w:val="000000"/>
                            <w:sz w:val="15"/>
                            <w:szCs w:val="15"/>
                          </w:rPr>
                          <w:t>150</w:t>
                        </w:r>
                      </w:p>
                    </w:txbxContent>
                  </v:textbox>
                </v:shape>
                <v:shape id="TextBox 102" o:spid="_x0000_s1026" o:spt="202" type="#_x0000_t202" style="position:absolute;left:978627;top:1723947;height:205593;width:490034;" filled="f" stroked="f" coordsize="21600,21600" o:gfxdata="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V83ntYAAAAJAQAADwAAAAAA&#10;AAABACAAAAAiAAAAZHJzL2Rvd25yZXYueG1sUEsBAhQAFAAAAAgAh07iQONmQg0VAgAAIgQAAA4A&#10;AAAAAAAAAQAgAAAAJQEAAGRycy9lMm9Eb2MueG1sUEsFBgAAAAAGAAYAWQEAAKwFAAAAAA==&#10;">
                  <v:fill on="f" focussize="0,0"/>
                  <v:stroke on="f"/>
                  <v:imagedata o:title=""/>
                  <o:lock v:ext="edit" aspectratio="f"/>
                  <v:textbox>
                    <w:txbxContent>
                      <w:p>
                        <w:pPr>
                          <w:pStyle w:val="18"/>
                          <w:adjustRightInd w:val="0"/>
                          <w:snapToGrid w:val="0"/>
                          <w:spacing w:before="0" w:beforeAutospacing="0" w:after="0" w:afterAutospacing="0"/>
                          <w:jc w:val="center"/>
                          <w:rPr>
                            <w:rFonts w:hint="eastAsia"/>
                            <w:sz w:val="15"/>
                            <w:szCs w:val="15"/>
                          </w:rPr>
                        </w:pPr>
                        <w:r>
                          <w:rPr>
                            <w:rFonts w:cs="Times New Roman"/>
                            <w:color w:val="000000"/>
                            <w:sz w:val="15"/>
                            <w:szCs w:val="15"/>
                          </w:rPr>
                          <w:t>200</w:t>
                        </w:r>
                      </w:p>
                    </w:txbxContent>
                  </v:textbox>
                </v:shape>
                <v:shape id="TextBox 103" o:spid="_x0000_s1026" o:spt="202" type="#_x0000_t202" style="position:absolute;left:1659890;top:1723943;height:205593;width:515794;" filled="f" stroked="f" coordsize="21600,21600" o:gfxdata="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V83ntYAAAAJAQAADwAAAAAA&#10;AAABACAAAAAiAAAAZHJzL2Rvd25yZXYueG1sUEsBAhQAFAAAAAgAh07iQBbtw2UVAgAAIwQAAA4A&#10;AAAAAAAAAQAgAAAAJQEAAGRycy9lMm9Eb2MueG1sUEsFBgAAAAAGAAYAWQEAAKwFAAAAAA==&#10;">
                  <v:fill on="f" focussize="0,0"/>
                  <v:stroke on="f"/>
                  <v:imagedata o:title=""/>
                  <o:lock v:ext="edit" aspectratio="f"/>
                  <v:textbox>
                    <w:txbxContent>
                      <w:p>
                        <w:pPr>
                          <w:pStyle w:val="18"/>
                          <w:adjustRightInd w:val="0"/>
                          <w:snapToGrid w:val="0"/>
                          <w:spacing w:before="0" w:beforeAutospacing="0" w:after="0" w:afterAutospacing="0"/>
                          <w:jc w:val="center"/>
                          <w:rPr>
                            <w:rFonts w:hint="eastAsia" w:cs="Times New Roman"/>
                            <w:color w:val="000000"/>
                            <w:sz w:val="15"/>
                            <w:szCs w:val="15"/>
                          </w:rPr>
                        </w:pPr>
                        <w:r>
                          <w:rPr>
                            <w:rFonts w:cs="Times New Roman"/>
                            <w:color w:val="000000"/>
                            <w:sz w:val="15"/>
                            <w:szCs w:val="15"/>
                          </w:rPr>
                          <w:t>250</w:t>
                        </w:r>
                      </w:p>
                    </w:txbxContent>
                  </v:textbox>
                </v:shape>
                <v:shape id="TextBox 104" o:spid="_x0000_s1026" o:spt="202" type="#_x0000_t202" style="position:absolute;left:2366471;top:1708595;height:205593;width:539691;" filled="f" stroked="f" coordsize="21600,21600" o:gfxdata="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P1fN57WAAAACQEAAA8AAAAA&#10;AAAAAQAgAAAAIgAAAGRycy9kb3ducmV2LnhtbFBLAQIUABQAAAAIAIdO4kBe0D0jFgIAACMEAAAO&#10;AAAAAAAAAAEAIAAAACUBAABkcnMvZTJvRG9jLnhtbFBLBQYAAAAABgAGAFkBAACtBQAAAAA=&#10;">
                  <v:fill on="f" focussize="0,0"/>
                  <v:stroke on="f"/>
                  <v:imagedata o:title=""/>
                  <o:lock v:ext="edit" aspectratio="f"/>
                  <v:textbox>
                    <w:txbxContent>
                      <w:p>
                        <w:pPr>
                          <w:pStyle w:val="18"/>
                          <w:adjustRightInd w:val="0"/>
                          <w:snapToGrid w:val="0"/>
                          <w:spacing w:before="0" w:beforeAutospacing="0" w:after="0" w:afterAutospacing="0"/>
                          <w:jc w:val="center"/>
                          <w:rPr>
                            <w:rFonts w:hint="eastAsia" w:cs="Times New Roman"/>
                            <w:color w:val="000000"/>
                            <w:sz w:val="15"/>
                            <w:szCs w:val="15"/>
                          </w:rPr>
                        </w:pPr>
                        <w:r>
                          <w:rPr>
                            <w:rFonts w:cs="Times New Roman"/>
                            <w:color w:val="000000"/>
                            <w:sz w:val="15"/>
                            <w:szCs w:val="15"/>
                          </w:rPr>
                          <w:t>300</w:t>
                        </w:r>
                      </w:p>
                    </w:txbxContent>
                  </v:textbox>
                </v:shape>
                <v:shape id="TextBox 109" o:spid="_x0000_s1026" o:spt="202" type="#_x0000_t202" style="position:absolute;left:1140828;top:525430;height:205593;width:673769;" filled="f" stroked="f" coordsize="21600,21600" o:gfxdata="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9Xzee1gAAAAkBAAAPAAAAAAAA&#10;AAEAIAAAACIAAABkcnMvZG93bnJldi54bWxQSwECFAAUAAAACACHTuJAOPpUSBQCAAAiBAAADgAA&#10;AAAAAAABACAAAAAlAQAAZHJzL2Uyb0RvYy54bWxQSwUGAAAAAAYABgBZAQAAqwUAAAAA&#10;">
                  <v:fill on="f" focussize="0,0"/>
                  <v:stroke on="f"/>
                  <v:imagedata o:title=""/>
                  <o:lock v:ext="edit" aspectratio="f"/>
                  <v:textbox>
                    <w:txbxContent>
                      <w:p>
                        <w:pPr>
                          <w:pStyle w:val="18"/>
                          <w:adjustRightInd w:val="0"/>
                          <w:snapToGrid w:val="0"/>
                          <w:spacing w:before="0" w:beforeAutospacing="0" w:after="0" w:afterAutospacing="0"/>
                          <w:jc w:val="center"/>
                          <w:rPr>
                            <w:rFonts w:hint="eastAsia"/>
                            <w:sz w:val="11"/>
                            <w:szCs w:val="11"/>
                          </w:rPr>
                        </w:pPr>
                        <w:r>
                          <w:rPr>
                            <w:rFonts w:hint="eastAsia" w:cs="Times New Roman"/>
                            <w:color w:val="000000"/>
                            <w:sz w:val="11"/>
                            <w:szCs w:val="11"/>
                          </w:rPr>
                          <w:t>冲击持续时间</w:t>
                        </w:r>
                      </w:p>
                    </w:txbxContent>
                  </v:textbox>
                </v:shape>
                <v:group id="组合 15603" o:spid="_x0000_s1026" o:spt="203" style="position:absolute;left:72735;top:59235;height:1783505;width:438150;" coordsize="438150,1805084" o:gfxdata="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">
                  <o:lock v:ext="edit" aspectratio="f"/>
                  <v:shape id="TextBox 94" o:spid="_x0000_s1026" o:spt="202" type="#_x0000_t202" style="position:absolute;left:0;top:0;height:243840;width:438150;" filled="f" stroked="f" coordsize="21600,21600" o:gfxdata="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yt8m8AAAA&#10;3QAAAA8AAAAAAAAAAQAgAAAAIgAAAGRycy9kb3ducmV2LnhtbFBLAQIUABQAAAAIAIdO4kAzLwWe&#10;OwAAADkAAAAQAAAAAAAAAAEAIAAAAAsBAABkcnMvc2hhcGV4bWwueG1sUEsFBgAAAAAGAAYAWwEA&#10;ALUDAAAAAA==&#10;">
                    <v:fill on="f" focussize="0,0"/>
                    <v:stroke on="f"/>
                    <v:imagedata o:title=""/>
                    <o:lock v:ext="edit" aspectratio="f"/>
                    <v:textbox>
                      <w:txbxContent>
                        <w:p>
                          <w:pPr>
                            <w:pStyle w:val="18"/>
                            <w:spacing w:before="0" w:beforeAutospacing="0" w:after="0" w:afterAutospacing="0"/>
                            <w:jc w:val="right"/>
                            <w:rPr>
                              <w:rFonts w:hint="eastAsia"/>
                              <w:sz w:val="15"/>
                              <w:szCs w:val="15"/>
                            </w:rPr>
                          </w:pPr>
                          <w:r>
                            <w:rPr>
                              <w:rFonts w:cs="Times New Roman"/>
                              <w:color w:val="000000"/>
                              <w:sz w:val="15"/>
                              <w:szCs w:val="15"/>
                            </w:rPr>
                            <w:t>1.5</w:t>
                          </w:r>
                        </w:p>
                      </w:txbxContent>
                    </v:textbox>
                  </v:shape>
                  <v:shape id="TextBox 97" o:spid="_x0000_s1026" o:spt="202" type="#_x0000_t202" style="position:absolute;left:0;top:307427;height:237490;width:438150;" filled="f" stroked="f" coordsize="21600,21600" o:gfxdata="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C+ElK8AAAA&#10;3QAAAA8AAAAAAAAAAQAgAAAAIgAAAGRycy9kb3ducmV2LnhtbFBLAQIUABQAAAAIAIdO4kAzLwWe&#10;OwAAADkAAAAQAAAAAAAAAAEAIAAAAAsBAABkcnMvc2hhcGV4bWwueG1sUEsFBgAAAAAGAAYAWwEA&#10;ALUDAAAAAA==&#10;">
                    <v:fill on="f" focussize="0,0"/>
                    <v:stroke on="f"/>
                    <v:imagedata o:title=""/>
                    <o:lock v:ext="edit" aspectratio="f"/>
                    <v:textbox>
                      <w:txbxContent>
                        <w:p>
                          <w:pPr>
                            <w:pStyle w:val="18"/>
                            <w:spacing w:before="0" w:beforeAutospacing="0" w:after="0" w:afterAutospacing="0"/>
                            <w:jc w:val="right"/>
                            <w:rPr>
                              <w:rFonts w:hint="eastAsia"/>
                              <w:sz w:val="15"/>
                              <w:szCs w:val="15"/>
                            </w:rPr>
                          </w:pPr>
                          <w:r>
                            <w:rPr>
                              <w:rFonts w:hint="eastAsia" w:cs="Times New Roman"/>
                              <w:color w:val="000000"/>
                              <w:sz w:val="15"/>
                              <w:szCs w:val="15"/>
                            </w:rPr>
                            <w:t>1.0</w:t>
                          </w:r>
                        </w:p>
                      </w:txbxContent>
                    </v:textbox>
                  </v:shape>
                  <v:shape id="TextBox 98" o:spid="_x0000_s1026" o:spt="202" type="#_x0000_t202" style="position:absolute;left:0;top:614763;height:269310;width:438150;" filled="f" stroked="f" coordsize="21600,21600" o:gfxdata="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9Xiia8AAAA&#10;3QAAAA8AAAAAAAAAAQAgAAAAIgAAAGRycy9kb3ducmV2LnhtbFBLAQIUABQAAAAIAIdO4kAzLwWe&#10;OwAAADkAAAAQAAAAAAAAAAEAIAAAAAsBAABkcnMvc2hhcGV4bWwueG1sUEsFBgAAAAAGAAYAWwEA&#10;ALUDAAAAAA==&#10;">
                    <v:fill on="f" focussize="0,0"/>
                    <v:stroke on="f"/>
                    <v:imagedata o:title=""/>
                    <o:lock v:ext="edit" aspectratio="f"/>
                    <v:textbox>
                      <w:txbxContent>
                        <w:p>
                          <w:pPr>
                            <w:pStyle w:val="18"/>
                            <w:spacing w:before="0" w:beforeAutospacing="0" w:after="0" w:afterAutospacing="0"/>
                            <w:jc w:val="right"/>
                            <w:rPr>
                              <w:rFonts w:hint="eastAsia"/>
                              <w:sz w:val="15"/>
                              <w:szCs w:val="15"/>
                            </w:rPr>
                          </w:pPr>
                          <w:r>
                            <w:rPr>
                              <w:rFonts w:cs="Times New Roman"/>
                              <w:color w:val="000000"/>
                              <w:sz w:val="15"/>
                              <w:szCs w:val="15"/>
                            </w:rPr>
                            <w:t>0.5</w:t>
                          </w:r>
                        </w:p>
                      </w:txbxContent>
                    </v:textbox>
                  </v:shape>
                  <v:shape id="TextBox 99" o:spid="_x0000_s1026" o:spt="202" type="#_x0000_t202" style="position:absolute;left:0;top:898634;height:268605;width:438150;" filled="f" stroked="f" coordsize="21600,21600" o:gfxdata="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AbL728AAAA&#10;3QAAAA8AAAAAAAAAAQAgAAAAIgAAAGRycy9kb3ducmV2LnhtbFBLAQIUABQAAAAIAIdO4kAzLwWe&#10;OwAAADkAAAAQAAAAAAAAAAEAIAAAAAsBAABkcnMvc2hhcGV4bWwueG1sUEsFBgAAAAAGAAYAWwEA&#10;ALUDAAAAAA==&#10;">
                    <v:fill on="f" focussize="0,0"/>
                    <v:stroke on="f"/>
                    <v:imagedata o:title=""/>
                    <o:lock v:ext="edit" aspectratio="f"/>
                    <v:textbox>
                      <w:txbxContent>
                        <w:p>
                          <w:pPr>
                            <w:pStyle w:val="18"/>
                            <w:spacing w:before="0" w:beforeAutospacing="0" w:after="0" w:afterAutospacing="0"/>
                            <w:jc w:val="right"/>
                            <w:rPr>
                              <w:rFonts w:hint="eastAsia"/>
                              <w:sz w:val="15"/>
                              <w:szCs w:val="15"/>
                            </w:rPr>
                          </w:pPr>
                          <w:r>
                            <w:rPr>
                              <w:rFonts w:hint="eastAsia" w:cs="Times New Roman"/>
                              <w:color w:val="000000"/>
                              <w:sz w:val="15"/>
                              <w:szCs w:val="15"/>
                            </w:rPr>
                            <w:t>0</w:t>
                          </w:r>
                        </w:p>
                      </w:txbxContent>
                    </v:textbox>
                  </v:shape>
                  <v:shape id="TextBox 100" o:spid="_x0000_s1026" o:spt="202" type="#_x0000_t202" style="position:absolute;left:0;top:1237431;height:310066;width:438150;" filled="f" stroked="f" coordsize="21600,21600" o:gfxdata="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MmxyrsAAADd&#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pStyle w:val="18"/>
                            <w:spacing w:before="0" w:beforeAutospacing="0" w:after="0" w:afterAutospacing="0"/>
                            <w:jc w:val="right"/>
                            <w:rPr>
                              <w:rFonts w:hint="eastAsia"/>
                              <w:sz w:val="15"/>
                              <w:szCs w:val="15"/>
                            </w:rPr>
                          </w:pPr>
                          <w:r>
                            <w:rPr>
                              <w:rFonts w:hint="eastAsia"/>
                              <w:sz w:val="15"/>
                              <w:szCs w:val="15"/>
                            </w:rPr>
                            <w:t>-0.5</w:t>
                          </w:r>
                        </w:p>
                      </w:txbxContent>
                    </v:textbox>
                  </v:shape>
                  <v:shape id="TextBox 101" o:spid="_x0000_s1026" o:spt="202" type="#_x0000_t202" style="position:absolute;left:0;top:1521177;height:283907;width:438150;" filled="f" stroked="f" coordsize="21600,21600" o:gfxdata="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P4UUUbsAAADd&#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pStyle w:val="18"/>
                            <w:spacing w:before="0" w:beforeAutospacing="0" w:after="0" w:afterAutospacing="0"/>
                            <w:jc w:val="right"/>
                            <w:rPr>
                              <w:rFonts w:hint="eastAsia"/>
                              <w:sz w:val="15"/>
                              <w:szCs w:val="15"/>
                            </w:rPr>
                          </w:pPr>
                          <w:r>
                            <w:rPr>
                              <w:rFonts w:cs="Times New Roman"/>
                              <w:color w:val="000000"/>
                              <w:sz w:val="15"/>
                              <w:szCs w:val="15"/>
                            </w:rPr>
                            <w:t>-1</w:t>
                          </w:r>
                          <w:r>
                            <w:rPr>
                              <w:rFonts w:hint="eastAsia" w:cs="Times New Roman"/>
                              <w:color w:val="000000"/>
                              <w:sz w:val="15"/>
                              <w:szCs w:val="15"/>
                            </w:rPr>
                            <w:t>.0</w:t>
                          </w:r>
                        </w:p>
                      </w:txbxContent>
                    </v:textbox>
                  </v:shape>
                </v:group>
                <v:shape id="Text Box 902" o:spid="_x0000_s1026" o:spt="202" type="#_x0000_t202" style="position:absolute;left:59055;top:145415;height:718185;width:196850;" filled="f" stroked="f" coordsize="21600,21600" o:gfxdata="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G1ID8tUAAAAJAQAADwAAAAAAAAABACAAAAAiAAAA&#10;ZHJzL2Rvd25yZXYueG1sUEsBAhQAFAAAAAgAh07iQP3K2BQKAgAAFAQAAA4AAAAAAAAAAQAgAAAA&#10;JAEAAGRycy9lMm9Eb2MueG1sUEsFBgAAAAAGAAYAWQEAAKAFAAAAAA==&#10;">
                  <v:fill on="f" focussize="0,0"/>
                  <v:stroke on="f"/>
                  <v:imagedata o:title=""/>
                  <o:lock v:ext="edit" aspectratio="f"/>
                  <v:textbox inset="0mm,0mm,0mm,0mm" style="layout-flow:vertical;mso-layout-flow-alt:bottom-to-top;">
                    <w:txbxContent>
                      <w:p>
                        <w:pPr>
                          <w:pStyle w:val="6"/>
                          <w:rPr>
                            <w:rFonts w:hint="eastAsia"/>
                          </w:rPr>
                        </w:pPr>
                        <w:r>
                          <w:rPr>
                            <w:rFonts w:hint="eastAsia"/>
                          </w:rPr>
                          <w:t>电压(V</w:t>
                        </w:r>
                        <w:r>
                          <w:t>）</w:t>
                        </w:r>
                      </w:p>
                    </w:txbxContent>
                  </v:textbox>
                </v:shape>
                <w10:wrap type="square"/>
              </v:group>
            </w:pict>
          </mc:Fallback>
        </mc:AlternateContent>
      </w:r>
      <w:r>
        <w:rPr>
          <w:rFonts w:hint="eastAsia" w:ascii="黑体" w:hAnsi="黑体" w:eastAsia="黑体" w:cs="黑体"/>
        </w:rPr>
        <w:t xml:space="preserve">1 </w:t>
      </w:r>
      <w:r>
        <w:rPr>
          <w:rFonts w:hint="eastAsia" w:ascii="Times New Roman" w:hAnsi="Times New Roman"/>
          <w:bCs/>
          <w:szCs w:val="20"/>
        </w:rPr>
        <w:t>被测试的混凝土应均匀、密实、无缺陷，其</w:t>
      </w:r>
      <w:r>
        <w:rPr>
          <w:rFonts w:ascii="Times New Roman" w:hAnsi="Times New Roman"/>
          <w:bCs/>
          <w:szCs w:val="20"/>
        </w:rPr>
        <w:t>P</w:t>
      </w:r>
      <w:r>
        <w:rPr>
          <w:rFonts w:hint="eastAsia" w:ascii="Times New Roman" w:hAnsi="Times New Roman"/>
          <w:bCs/>
          <w:szCs w:val="20"/>
        </w:rPr>
        <w:t>波波速值应具有代表性。当检测部位的混凝土材料及配比、施工方法等发生变化时，应重新进行</w:t>
      </w:r>
      <w:r>
        <w:rPr>
          <w:rFonts w:ascii="Times New Roman" w:hAnsi="Times New Roman"/>
          <w:bCs/>
          <w:szCs w:val="20"/>
        </w:rPr>
        <w:t>P</w:t>
      </w:r>
      <w:r>
        <w:rPr>
          <w:rFonts w:hint="eastAsia" w:ascii="Times New Roman" w:hAnsi="Times New Roman"/>
          <w:bCs/>
          <w:szCs w:val="20"/>
        </w:rPr>
        <w:t>波波速的测试。</w:t>
      </w:r>
    </w:p>
    <w:p>
      <w:pPr>
        <w:tabs>
          <w:tab w:val="left" w:pos="682"/>
          <w:tab w:val="left" w:pos="728"/>
          <w:tab w:val="left" w:pos="6020"/>
        </w:tabs>
        <w:spacing w:line="360" w:lineRule="auto"/>
        <w:ind w:firstLine="420" w:firstLineChars="200"/>
        <w:rPr>
          <w:rFonts w:ascii="Times New Roman" w:hAnsi="Times New Roman"/>
          <w:bCs/>
          <w:szCs w:val="20"/>
        </w:rPr>
      </w:pPr>
      <w:r>
        <w:rPr>
          <w:rFonts w:hint="eastAsia" w:ascii="黑体" w:hAnsi="黑体" w:eastAsia="黑体" w:cs="黑体"/>
        </w:rPr>
        <w:t xml:space="preserve">2 </w:t>
      </w:r>
      <w:r>
        <w:rPr>
          <w:rFonts w:hint="eastAsia" w:ascii="Times New Roman" w:hAnsi="Times New Roman"/>
          <w:bCs/>
          <w:szCs w:val="20"/>
        </w:rPr>
        <w:t>宜采用“一发双收”式测试方法。冲击点、固定接收点、移动接收点应处在同一测线上。固定接收点与冲击点的间距宜为（</w:t>
      </w:r>
      <w:r>
        <w:rPr>
          <w:rFonts w:ascii="Times New Roman" w:hAnsi="Times New Roman"/>
          <w:bCs/>
          <w:szCs w:val="20"/>
        </w:rPr>
        <w:t>150±10</w:t>
      </w:r>
      <w:r>
        <w:rPr>
          <w:rFonts w:hint="eastAsia" w:ascii="Times New Roman" w:hAnsi="Times New Roman"/>
          <w:bCs/>
          <w:szCs w:val="20"/>
        </w:rPr>
        <w:t>）</w:t>
      </w:r>
      <w:r>
        <w:rPr>
          <w:rFonts w:ascii="Times New Roman" w:hAnsi="Times New Roman"/>
          <w:bCs/>
          <w:szCs w:val="20"/>
        </w:rPr>
        <w:t>mm</w:t>
      </w:r>
      <w:r>
        <w:rPr>
          <w:rFonts w:hint="eastAsia" w:ascii="Times New Roman" w:hAnsi="Times New Roman"/>
          <w:bCs/>
          <w:szCs w:val="20"/>
        </w:rPr>
        <w:t>。移动接收点不宜少于</w:t>
      </w:r>
      <w:r>
        <w:rPr>
          <w:rFonts w:ascii="Times New Roman" w:hAnsi="Times New Roman"/>
          <w:bCs/>
          <w:szCs w:val="20"/>
        </w:rPr>
        <w:t>4</w:t>
      </w:r>
      <w:r>
        <w:rPr>
          <w:rFonts w:hint="eastAsia" w:ascii="Times New Roman" w:hAnsi="Times New Roman"/>
          <w:bCs/>
          <w:szCs w:val="20"/>
        </w:rPr>
        <w:t>个，间距宜为</w:t>
      </w:r>
      <w:r>
        <w:rPr>
          <w:rFonts w:ascii="Times New Roman" w:hAnsi="Times New Roman"/>
          <w:bCs/>
          <w:szCs w:val="20"/>
        </w:rPr>
        <w:t>100mm</w:t>
      </w:r>
      <w:r>
        <w:rPr>
          <w:rFonts w:hint="eastAsia" w:ascii="Times New Roman" w:hAnsi="Times New Roman"/>
          <w:bCs/>
          <w:szCs w:val="20"/>
        </w:rPr>
        <w:t>。距离量测应精确到</w:t>
      </w:r>
      <w:r>
        <w:rPr>
          <w:rFonts w:ascii="Times New Roman" w:hAnsi="Times New Roman"/>
          <w:bCs/>
          <w:szCs w:val="20"/>
        </w:rPr>
        <w:t>1mm</w:t>
      </w:r>
      <w:r>
        <w:rPr>
          <w:rFonts w:hint="eastAsia" w:ascii="Times New Roman" w:hAnsi="Times New Roman"/>
          <w:bCs/>
          <w:szCs w:val="20"/>
        </w:rPr>
        <w:t>。</w:t>
      </w:r>
    </w:p>
    <w:p>
      <w:pPr>
        <w:tabs>
          <w:tab w:val="left" w:pos="682"/>
          <w:tab w:val="left" w:pos="712"/>
          <w:tab w:val="left" w:pos="6020"/>
        </w:tabs>
        <w:spacing w:line="360" w:lineRule="auto"/>
        <w:ind w:firstLine="420" w:firstLineChars="200"/>
        <w:rPr>
          <w:rFonts w:ascii="Times New Roman" w:hAnsi="Times New Roman"/>
          <w:bCs/>
          <w:szCs w:val="20"/>
        </w:rPr>
      </w:pPr>
      <w:r>
        <w:rPr>
          <w:rFonts w:hint="eastAsia" w:ascii="黑体" w:hAnsi="黑体" w:eastAsia="黑体" w:cs="黑体"/>
        </w:rPr>
        <w:t xml:space="preserve">3 </w:t>
      </w:r>
      <w:r>
        <w:rPr>
          <w:rFonts w:hint="eastAsia" w:ascii="Times New Roman" w:hAnsi="Times New Roman"/>
          <w:bCs/>
          <w:szCs w:val="20"/>
        </w:rPr>
        <w:t xml:space="preserve"> 冲击操作时，应有足够的能量产生表面位移响应，其冲击持续时间宜为（</w:t>
      </w:r>
      <w:r>
        <w:rPr>
          <w:rFonts w:ascii="Times New Roman" w:hAnsi="Times New Roman"/>
          <w:bCs/>
          <w:szCs w:val="20"/>
        </w:rPr>
        <w:t>30</w:t>
      </w:r>
      <w:r>
        <w:rPr>
          <w:rFonts w:ascii="宋体" w:hAnsi="宋体"/>
          <w:bCs/>
          <w:szCs w:val="20"/>
        </w:rPr>
        <w:t>±</w:t>
      </w:r>
      <w:r>
        <w:rPr>
          <w:rFonts w:ascii="Times New Roman" w:hAnsi="Times New Roman"/>
          <w:bCs/>
          <w:szCs w:val="20"/>
        </w:rPr>
        <w:t>10</w:t>
      </w:r>
      <w:r>
        <w:rPr>
          <w:rFonts w:hint="eastAsia" w:ascii="Times New Roman" w:hAnsi="Times New Roman"/>
          <w:bCs/>
          <w:szCs w:val="20"/>
        </w:rPr>
        <w:t>）</w:t>
      </w:r>
      <w:r>
        <w:rPr>
          <w:rFonts w:ascii="Times New Roman" w:hAnsi="Times New Roman"/>
          <w:bCs/>
          <w:szCs w:val="20"/>
        </w:rPr>
        <w:t>μs</w:t>
      </w:r>
      <w:r>
        <w:rPr>
          <w:rFonts w:hint="eastAsia" w:ascii="Times New Roman" w:hAnsi="Times New Roman"/>
          <w:bCs/>
          <w:szCs w:val="20"/>
        </w:rPr>
        <w:t>。冲击持续时间可从表面到达波的相应部分波形测量验证，如图D</w:t>
      </w:r>
      <w:r>
        <w:rPr>
          <w:rFonts w:ascii="Times New Roman" w:hAnsi="Times New Roman"/>
          <w:bCs/>
          <w:szCs w:val="20"/>
        </w:rPr>
        <w:t>.2.5-1</w:t>
      </w:r>
      <w:r>
        <w:rPr>
          <w:rFonts w:hint="eastAsia" w:ascii="Times New Roman" w:hAnsi="Times New Roman"/>
          <w:bCs/>
          <w:szCs w:val="20"/>
        </w:rPr>
        <w:t>所示。</w:t>
      </w:r>
    </w:p>
    <w:p>
      <w:pPr>
        <w:tabs>
          <w:tab w:val="left" w:pos="682"/>
          <w:tab w:val="left" w:pos="6020"/>
        </w:tabs>
        <w:spacing w:line="360" w:lineRule="auto"/>
        <w:ind w:firstLine="420" w:firstLineChars="200"/>
        <w:rPr>
          <w:rFonts w:ascii="Times New Roman" w:hAnsi="Times New Roman"/>
          <w:b/>
          <w:bCs/>
          <w:szCs w:val="20"/>
        </w:rPr>
      </w:pPr>
      <w:r>
        <w:rPr>
          <w:rFonts w:hint="eastAsia" w:ascii="黑体" w:hAnsi="黑体" w:eastAsia="黑体" w:cs="黑体"/>
        </w:rPr>
        <w:t>4</w:t>
      </w:r>
      <w:r>
        <w:rPr>
          <w:rFonts w:hint="eastAsia" w:ascii="Times New Roman" w:hAnsi="Times New Roman"/>
          <w:bCs/>
          <w:szCs w:val="20"/>
        </w:rPr>
        <w:t xml:space="preserve">  应逐一测试每次激振时固定点和移动点的</w:t>
      </w:r>
      <w:r>
        <w:rPr>
          <w:rFonts w:ascii="Times New Roman" w:hAnsi="Times New Roman"/>
          <w:bCs/>
          <w:szCs w:val="20"/>
        </w:rPr>
        <w:t>P</w:t>
      </w:r>
      <w:r>
        <w:rPr>
          <w:rFonts w:hint="eastAsia" w:ascii="Times New Roman" w:hAnsi="Times New Roman"/>
          <w:bCs/>
          <w:szCs w:val="20"/>
        </w:rPr>
        <w:t>波首波到达时</w:t>
      </w:r>
      <w:r>
        <w:rPr>
          <w:rFonts w:ascii="Times New Roman" w:hAnsi="Times New Roman"/>
          <w:bCs/>
          <w:i/>
          <w:szCs w:val="20"/>
        </w:rPr>
        <w:t>t</w:t>
      </w:r>
      <w:r>
        <w:rPr>
          <w:rFonts w:ascii="Times New Roman" w:hAnsi="Times New Roman"/>
          <w:bCs/>
          <w:szCs w:val="20"/>
          <w:vertAlign w:val="subscript"/>
        </w:rPr>
        <w:t>01</w:t>
      </w:r>
      <w:r>
        <w:rPr>
          <w:rFonts w:hint="eastAsia" w:ascii="Times New Roman" w:hAnsi="Times New Roman"/>
          <w:bCs/>
          <w:szCs w:val="20"/>
        </w:rPr>
        <w:t>、</w:t>
      </w:r>
      <w:r>
        <w:rPr>
          <w:rFonts w:ascii="Times New Roman" w:hAnsi="Times New Roman"/>
          <w:bCs/>
          <w:i/>
          <w:szCs w:val="20"/>
        </w:rPr>
        <w:t>t</w:t>
      </w:r>
      <w:r>
        <w:rPr>
          <w:rFonts w:ascii="Times New Roman" w:hAnsi="Times New Roman"/>
          <w:bCs/>
          <w:szCs w:val="20"/>
          <w:vertAlign w:val="subscript"/>
        </w:rPr>
        <w:t>02</w:t>
      </w:r>
      <w:r>
        <w:rPr>
          <w:rFonts w:hint="eastAsia" w:ascii="Times New Roman" w:hAnsi="Times New Roman"/>
          <w:bCs/>
          <w:szCs w:val="20"/>
        </w:rPr>
        <w:t>，如图D</w:t>
      </w:r>
      <w:r>
        <w:rPr>
          <w:rFonts w:ascii="Times New Roman" w:hAnsi="Times New Roman"/>
          <w:bCs/>
          <w:szCs w:val="20"/>
        </w:rPr>
        <w:t>.2.5-2</w:t>
      </w:r>
      <w:r>
        <w:rPr>
          <w:rFonts w:hint="eastAsia" w:ascii="Times New Roman" w:hAnsi="Times New Roman"/>
          <w:bCs/>
          <w:szCs w:val="20"/>
        </w:rPr>
        <w:t>。</w:t>
      </w:r>
    </w:p>
    <w:p>
      <w:pPr>
        <w:pStyle w:val="26"/>
        <w:tabs>
          <w:tab w:val="left" w:pos="682"/>
          <w:tab w:val="left" w:pos="709"/>
          <w:tab w:val="left" w:pos="6020"/>
        </w:tabs>
        <w:spacing w:line="360" w:lineRule="auto"/>
        <w:rPr>
          <w:rFonts w:ascii="Times New Roman" w:hAnsi="Times New Roman"/>
          <w:bCs/>
          <w:szCs w:val="20"/>
        </w:rPr>
      </w:pPr>
      <w:r>
        <w:rPr>
          <w:rFonts w:hint="eastAsia" w:ascii="黑体" w:hAnsi="黑体" w:eastAsia="黑体" w:cs="黑体"/>
        </w:rPr>
        <w:t xml:space="preserve">5 </w:t>
      </w:r>
      <w:r>
        <w:rPr>
          <w:rFonts w:hint="eastAsia" w:ascii="Times New Roman" w:hAnsi="Times New Roman"/>
          <w:bCs/>
          <w:szCs w:val="20"/>
        </w:rPr>
        <w:t xml:space="preserve"> </w:t>
      </w:r>
      <w:r>
        <w:rPr>
          <w:rFonts w:ascii="Times New Roman" w:hAnsi="Times New Roman"/>
          <w:bCs/>
          <w:szCs w:val="20"/>
        </w:rPr>
        <w:t>P</w:t>
      </w:r>
      <w:r>
        <w:rPr>
          <w:rFonts w:hint="eastAsia" w:ascii="Times New Roman" w:hAnsi="Times New Roman"/>
          <w:bCs/>
          <w:szCs w:val="20"/>
        </w:rPr>
        <w:t>波波速值宜通过各移动接收点到固定接收点的距离与弹性波在两点之间的传播时间回归关系获得，图D</w:t>
      </w:r>
      <w:r>
        <w:rPr>
          <w:rFonts w:ascii="Times New Roman" w:hAnsi="Times New Roman"/>
          <w:bCs/>
          <w:szCs w:val="20"/>
        </w:rPr>
        <w:t>.2.5-3</w:t>
      </w:r>
      <w:r>
        <w:rPr>
          <w:rFonts w:hint="eastAsia" w:ascii="Times New Roman" w:hAnsi="Times New Roman"/>
          <w:bCs/>
          <w:szCs w:val="20"/>
        </w:rPr>
        <w:t>所示，其直线斜率即为</w:t>
      </w:r>
      <w:r>
        <w:rPr>
          <w:rFonts w:ascii="Times New Roman" w:hAnsi="Times New Roman"/>
          <w:bCs/>
          <w:szCs w:val="20"/>
        </w:rPr>
        <w:t>P</w:t>
      </w:r>
      <w:r>
        <w:rPr>
          <w:rFonts w:hint="eastAsia" w:ascii="Times New Roman" w:hAnsi="Times New Roman"/>
          <w:bCs/>
          <w:szCs w:val="20"/>
        </w:rPr>
        <w:t>波波速值。</w:t>
      </w:r>
    </w:p>
    <w:p>
      <w:pPr>
        <w:tabs>
          <w:tab w:val="left" w:pos="6020"/>
        </w:tabs>
        <w:spacing w:line="360" w:lineRule="auto"/>
        <w:rPr>
          <w:rFonts w:ascii="Times New Roman" w:hAnsi="Times New Roman"/>
          <w:bCs/>
          <w:szCs w:val="20"/>
        </w:rPr>
      </w:pPr>
      <w:r>
        <w:rPr>
          <w:rFonts w:hint="eastAsia" w:ascii="黑体" w:hAnsi="黑体" w:eastAsia="黑体" w:cs="黑体"/>
        </w:rPr>
        <mc:AlternateContent>
          <mc:Choice Requires="wpc">
            <w:drawing>
              <wp:anchor distT="0" distB="0" distL="114300" distR="114300" simplePos="0" relativeHeight="251666432" behindDoc="0" locked="0" layoutInCell="1" allowOverlap="1">
                <wp:simplePos x="0" y="0"/>
                <wp:positionH relativeFrom="column">
                  <wp:posOffset>3190240</wp:posOffset>
                </wp:positionH>
                <wp:positionV relativeFrom="paragraph">
                  <wp:posOffset>84455</wp:posOffset>
                </wp:positionV>
                <wp:extent cx="2877820" cy="2289175"/>
                <wp:effectExtent l="0" t="0" r="0" b="0"/>
                <wp:wrapSquare wrapText="right"/>
                <wp:docPr id="1006" name="画布 15224"/>
                <wp:cNvGraphicFramePr/>
                <a:graphic xmlns:a="http://schemas.openxmlformats.org/drawingml/2006/main">
                  <a:graphicData uri="http://schemas.microsoft.com/office/word/2010/wordprocessingCanvas">
                    <wpc:wpc>
                      <wpc:bg>
                        <a:noFill/>
                      </wpc:bg>
                      <wpc:whole>
                        <a:ln>
                          <a:noFill/>
                        </a:ln>
                      </wpc:whole>
                      <wpg:wgp>
                        <wpg:cNvPr id="1191" name="Group 1008"/>
                        <wpg:cNvGrpSpPr/>
                        <wpg:grpSpPr>
                          <a:xfrm>
                            <a:off x="153670" y="50800"/>
                            <a:ext cx="2656840" cy="2152650"/>
                            <a:chOff x="100965" y="104140"/>
                            <a:chExt cx="2656840" cy="2152650"/>
                          </a:xfrm>
                        </wpg:grpSpPr>
                        <wpg:grpSp>
                          <wpg:cNvPr id="1192" name="组合 15115"/>
                          <wpg:cNvGrpSpPr/>
                          <wpg:grpSpPr>
                            <a:xfrm>
                              <a:off x="100965" y="104140"/>
                              <a:ext cx="441325" cy="1690370"/>
                              <a:chOff x="627829" y="728204"/>
                              <a:chExt cx="723642" cy="2934671"/>
                            </a:xfrm>
                          </wpg:grpSpPr>
                          <wps:wsp>
                            <wps:cNvPr id="1193" name="TextBox 118"/>
                            <wps:cNvSpPr txBox="1">
                              <a:spLocks noChangeArrowheads="1"/>
                            </wps:cNvSpPr>
                            <wps:spPr bwMode="auto">
                              <a:xfrm>
                                <a:off x="710448" y="728204"/>
                                <a:ext cx="609790" cy="435233"/>
                              </a:xfrm>
                              <a:prstGeom prst="rect">
                                <a:avLst/>
                              </a:prstGeom>
                              <a:noFill/>
                              <a:ln>
                                <a:noFill/>
                              </a:ln>
                            </wps:spPr>
                            <wps:txbx>
                              <w:txbxContent>
                                <w:p>
                                  <w:pPr>
                                    <w:pStyle w:val="18"/>
                                    <w:adjustRightInd w:val="0"/>
                                    <w:snapToGrid w:val="0"/>
                                    <w:spacing w:before="0" w:beforeAutospacing="0" w:after="0" w:afterAutospacing="0"/>
                                    <w:rPr>
                                      <w:rFonts w:ascii="Times New Roman" w:hAnsi="Times New Roman" w:cs="Times New Roman"/>
                                      <w:sz w:val="15"/>
                                      <w:szCs w:val="15"/>
                                    </w:rPr>
                                  </w:pPr>
                                  <w:r>
                                    <w:rPr>
                                      <w:rFonts w:hint="eastAsia" w:ascii="Times New Roman" w:hAnsi="Times New Roman" w:cs="Times New Roman"/>
                                      <w:color w:val="000000"/>
                                      <w:sz w:val="15"/>
                                      <w:szCs w:val="15"/>
                                    </w:rPr>
                                    <w:t>700</w:t>
                                  </w:r>
                                </w:p>
                              </w:txbxContent>
                            </wps:txbx>
                            <wps:bodyPr rot="0" vert="horz" wrap="square" lIns="91440" tIns="45720" rIns="91440" bIns="45720" anchor="t" anchorCtr="0" upright="1">
                              <a:noAutofit/>
                            </wps:bodyPr>
                          </wps:wsp>
                          <wps:wsp>
                            <wps:cNvPr id="1194" name="TextBox 119"/>
                            <wps:cNvSpPr txBox="1">
                              <a:spLocks noChangeArrowheads="1"/>
                            </wps:cNvSpPr>
                            <wps:spPr bwMode="auto">
                              <a:xfrm>
                                <a:off x="687025" y="1227522"/>
                                <a:ext cx="609790" cy="334865"/>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hint="eastAsia" w:ascii="Times New Roman" w:hAnsi="Times New Roman" w:cs="Times New Roman"/>
                                      <w:color w:val="000000"/>
                                      <w:sz w:val="15"/>
                                      <w:szCs w:val="15"/>
                                    </w:rPr>
                                    <w:t>600</w:t>
                                  </w:r>
                                </w:p>
                              </w:txbxContent>
                            </wps:txbx>
                            <wps:bodyPr rot="0" vert="horz" wrap="square" lIns="91440" tIns="45720" rIns="91440" bIns="45720" anchor="t" anchorCtr="0" upright="1">
                              <a:noAutofit/>
                            </wps:bodyPr>
                          </wps:wsp>
                          <wps:wsp>
                            <wps:cNvPr id="1195" name="TextBox 120"/>
                            <wps:cNvSpPr txBox="1">
                              <a:spLocks noChangeArrowheads="1"/>
                            </wps:cNvSpPr>
                            <wps:spPr bwMode="auto">
                              <a:xfrm>
                                <a:off x="694832" y="1718576"/>
                                <a:ext cx="609790" cy="339141"/>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hint="eastAsia" w:ascii="Times New Roman" w:hAnsi="Times New Roman" w:cs="Times New Roman"/>
                                      <w:color w:val="000000"/>
                                      <w:sz w:val="15"/>
                                      <w:szCs w:val="15"/>
                                    </w:rPr>
                                    <w:t>50</w:t>
                                  </w:r>
                                  <w:r>
                                    <w:rPr>
                                      <w:rFonts w:ascii="Times New Roman" w:hAnsi="Times New Roman" w:cs="Times New Roman"/>
                                      <w:color w:val="000000"/>
                                      <w:sz w:val="15"/>
                                      <w:szCs w:val="15"/>
                                    </w:rPr>
                                    <w:t>0</w:t>
                                  </w:r>
                                </w:p>
                              </w:txbxContent>
                            </wps:txbx>
                            <wps:bodyPr rot="0" vert="horz" wrap="square" lIns="91440" tIns="45720" rIns="91440" bIns="45720" anchor="t" anchorCtr="0" upright="1">
                              <a:noAutofit/>
                            </wps:bodyPr>
                          </wps:wsp>
                          <wps:wsp>
                            <wps:cNvPr id="1196" name="TextBox 121"/>
                            <wps:cNvSpPr txBox="1">
                              <a:spLocks noChangeArrowheads="1"/>
                            </wps:cNvSpPr>
                            <wps:spPr bwMode="auto">
                              <a:xfrm>
                                <a:off x="679218" y="2242703"/>
                                <a:ext cx="609790" cy="343416"/>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hint="eastAsia" w:ascii="Times New Roman" w:hAnsi="Times New Roman" w:cs="Times New Roman"/>
                                      <w:color w:val="000000"/>
                                      <w:sz w:val="15"/>
                                      <w:szCs w:val="15"/>
                                    </w:rPr>
                                    <w:t>400</w:t>
                                  </w:r>
                                </w:p>
                              </w:txbxContent>
                            </wps:txbx>
                            <wps:bodyPr rot="0" vert="horz" wrap="square" lIns="91440" tIns="45720" rIns="91440" bIns="45720" anchor="t" anchorCtr="0" upright="1">
                              <a:noAutofit/>
                            </wps:bodyPr>
                          </wps:wsp>
                          <wps:wsp>
                            <wps:cNvPr id="1197" name="TextBox 122"/>
                            <wps:cNvSpPr txBox="1">
                              <a:spLocks noChangeArrowheads="1"/>
                            </wps:cNvSpPr>
                            <wps:spPr bwMode="auto">
                              <a:xfrm>
                                <a:off x="627829" y="2717219"/>
                                <a:ext cx="723642" cy="445794"/>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hint="eastAsia" w:ascii="Times New Roman" w:hAnsi="Times New Roman" w:cs="Times New Roman"/>
                                      <w:color w:val="000000"/>
                                      <w:sz w:val="15"/>
                                      <w:szCs w:val="15"/>
                                    </w:rPr>
                                    <w:t>30</w:t>
                                  </w:r>
                                  <w:r>
                                    <w:rPr>
                                      <w:rFonts w:ascii="Times New Roman" w:hAnsi="Times New Roman" w:cs="Times New Roman"/>
                                      <w:color w:val="000000"/>
                                      <w:sz w:val="15"/>
                                      <w:szCs w:val="15"/>
                                    </w:rPr>
                                    <w:t>0</w:t>
                                  </w:r>
                                </w:p>
                              </w:txbxContent>
                            </wps:txbx>
                            <wps:bodyPr rot="0" vert="horz" wrap="square" lIns="91440" tIns="45720" rIns="91440" bIns="45720" anchor="t" anchorCtr="0" upright="1">
                              <a:noAutofit/>
                            </wps:bodyPr>
                          </wps:wsp>
                          <wps:wsp>
                            <wps:cNvPr id="1198" name="TextBox 123"/>
                            <wps:cNvSpPr txBox="1">
                              <a:spLocks noChangeArrowheads="1"/>
                            </wps:cNvSpPr>
                            <wps:spPr bwMode="auto">
                              <a:xfrm>
                                <a:off x="627829" y="3216541"/>
                                <a:ext cx="723642" cy="446334"/>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hint="eastAsia" w:ascii="Times New Roman" w:hAnsi="Times New Roman" w:cs="Times New Roman"/>
                                      <w:color w:val="000000"/>
                                      <w:sz w:val="15"/>
                                      <w:szCs w:val="15"/>
                                    </w:rPr>
                                    <w:t>200</w:t>
                                  </w:r>
                                </w:p>
                              </w:txbxContent>
                            </wps:txbx>
                            <wps:bodyPr rot="0" vert="horz" wrap="square" lIns="91440" tIns="45720" rIns="91440" bIns="45720" anchor="t" anchorCtr="0" upright="1">
                              <a:noAutofit/>
                            </wps:bodyPr>
                          </wps:wsp>
                        </wpg:grpSp>
                        <wpg:grpSp>
                          <wpg:cNvPr id="1199" name="组合 15123"/>
                          <wpg:cNvGrpSpPr/>
                          <wpg:grpSpPr>
                            <a:xfrm>
                              <a:off x="622935" y="1645285"/>
                              <a:ext cx="1720850" cy="235585"/>
                              <a:chOff x="1469471" y="3509438"/>
                              <a:chExt cx="2977615" cy="370192"/>
                            </a:xfrm>
                          </wpg:grpSpPr>
                          <wps:wsp>
                            <wps:cNvPr id="1200" name="直接连接符 15124"/>
                            <wps:cNvCnPr/>
                            <wps:spPr bwMode="auto">
                              <a:xfrm>
                                <a:off x="1469471" y="3805834"/>
                                <a:ext cx="66803" cy="0"/>
                              </a:xfrm>
                              <a:prstGeom prst="line">
                                <a:avLst/>
                              </a:prstGeom>
                              <a:noFill/>
                              <a:ln>
                                <a:noFill/>
                              </a:ln>
                            </wps:spPr>
                            <wps:bodyPr/>
                          </wps:wsp>
                          <wps:wsp>
                            <wps:cNvPr id="1201" name="TextBox 125"/>
                            <wps:cNvSpPr txBox="1">
                              <a:spLocks noChangeArrowheads="1"/>
                            </wps:cNvSpPr>
                            <wps:spPr bwMode="auto">
                              <a:xfrm>
                                <a:off x="3837295" y="3509438"/>
                                <a:ext cx="609791" cy="347759"/>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hint="eastAsia" w:ascii="Times New Roman" w:hAnsi="Times New Roman" w:cs="Times New Roman"/>
                                      <w:color w:val="000000"/>
                                      <w:sz w:val="15"/>
                                      <w:szCs w:val="15"/>
                                    </w:rPr>
                                    <w:t>Δ</w:t>
                                  </w:r>
                                  <w:r>
                                    <w:rPr>
                                      <w:rFonts w:hint="eastAsia" w:ascii="Times New Roman" w:hAnsi="Times New Roman" w:cs="Times New Roman"/>
                                      <w:i/>
                                      <w:color w:val="000000"/>
                                      <w:sz w:val="15"/>
                                      <w:szCs w:val="15"/>
                                    </w:rPr>
                                    <w:t>t</w:t>
                                  </w:r>
                                  <w:r>
                                    <w:rPr>
                                      <w:rFonts w:hint="eastAsia" w:ascii="Times New Roman" w:hAnsi="Times New Roman" w:cs="Times New Roman"/>
                                      <w:color w:val="000000"/>
                                      <w:sz w:val="15"/>
                                      <w:szCs w:val="15"/>
                                      <w:vertAlign w:val="subscript"/>
                                    </w:rPr>
                                    <w:t>4</w:t>
                                  </w:r>
                                </w:p>
                              </w:txbxContent>
                            </wps:txbx>
                            <wps:bodyPr rot="0" vert="horz" wrap="square" lIns="91440" tIns="45720" rIns="91440" bIns="45720" anchor="t" anchorCtr="0" upright="1">
                              <a:noAutofit/>
                            </wps:bodyPr>
                          </wps:wsp>
                          <wps:wsp>
                            <wps:cNvPr id="1202" name="TextBox 129"/>
                            <wps:cNvSpPr txBox="1">
                              <a:spLocks noChangeArrowheads="1"/>
                            </wps:cNvSpPr>
                            <wps:spPr bwMode="auto">
                              <a:xfrm>
                                <a:off x="1621218" y="3531871"/>
                                <a:ext cx="666389" cy="347759"/>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hint="eastAsia" w:ascii="Times New Roman" w:hAnsi="Times New Roman" w:cs="Times New Roman"/>
                                      <w:color w:val="000000"/>
                                      <w:sz w:val="15"/>
                                      <w:szCs w:val="15"/>
                                    </w:rPr>
                                    <w:t>Δ</w:t>
                                  </w:r>
                                  <w:r>
                                    <w:rPr>
                                      <w:rFonts w:ascii="Times New Roman" w:hAnsi="Times New Roman" w:cs="Times New Roman"/>
                                      <w:i/>
                                      <w:color w:val="000000"/>
                                      <w:sz w:val="15"/>
                                      <w:szCs w:val="15"/>
                                    </w:rPr>
                                    <w:t>t</w:t>
                                  </w:r>
                                  <w:r>
                                    <w:rPr>
                                      <w:rFonts w:ascii="Times New Roman" w:hAnsi="Times New Roman" w:cs="Times New Roman"/>
                                      <w:color w:val="000000"/>
                                      <w:sz w:val="15"/>
                                      <w:szCs w:val="15"/>
                                      <w:vertAlign w:val="subscript"/>
                                    </w:rPr>
                                    <w:t>1</w:t>
                                  </w:r>
                                </w:p>
                              </w:txbxContent>
                            </wps:txbx>
                            <wps:bodyPr rot="0" vert="horz" wrap="square" lIns="91440" tIns="45720" rIns="91440" bIns="45720" anchor="t" anchorCtr="0" upright="1">
                              <a:noAutofit/>
                            </wps:bodyPr>
                          </wps:wsp>
                          <wps:wsp>
                            <wps:cNvPr id="1203" name="TextBox 130"/>
                            <wps:cNvSpPr txBox="1">
                              <a:spLocks noChangeArrowheads="1"/>
                            </wps:cNvSpPr>
                            <wps:spPr bwMode="auto">
                              <a:xfrm>
                                <a:off x="2348920" y="3531871"/>
                                <a:ext cx="609791" cy="347759"/>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hint="eastAsia" w:ascii="Times New Roman" w:hAnsi="Times New Roman" w:cs="Times New Roman"/>
                                      <w:color w:val="000000"/>
                                      <w:sz w:val="15"/>
                                      <w:szCs w:val="15"/>
                                    </w:rPr>
                                    <w:t>Δ</w:t>
                                  </w:r>
                                  <w:r>
                                    <w:rPr>
                                      <w:rFonts w:hint="eastAsia" w:ascii="Times New Roman" w:hAnsi="Times New Roman" w:cs="Times New Roman"/>
                                      <w:i/>
                                      <w:color w:val="000000"/>
                                      <w:sz w:val="15"/>
                                      <w:szCs w:val="15"/>
                                    </w:rPr>
                                    <w:t>t</w:t>
                                  </w:r>
                                  <w:r>
                                    <w:rPr>
                                      <w:rFonts w:hint="eastAsia" w:ascii="Times New Roman" w:hAnsi="Times New Roman" w:cs="Times New Roman"/>
                                      <w:color w:val="000000"/>
                                      <w:sz w:val="15"/>
                                      <w:szCs w:val="15"/>
                                      <w:vertAlign w:val="subscript"/>
                                    </w:rPr>
                                    <w:t>2</w:t>
                                  </w:r>
                                </w:p>
                              </w:txbxContent>
                            </wps:txbx>
                            <wps:bodyPr rot="0" vert="horz" wrap="square" lIns="91440" tIns="45720" rIns="91440" bIns="45720" anchor="t" anchorCtr="0" upright="1">
                              <a:noAutofit/>
                            </wps:bodyPr>
                          </wps:wsp>
                          <wps:wsp>
                            <wps:cNvPr id="1204" name="TextBox 131"/>
                            <wps:cNvSpPr txBox="1">
                              <a:spLocks noChangeArrowheads="1"/>
                            </wps:cNvSpPr>
                            <wps:spPr bwMode="auto">
                              <a:xfrm>
                                <a:off x="3101350" y="3516915"/>
                                <a:ext cx="609791" cy="347759"/>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hint="eastAsia" w:ascii="Times New Roman" w:hAnsi="Times New Roman" w:cs="Times New Roman"/>
                                      <w:color w:val="000000"/>
                                      <w:sz w:val="15"/>
                                      <w:szCs w:val="15"/>
                                    </w:rPr>
                                    <w:t>Δ</w:t>
                                  </w:r>
                                  <w:r>
                                    <w:rPr>
                                      <w:rFonts w:hint="eastAsia" w:ascii="Times New Roman" w:hAnsi="Times New Roman" w:cs="Times New Roman"/>
                                      <w:i/>
                                      <w:color w:val="000000"/>
                                      <w:sz w:val="15"/>
                                      <w:szCs w:val="15"/>
                                    </w:rPr>
                                    <w:t>t</w:t>
                                  </w:r>
                                  <w:r>
                                    <w:rPr>
                                      <w:rFonts w:hint="eastAsia" w:ascii="Times New Roman" w:hAnsi="Times New Roman" w:cs="Times New Roman"/>
                                      <w:color w:val="000000"/>
                                      <w:sz w:val="15"/>
                                      <w:szCs w:val="15"/>
                                      <w:vertAlign w:val="subscript"/>
                                    </w:rPr>
                                    <w:t>3</w:t>
                                  </w:r>
                                </w:p>
                              </w:txbxContent>
                            </wps:txbx>
                            <wps:bodyPr rot="0" vert="horz" wrap="square" lIns="91440" tIns="45720" rIns="91440" bIns="45720" anchor="t" anchorCtr="0" upright="1">
                              <a:noAutofit/>
                            </wps:bodyPr>
                          </wps:wsp>
                        </wpg:grpSp>
                        <wps:wsp>
                          <wps:cNvPr id="1205" name="TextBox 124"/>
                          <wps:cNvSpPr txBox="1">
                            <a:spLocks noChangeArrowheads="1"/>
                          </wps:cNvSpPr>
                          <wps:spPr bwMode="auto">
                            <a:xfrm>
                              <a:off x="1957705" y="1804035"/>
                              <a:ext cx="800100" cy="222885"/>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hint="eastAsia" w:ascii="Times New Roman" w:hAnsi="Times New Roman" w:cs="Times New Roman"/>
                                    <w:color w:val="000000"/>
                                    <w:sz w:val="15"/>
                                    <w:szCs w:val="15"/>
                                  </w:rPr>
                                  <w:t>时程（</w:t>
                                </w:r>
                                <w:r>
                                  <w:rPr>
                                    <w:rFonts w:ascii="Times New Roman" w:hAnsi="Times New Roman" w:cs="Times New Roman"/>
                                    <w:color w:val="000000"/>
                                    <w:sz w:val="15"/>
                                    <w:szCs w:val="15"/>
                                  </w:rPr>
                                  <w:t>s</w:t>
                                </w:r>
                                <w:r>
                                  <w:rPr>
                                    <w:rFonts w:hint="eastAsia" w:ascii="Times New Roman" w:hAnsi="Times New Roman" w:cs="Times New Roman"/>
                                    <w:color w:val="000000"/>
                                    <w:sz w:val="15"/>
                                    <w:szCs w:val="15"/>
                                  </w:rPr>
                                  <w:t>）</w:t>
                                </w:r>
                              </w:p>
                            </w:txbxContent>
                          </wps:txbx>
                          <wps:bodyPr rot="0" vert="horz" wrap="square" lIns="91440" tIns="45720" rIns="91440" bIns="45720" anchor="t" anchorCtr="0" upright="1">
                            <a:noAutofit/>
                          </wps:bodyPr>
                        </wps:wsp>
                        <wps:wsp>
                          <wps:cNvPr id="1206" name="TextBox 124"/>
                          <wps:cNvSpPr txBox="1">
                            <a:spLocks noChangeArrowheads="1"/>
                          </wps:cNvSpPr>
                          <wps:spPr bwMode="auto">
                            <a:xfrm>
                              <a:off x="474980" y="1965960"/>
                              <a:ext cx="2014220" cy="290830"/>
                            </a:xfrm>
                            <a:prstGeom prst="rect">
                              <a:avLst/>
                            </a:prstGeom>
                            <a:noFill/>
                            <a:ln>
                              <a:noFill/>
                            </a:ln>
                          </wps:spPr>
                          <wps:txbx>
                            <w:txbxContent>
                              <w:p>
                                <w:pPr>
                                  <w:pStyle w:val="18"/>
                                  <w:spacing w:before="0" w:beforeAutospacing="0" w:after="0" w:afterAutospacing="0"/>
                                  <w:jc w:val="center"/>
                                  <w:rPr>
                                    <w:rFonts w:ascii="Times New Roman" w:hAnsi="Times New Roman" w:eastAsia="黑体" w:cs="Times New Roman"/>
                                    <w:sz w:val="18"/>
                                    <w:szCs w:val="18"/>
                                  </w:rPr>
                                </w:pPr>
                                <w:r>
                                  <w:rPr>
                                    <w:rFonts w:hint="eastAsia" w:ascii="Times New Roman" w:hAnsi="Times New Roman" w:eastAsia="黑体" w:cs="Times New Roman"/>
                                    <w:color w:val="000000"/>
                                    <w:sz w:val="18"/>
                                    <w:szCs w:val="18"/>
                                  </w:rPr>
                                  <w:t>图D</w:t>
                                </w:r>
                                <w:r>
                                  <w:rPr>
                                    <w:rFonts w:ascii="Times New Roman" w:hAnsi="Times New Roman" w:eastAsia="黑体" w:cs="Times New Roman"/>
                                    <w:color w:val="000000"/>
                                    <w:sz w:val="18"/>
                                    <w:szCs w:val="18"/>
                                  </w:rPr>
                                  <w:t>.</w:t>
                                </w:r>
                                <w:r>
                                  <w:rPr>
                                    <w:rFonts w:hint="eastAsia" w:ascii="Times New Roman" w:hAnsi="Times New Roman" w:eastAsia="黑体" w:cs="Times New Roman"/>
                                    <w:color w:val="000000"/>
                                    <w:sz w:val="18"/>
                                    <w:szCs w:val="18"/>
                                  </w:rPr>
                                  <w:t>2</w:t>
                                </w:r>
                                <w:r>
                                  <w:rPr>
                                    <w:rFonts w:ascii="Times New Roman" w:hAnsi="Times New Roman" w:eastAsia="黑体" w:cs="Times New Roman"/>
                                    <w:color w:val="000000"/>
                                    <w:sz w:val="18"/>
                                    <w:szCs w:val="18"/>
                                  </w:rPr>
                                  <w:t>.</w:t>
                                </w:r>
                                <w:r>
                                  <w:rPr>
                                    <w:rFonts w:hint="eastAsia" w:ascii="Times New Roman" w:hAnsi="Times New Roman" w:eastAsia="黑体" w:cs="Times New Roman"/>
                                    <w:color w:val="000000"/>
                                    <w:sz w:val="18"/>
                                    <w:szCs w:val="18"/>
                                  </w:rPr>
                                  <w:t>5-3</w:t>
                                </w:r>
                                <w:r>
                                  <w:rPr>
                                    <w:rFonts w:ascii="Times New Roman" w:hAnsi="Times New Roman" w:eastAsia="黑体" w:cs="Times New Roman"/>
                                    <w:color w:val="000000"/>
                                    <w:sz w:val="18"/>
                                    <w:szCs w:val="18"/>
                                  </w:rPr>
                                  <w:t xml:space="preserve">  </w:t>
                                </w:r>
                                <w:r>
                                  <w:rPr>
                                    <w:rFonts w:hint="eastAsia" w:ascii="Times New Roman" w:hAnsi="Times New Roman" w:eastAsia="黑体" w:cs="Times New Roman"/>
                                    <w:color w:val="000000"/>
                                    <w:sz w:val="18"/>
                                    <w:szCs w:val="18"/>
                                  </w:rPr>
                                  <w:t>回归曲线示意图</w:t>
                                </w:r>
                              </w:p>
                            </w:txbxContent>
                          </wps:txbx>
                          <wps:bodyPr rot="0" vert="horz" wrap="square" lIns="91440" tIns="45720" rIns="91440" bIns="45720" anchor="t" anchorCtr="0" upright="1">
                            <a:noAutofit/>
                          </wps:bodyPr>
                        </wps:wsp>
                        <wpg:grpSp>
                          <wpg:cNvPr id="1207" name="组合 12764"/>
                          <wpg:cNvGrpSpPr/>
                          <wpg:grpSpPr>
                            <a:xfrm>
                              <a:off x="471170" y="195580"/>
                              <a:ext cx="2120265" cy="1468755"/>
                              <a:chOff x="1141290" y="851583"/>
                              <a:chExt cx="3638008" cy="2543036"/>
                            </a:xfrm>
                          </wpg:grpSpPr>
                          <wps:wsp>
                            <wps:cNvPr id="1208" name="直接连接符 15136"/>
                            <wps:cNvCnPr/>
                            <wps:spPr bwMode="auto">
                              <a:xfrm flipV="1">
                                <a:off x="1151997" y="3359130"/>
                                <a:ext cx="3619128" cy="8573"/>
                              </a:xfrm>
                              <a:prstGeom prst="line">
                                <a:avLst/>
                              </a:prstGeom>
                              <a:noFill/>
                              <a:ln w="9525" algn="ctr">
                                <a:solidFill>
                                  <a:srgbClr val="4A7EBB"/>
                                </a:solidFill>
                                <a:round/>
                              </a:ln>
                            </wps:spPr>
                            <wps:bodyPr/>
                          </wps:wsp>
                          <wps:wsp>
                            <wps:cNvPr id="1209" name="直接连接符 15137"/>
                            <wps:cNvCnPr/>
                            <wps:spPr bwMode="auto">
                              <a:xfrm flipV="1">
                                <a:off x="1141290" y="860819"/>
                                <a:ext cx="3621662" cy="599"/>
                              </a:xfrm>
                              <a:prstGeom prst="line">
                                <a:avLst/>
                              </a:prstGeom>
                              <a:noFill/>
                              <a:ln w="9525" algn="ctr">
                                <a:solidFill>
                                  <a:srgbClr val="4A7EBB"/>
                                </a:solidFill>
                                <a:round/>
                              </a:ln>
                            </wps:spPr>
                            <wps:bodyPr/>
                          </wps:wsp>
                          <wps:wsp>
                            <wps:cNvPr id="1210" name="直接连接符 15139"/>
                            <wps:cNvCnPr/>
                            <wps:spPr bwMode="auto">
                              <a:xfrm flipV="1">
                                <a:off x="1152004" y="2856171"/>
                                <a:ext cx="3619122" cy="11118"/>
                              </a:xfrm>
                              <a:prstGeom prst="line">
                                <a:avLst/>
                              </a:prstGeom>
                              <a:noFill/>
                              <a:ln w="9525" algn="ctr">
                                <a:solidFill>
                                  <a:srgbClr val="4A7EBB"/>
                                </a:solidFill>
                                <a:prstDash val="sysDot"/>
                                <a:round/>
                              </a:ln>
                            </wps:spPr>
                            <wps:bodyPr/>
                          </wps:wsp>
                          <wps:wsp>
                            <wps:cNvPr id="1211" name="直接连接符 15140"/>
                            <wps:cNvCnPr/>
                            <wps:spPr bwMode="auto">
                              <a:xfrm>
                                <a:off x="1160874" y="1368282"/>
                                <a:ext cx="3610251" cy="3745"/>
                              </a:xfrm>
                              <a:prstGeom prst="line">
                                <a:avLst/>
                              </a:prstGeom>
                              <a:noFill/>
                              <a:ln w="9525" algn="ctr">
                                <a:solidFill>
                                  <a:srgbClr val="4A7EBB"/>
                                </a:solidFill>
                                <a:prstDash val="sysDot"/>
                                <a:round/>
                              </a:ln>
                            </wps:spPr>
                            <wps:bodyPr/>
                          </wps:wsp>
                          <wps:wsp>
                            <wps:cNvPr id="1212" name="直接连接符 15141"/>
                            <wps:cNvCnPr/>
                            <wps:spPr bwMode="auto">
                              <a:xfrm flipV="1">
                                <a:off x="1151997" y="1866742"/>
                                <a:ext cx="3619129" cy="1262"/>
                              </a:xfrm>
                              <a:prstGeom prst="line">
                                <a:avLst/>
                              </a:prstGeom>
                              <a:noFill/>
                              <a:ln w="9525" algn="ctr">
                                <a:solidFill>
                                  <a:srgbClr val="4A7EBB"/>
                                </a:solidFill>
                                <a:prstDash val="sysDot"/>
                                <a:round/>
                              </a:ln>
                            </wps:spPr>
                            <wps:bodyPr/>
                          </wps:wsp>
                          <wps:wsp>
                            <wps:cNvPr id="1213" name="直接连接符 15142"/>
                            <wps:cNvCnPr/>
                            <wps:spPr bwMode="auto">
                              <a:xfrm flipV="1">
                                <a:off x="1151997" y="2361456"/>
                                <a:ext cx="3627301" cy="2919"/>
                              </a:xfrm>
                              <a:prstGeom prst="line">
                                <a:avLst/>
                              </a:prstGeom>
                              <a:noFill/>
                              <a:ln w="9525" algn="ctr">
                                <a:solidFill>
                                  <a:srgbClr val="4A7EBB"/>
                                </a:solidFill>
                                <a:prstDash val="sysDot"/>
                                <a:round/>
                              </a:ln>
                            </wps:spPr>
                            <wps:bodyPr/>
                          </wps:wsp>
                          <wpg:grpSp>
                            <wpg:cNvPr id="1214" name="组合 15143"/>
                            <wpg:cNvGrpSpPr/>
                            <wpg:grpSpPr>
                              <a:xfrm>
                                <a:off x="1149076" y="851583"/>
                                <a:ext cx="3622665" cy="2543036"/>
                                <a:chOff x="923924" y="657659"/>
                                <a:chExt cx="3887439" cy="2740851"/>
                              </a:xfrm>
                            </wpg:grpSpPr>
                            <wps:wsp>
                              <wps:cNvPr id="1215" name="直接连接符 15144"/>
                              <wps:cNvCnPr/>
                              <wps:spPr bwMode="auto">
                                <a:xfrm>
                                  <a:off x="923924" y="657659"/>
                                  <a:ext cx="0" cy="2686977"/>
                                </a:xfrm>
                                <a:prstGeom prst="line">
                                  <a:avLst/>
                                </a:prstGeom>
                                <a:noFill/>
                                <a:ln w="9525" algn="ctr">
                                  <a:solidFill>
                                    <a:srgbClr val="4A7EBB"/>
                                  </a:solidFill>
                                  <a:round/>
                                </a:ln>
                              </wps:spPr>
                              <wps:bodyPr/>
                            </wps:wsp>
                            <wps:wsp>
                              <wps:cNvPr id="896" name="直接连接符 15145"/>
                              <wps:cNvCnPr/>
                              <wps:spPr bwMode="auto">
                                <a:xfrm>
                                  <a:off x="4801931" y="667614"/>
                                  <a:ext cx="9432" cy="2694334"/>
                                </a:xfrm>
                                <a:prstGeom prst="line">
                                  <a:avLst/>
                                </a:prstGeom>
                                <a:noFill/>
                                <a:ln w="9525" algn="ctr">
                                  <a:solidFill>
                                    <a:srgbClr val="4A7EBB"/>
                                  </a:solidFill>
                                  <a:round/>
                                </a:ln>
                              </wps:spPr>
                              <wps:bodyPr/>
                            </wps:wsp>
                            <wps:wsp>
                              <wps:cNvPr id="897" name="直接连接符 15147"/>
                              <wps:cNvCnPr/>
                              <wps:spPr bwMode="auto">
                                <a:xfrm>
                                  <a:off x="4038915" y="667614"/>
                                  <a:ext cx="1046" cy="2704235"/>
                                </a:xfrm>
                                <a:prstGeom prst="line">
                                  <a:avLst/>
                                </a:prstGeom>
                                <a:noFill/>
                                <a:ln w="9525" algn="ctr">
                                  <a:solidFill>
                                    <a:srgbClr val="4A7EBB"/>
                                  </a:solidFill>
                                  <a:prstDash val="sysDot"/>
                                  <a:round/>
                                </a:ln>
                              </wps:spPr>
                              <wps:bodyPr/>
                            </wps:wsp>
                            <wps:wsp>
                              <wps:cNvPr id="898" name="直接连接符 15149"/>
                              <wps:cNvCnPr/>
                              <wps:spPr bwMode="auto">
                                <a:xfrm flipH="1">
                                  <a:off x="3256752" y="667614"/>
                                  <a:ext cx="1604" cy="2722008"/>
                                </a:xfrm>
                                <a:prstGeom prst="line">
                                  <a:avLst/>
                                </a:prstGeom>
                                <a:noFill/>
                                <a:ln w="9525" algn="ctr">
                                  <a:solidFill>
                                    <a:srgbClr val="4A7EBB"/>
                                  </a:solidFill>
                                  <a:prstDash val="sysDot"/>
                                  <a:round/>
                                </a:ln>
                              </wps:spPr>
                              <wps:bodyPr/>
                            </wps:wsp>
                            <wps:wsp>
                              <wps:cNvPr id="899" name="直接连接符 15150"/>
                              <wps:cNvCnPr/>
                              <wps:spPr bwMode="auto">
                                <a:xfrm flipH="1">
                                  <a:off x="2477297" y="667614"/>
                                  <a:ext cx="503" cy="2713121"/>
                                </a:xfrm>
                                <a:prstGeom prst="line">
                                  <a:avLst/>
                                </a:prstGeom>
                                <a:noFill/>
                                <a:ln w="9525" algn="ctr">
                                  <a:solidFill>
                                    <a:srgbClr val="4A7EBB"/>
                                  </a:solidFill>
                                  <a:prstDash val="sysDot"/>
                                  <a:round/>
                                </a:ln>
                              </wps:spPr>
                              <wps:bodyPr/>
                            </wps:wsp>
                            <wps:wsp>
                              <wps:cNvPr id="900" name="直接连接符 15151"/>
                              <wps:cNvCnPr/>
                              <wps:spPr bwMode="auto">
                                <a:xfrm flipH="1">
                                  <a:off x="1704996" y="667614"/>
                                  <a:ext cx="1017" cy="2730896"/>
                                </a:xfrm>
                                <a:prstGeom prst="line">
                                  <a:avLst/>
                                </a:prstGeom>
                                <a:noFill/>
                                <a:ln w="9525" algn="ctr">
                                  <a:solidFill>
                                    <a:srgbClr val="4A7EBB"/>
                                  </a:solidFill>
                                  <a:prstDash val="sysDot"/>
                                  <a:round/>
                                </a:ln>
                              </wps:spPr>
                              <wps:bodyPr/>
                            </wps:wsp>
                          </wpg:grpSp>
                          <wpg:grpSp>
                            <wpg:cNvPr id="901" name="组合 15154"/>
                            <wpg:cNvGrpSpPr/>
                            <wpg:grpSpPr>
                              <a:xfrm>
                                <a:off x="1151998" y="3303392"/>
                                <a:ext cx="3620518" cy="66804"/>
                                <a:chOff x="1074327" y="3278701"/>
                                <a:chExt cx="3902150" cy="72001"/>
                              </a:xfrm>
                            </wpg:grpSpPr>
                            <wps:wsp>
                              <wps:cNvPr id="902" name="直接连接符 15157"/>
                              <wps:cNvCnPr/>
                              <wps:spPr bwMode="auto">
                                <a:xfrm rot="5400000">
                                  <a:off x="4940476" y="3314701"/>
                                  <a:ext cx="72001" cy="0"/>
                                </a:xfrm>
                                <a:prstGeom prst="line">
                                  <a:avLst/>
                                </a:prstGeom>
                                <a:noFill/>
                                <a:ln w="9525" algn="ctr">
                                  <a:solidFill>
                                    <a:srgbClr val="4A7EBB"/>
                                  </a:solidFill>
                                  <a:round/>
                                </a:ln>
                              </wps:spPr>
                              <wps:bodyPr/>
                            </wps:wsp>
                            <wps:wsp>
                              <wps:cNvPr id="904" name="直接连接符 15158"/>
                              <wps:cNvCnPr/>
                              <wps:spPr bwMode="auto">
                                <a:xfrm rot="5400000">
                                  <a:off x="4784391" y="3314702"/>
                                  <a:ext cx="72000" cy="0"/>
                                </a:xfrm>
                                <a:prstGeom prst="line">
                                  <a:avLst/>
                                </a:prstGeom>
                                <a:noFill/>
                                <a:ln w="9525" algn="ctr">
                                  <a:solidFill>
                                    <a:srgbClr val="4A7EBB"/>
                                  </a:solidFill>
                                  <a:round/>
                                </a:ln>
                              </wps:spPr>
                              <wps:bodyPr/>
                            </wps:wsp>
                            <wps:wsp>
                              <wps:cNvPr id="905" name="直接连接符 15159"/>
                              <wps:cNvCnPr/>
                              <wps:spPr bwMode="auto">
                                <a:xfrm rot="5400000">
                                  <a:off x="4628305" y="3314701"/>
                                  <a:ext cx="72001" cy="0"/>
                                </a:xfrm>
                                <a:prstGeom prst="line">
                                  <a:avLst/>
                                </a:prstGeom>
                                <a:noFill/>
                                <a:ln w="9525" algn="ctr">
                                  <a:solidFill>
                                    <a:srgbClr val="4A7EBB"/>
                                  </a:solidFill>
                                  <a:round/>
                                </a:ln>
                              </wps:spPr>
                              <wps:bodyPr/>
                            </wps:wsp>
                            <wps:wsp>
                              <wps:cNvPr id="906" name="直接连接符 15160"/>
                              <wps:cNvCnPr/>
                              <wps:spPr bwMode="auto">
                                <a:xfrm rot="5400000">
                                  <a:off x="4472218" y="3314701"/>
                                  <a:ext cx="72001" cy="0"/>
                                </a:xfrm>
                                <a:prstGeom prst="line">
                                  <a:avLst/>
                                </a:prstGeom>
                                <a:noFill/>
                                <a:ln w="9525" algn="ctr">
                                  <a:solidFill>
                                    <a:srgbClr val="4A7EBB"/>
                                  </a:solidFill>
                                  <a:round/>
                                </a:ln>
                              </wps:spPr>
                              <wps:bodyPr/>
                            </wps:wsp>
                            <wps:wsp>
                              <wps:cNvPr id="907" name="直接连接符 15161"/>
                              <wps:cNvCnPr/>
                              <wps:spPr bwMode="auto">
                                <a:xfrm rot="5400000">
                                  <a:off x="4316133" y="3314702"/>
                                  <a:ext cx="72000" cy="0"/>
                                </a:xfrm>
                                <a:prstGeom prst="line">
                                  <a:avLst/>
                                </a:prstGeom>
                                <a:noFill/>
                                <a:ln w="9525" algn="ctr">
                                  <a:solidFill>
                                    <a:srgbClr val="4A7EBB"/>
                                  </a:solidFill>
                                  <a:round/>
                                </a:ln>
                              </wps:spPr>
                              <wps:bodyPr/>
                            </wps:wsp>
                            <wps:wsp>
                              <wps:cNvPr id="908" name="直接连接符 15162"/>
                              <wps:cNvCnPr/>
                              <wps:spPr bwMode="auto">
                                <a:xfrm rot="5400000">
                                  <a:off x="4160047" y="3314702"/>
                                  <a:ext cx="72000" cy="0"/>
                                </a:xfrm>
                                <a:prstGeom prst="line">
                                  <a:avLst/>
                                </a:prstGeom>
                                <a:noFill/>
                                <a:ln w="9525" algn="ctr">
                                  <a:solidFill>
                                    <a:srgbClr val="4A7EBB"/>
                                  </a:solidFill>
                                  <a:round/>
                                </a:ln>
                              </wps:spPr>
                              <wps:bodyPr/>
                            </wps:wsp>
                            <wps:wsp>
                              <wps:cNvPr id="909" name="直接连接符 15163"/>
                              <wps:cNvCnPr/>
                              <wps:spPr bwMode="auto">
                                <a:xfrm rot="5400000">
                                  <a:off x="4003960" y="3314701"/>
                                  <a:ext cx="72001" cy="0"/>
                                </a:xfrm>
                                <a:prstGeom prst="line">
                                  <a:avLst/>
                                </a:prstGeom>
                                <a:noFill/>
                                <a:ln w="9525" algn="ctr">
                                  <a:solidFill>
                                    <a:srgbClr val="4A7EBB"/>
                                  </a:solidFill>
                                  <a:round/>
                                </a:ln>
                              </wps:spPr>
                              <wps:bodyPr/>
                            </wps:wsp>
                            <wps:wsp>
                              <wps:cNvPr id="910" name="直接连接符 15164"/>
                              <wps:cNvCnPr/>
                              <wps:spPr bwMode="auto">
                                <a:xfrm rot="5400000">
                                  <a:off x="3847874" y="3314701"/>
                                  <a:ext cx="72001" cy="0"/>
                                </a:xfrm>
                                <a:prstGeom prst="line">
                                  <a:avLst/>
                                </a:prstGeom>
                                <a:noFill/>
                                <a:ln w="9525" algn="ctr">
                                  <a:solidFill>
                                    <a:srgbClr val="4A7EBB"/>
                                  </a:solidFill>
                                  <a:round/>
                                </a:ln>
                              </wps:spPr>
                              <wps:bodyPr/>
                            </wps:wsp>
                            <wps:wsp>
                              <wps:cNvPr id="911" name="直接连接符 15165"/>
                              <wps:cNvCnPr/>
                              <wps:spPr bwMode="auto">
                                <a:xfrm rot="5400000">
                                  <a:off x="3691789" y="3314702"/>
                                  <a:ext cx="72000" cy="0"/>
                                </a:xfrm>
                                <a:prstGeom prst="line">
                                  <a:avLst/>
                                </a:prstGeom>
                                <a:noFill/>
                                <a:ln w="9525" algn="ctr">
                                  <a:solidFill>
                                    <a:srgbClr val="4A7EBB"/>
                                  </a:solidFill>
                                  <a:round/>
                                </a:ln>
                              </wps:spPr>
                              <wps:bodyPr/>
                            </wps:wsp>
                            <wps:wsp>
                              <wps:cNvPr id="912" name="直接连接符 15166"/>
                              <wps:cNvCnPr/>
                              <wps:spPr bwMode="auto">
                                <a:xfrm rot="5400000">
                                  <a:off x="3535703" y="3314702"/>
                                  <a:ext cx="72000" cy="0"/>
                                </a:xfrm>
                                <a:prstGeom prst="line">
                                  <a:avLst/>
                                </a:prstGeom>
                                <a:noFill/>
                                <a:ln w="9525" algn="ctr">
                                  <a:solidFill>
                                    <a:srgbClr val="4A7EBB"/>
                                  </a:solidFill>
                                  <a:round/>
                                </a:ln>
                              </wps:spPr>
                              <wps:bodyPr/>
                            </wps:wsp>
                            <wps:wsp>
                              <wps:cNvPr id="913" name="直接连接符 15167"/>
                              <wps:cNvCnPr/>
                              <wps:spPr bwMode="auto">
                                <a:xfrm rot="5400000">
                                  <a:off x="3379616" y="3314701"/>
                                  <a:ext cx="72001" cy="0"/>
                                </a:xfrm>
                                <a:prstGeom prst="line">
                                  <a:avLst/>
                                </a:prstGeom>
                                <a:noFill/>
                                <a:ln w="9525" algn="ctr">
                                  <a:solidFill>
                                    <a:srgbClr val="4A7EBB"/>
                                  </a:solidFill>
                                  <a:round/>
                                </a:ln>
                              </wps:spPr>
                              <wps:bodyPr/>
                            </wps:wsp>
                            <wps:wsp>
                              <wps:cNvPr id="914" name="直接连接符 15168"/>
                              <wps:cNvCnPr/>
                              <wps:spPr bwMode="auto">
                                <a:xfrm rot="5400000">
                                  <a:off x="3223530" y="3314701"/>
                                  <a:ext cx="72001" cy="0"/>
                                </a:xfrm>
                                <a:prstGeom prst="line">
                                  <a:avLst/>
                                </a:prstGeom>
                                <a:noFill/>
                                <a:ln w="9525" algn="ctr">
                                  <a:solidFill>
                                    <a:srgbClr val="4A7EBB"/>
                                  </a:solidFill>
                                  <a:round/>
                                </a:ln>
                              </wps:spPr>
                              <wps:bodyPr/>
                            </wps:wsp>
                            <wps:wsp>
                              <wps:cNvPr id="915" name="直接连接符 15169"/>
                              <wps:cNvCnPr/>
                              <wps:spPr bwMode="auto">
                                <a:xfrm rot="5400000">
                                  <a:off x="3067445" y="3314702"/>
                                  <a:ext cx="72000" cy="0"/>
                                </a:xfrm>
                                <a:prstGeom prst="line">
                                  <a:avLst/>
                                </a:prstGeom>
                                <a:noFill/>
                                <a:ln w="9525" algn="ctr">
                                  <a:solidFill>
                                    <a:srgbClr val="4A7EBB"/>
                                  </a:solidFill>
                                  <a:round/>
                                </a:ln>
                              </wps:spPr>
                              <wps:bodyPr/>
                            </wps:wsp>
                            <wps:wsp>
                              <wps:cNvPr id="916" name="直接连接符 15170"/>
                              <wps:cNvCnPr/>
                              <wps:spPr bwMode="auto">
                                <a:xfrm rot="5400000">
                                  <a:off x="2911359" y="3314701"/>
                                  <a:ext cx="72001" cy="0"/>
                                </a:xfrm>
                                <a:prstGeom prst="line">
                                  <a:avLst/>
                                </a:prstGeom>
                                <a:noFill/>
                                <a:ln w="9525" algn="ctr">
                                  <a:solidFill>
                                    <a:srgbClr val="4A7EBB"/>
                                  </a:solidFill>
                                  <a:round/>
                                </a:ln>
                              </wps:spPr>
                              <wps:bodyPr/>
                            </wps:wsp>
                            <wps:wsp>
                              <wps:cNvPr id="917" name="直接连接符 15171"/>
                              <wps:cNvCnPr/>
                              <wps:spPr bwMode="auto">
                                <a:xfrm rot="5400000">
                                  <a:off x="2755272" y="3314701"/>
                                  <a:ext cx="72001" cy="0"/>
                                </a:xfrm>
                                <a:prstGeom prst="line">
                                  <a:avLst/>
                                </a:prstGeom>
                                <a:noFill/>
                                <a:ln w="9525" algn="ctr">
                                  <a:solidFill>
                                    <a:srgbClr val="4A7EBB"/>
                                  </a:solidFill>
                                  <a:round/>
                                </a:ln>
                              </wps:spPr>
                              <wps:bodyPr/>
                            </wps:wsp>
                            <wps:wsp>
                              <wps:cNvPr id="918" name="直接连接符 15172"/>
                              <wps:cNvCnPr/>
                              <wps:spPr bwMode="auto">
                                <a:xfrm rot="5400000">
                                  <a:off x="2599187" y="3314702"/>
                                  <a:ext cx="72000" cy="0"/>
                                </a:xfrm>
                                <a:prstGeom prst="line">
                                  <a:avLst/>
                                </a:prstGeom>
                                <a:noFill/>
                                <a:ln w="9525" algn="ctr">
                                  <a:solidFill>
                                    <a:srgbClr val="4A7EBB"/>
                                  </a:solidFill>
                                  <a:round/>
                                </a:ln>
                              </wps:spPr>
                              <wps:bodyPr/>
                            </wps:wsp>
                            <wps:wsp>
                              <wps:cNvPr id="919" name="直接连接符 15173"/>
                              <wps:cNvCnPr/>
                              <wps:spPr bwMode="auto">
                                <a:xfrm rot="5400000">
                                  <a:off x="2443101" y="3314702"/>
                                  <a:ext cx="72000" cy="0"/>
                                </a:xfrm>
                                <a:prstGeom prst="line">
                                  <a:avLst/>
                                </a:prstGeom>
                                <a:noFill/>
                                <a:ln w="9525" algn="ctr">
                                  <a:solidFill>
                                    <a:srgbClr val="4A7EBB"/>
                                  </a:solidFill>
                                  <a:round/>
                                </a:ln>
                              </wps:spPr>
                              <wps:bodyPr/>
                            </wps:wsp>
                            <wps:wsp>
                              <wps:cNvPr id="920" name="直接连接符 15174"/>
                              <wps:cNvCnPr/>
                              <wps:spPr bwMode="auto">
                                <a:xfrm rot="5400000">
                                  <a:off x="2287015" y="3314701"/>
                                  <a:ext cx="72001" cy="0"/>
                                </a:xfrm>
                                <a:prstGeom prst="line">
                                  <a:avLst/>
                                </a:prstGeom>
                                <a:noFill/>
                                <a:ln w="9525" algn="ctr">
                                  <a:solidFill>
                                    <a:srgbClr val="4A7EBB"/>
                                  </a:solidFill>
                                  <a:round/>
                                </a:ln>
                              </wps:spPr>
                              <wps:bodyPr/>
                            </wps:wsp>
                            <wps:wsp>
                              <wps:cNvPr id="921" name="直接连接符 15175"/>
                              <wps:cNvCnPr/>
                              <wps:spPr bwMode="auto">
                                <a:xfrm rot="5400000">
                                  <a:off x="2130928" y="3314701"/>
                                  <a:ext cx="72001" cy="0"/>
                                </a:xfrm>
                                <a:prstGeom prst="line">
                                  <a:avLst/>
                                </a:prstGeom>
                                <a:noFill/>
                                <a:ln w="9525" algn="ctr">
                                  <a:solidFill>
                                    <a:srgbClr val="4A7EBB"/>
                                  </a:solidFill>
                                  <a:round/>
                                </a:ln>
                              </wps:spPr>
                              <wps:bodyPr/>
                            </wps:wsp>
                            <wps:wsp>
                              <wps:cNvPr id="922" name="直接连接符 15176"/>
                              <wps:cNvCnPr/>
                              <wps:spPr bwMode="auto">
                                <a:xfrm rot="5400000">
                                  <a:off x="1974843" y="3314702"/>
                                  <a:ext cx="72000" cy="0"/>
                                </a:xfrm>
                                <a:prstGeom prst="line">
                                  <a:avLst/>
                                </a:prstGeom>
                                <a:noFill/>
                                <a:ln w="9525" algn="ctr">
                                  <a:solidFill>
                                    <a:srgbClr val="4A7EBB"/>
                                  </a:solidFill>
                                  <a:round/>
                                </a:ln>
                              </wps:spPr>
                              <wps:bodyPr/>
                            </wps:wsp>
                            <wps:wsp>
                              <wps:cNvPr id="923" name="直接连接符 15177"/>
                              <wps:cNvCnPr/>
                              <wps:spPr bwMode="auto">
                                <a:xfrm rot="5400000">
                                  <a:off x="1818757" y="3314702"/>
                                  <a:ext cx="72000" cy="0"/>
                                </a:xfrm>
                                <a:prstGeom prst="line">
                                  <a:avLst/>
                                </a:prstGeom>
                                <a:noFill/>
                                <a:ln w="9525" algn="ctr">
                                  <a:solidFill>
                                    <a:srgbClr val="4A7EBB"/>
                                  </a:solidFill>
                                  <a:round/>
                                </a:ln>
                              </wps:spPr>
                              <wps:bodyPr/>
                            </wps:wsp>
                            <wps:wsp>
                              <wps:cNvPr id="924" name="直接连接符 15178"/>
                              <wps:cNvCnPr/>
                              <wps:spPr bwMode="auto">
                                <a:xfrm rot="5400000">
                                  <a:off x="1662671" y="3314701"/>
                                  <a:ext cx="72001" cy="0"/>
                                </a:xfrm>
                                <a:prstGeom prst="line">
                                  <a:avLst/>
                                </a:prstGeom>
                                <a:noFill/>
                                <a:ln w="9525" algn="ctr">
                                  <a:solidFill>
                                    <a:srgbClr val="4A7EBB"/>
                                  </a:solidFill>
                                  <a:round/>
                                </a:ln>
                              </wps:spPr>
                              <wps:bodyPr/>
                            </wps:wsp>
                            <wps:wsp>
                              <wps:cNvPr id="925" name="直接连接符 15179"/>
                              <wps:cNvCnPr/>
                              <wps:spPr bwMode="auto">
                                <a:xfrm rot="5400000">
                                  <a:off x="1506584" y="3314701"/>
                                  <a:ext cx="72001" cy="0"/>
                                </a:xfrm>
                                <a:prstGeom prst="line">
                                  <a:avLst/>
                                </a:prstGeom>
                                <a:noFill/>
                                <a:ln w="9525" algn="ctr">
                                  <a:solidFill>
                                    <a:srgbClr val="4A7EBB"/>
                                  </a:solidFill>
                                  <a:round/>
                                </a:ln>
                              </wps:spPr>
                              <wps:bodyPr/>
                            </wps:wsp>
                            <wps:wsp>
                              <wps:cNvPr id="926" name="直接连接符 15180"/>
                              <wps:cNvCnPr/>
                              <wps:spPr bwMode="auto">
                                <a:xfrm rot="5400000">
                                  <a:off x="1350499" y="3314702"/>
                                  <a:ext cx="72000" cy="0"/>
                                </a:xfrm>
                                <a:prstGeom prst="line">
                                  <a:avLst/>
                                </a:prstGeom>
                                <a:noFill/>
                                <a:ln w="9525" algn="ctr">
                                  <a:solidFill>
                                    <a:srgbClr val="4A7EBB"/>
                                  </a:solidFill>
                                  <a:round/>
                                </a:ln>
                              </wps:spPr>
                              <wps:bodyPr/>
                            </wps:wsp>
                            <wps:wsp>
                              <wps:cNvPr id="927" name="直接连接符 15181"/>
                              <wps:cNvCnPr/>
                              <wps:spPr bwMode="auto">
                                <a:xfrm rot="5400000">
                                  <a:off x="1194413" y="3314701"/>
                                  <a:ext cx="72001" cy="0"/>
                                </a:xfrm>
                                <a:prstGeom prst="line">
                                  <a:avLst/>
                                </a:prstGeom>
                                <a:noFill/>
                                <a:ln w="9525" algn="ctr">
                                  <a:solidFill>
                                    <a:srgbClr val="4A7EBB"/>
                                  </a:solidFill>
                                  <a:round/>
                                </a:ln>
                              </wps:spPr>
                              <wps:bodyPr/>
                            </wps:wsp>
                            <wps:wsp>
                              <wps:cNvPr id="1216" name="直接连接符 15182"/>
                              <wps:cNvCnPr/>
                              <wps:spPr bwMode="auto">
                                <a:xfrm rot="5400000">
                                  <a:off x="1039914" y="3316288"/>
                                  <a:ext cx="68825" cy="0"/>
                                </a:xfrm>
                                <a:prstGeom prst="line">
                                  <a:avLst/>
                                </a:prstGeom>
                                <a:noFill/>
                                <a:ln w="9525" algn="ctr">
                                  <a:solidFill>
                                    <a:srgbClr val="4A7EBB"/>
                                  </a:solidFill>
                                  <a:round/>
                                </a:ln>
                              </wps:spPr>
                              <wps:bodyPr/>
                            </wps:wsp>
                          </wpg:grpSp>
                        </wpg:grpSp>
                        <wpg:grpSp>
                          <wpg:cNvPr id="1217" name="组合 15186"/>
                          <wpg:cNvGrpSpPr/>
                          <wpg:grpSpPr>
                            <a:xfrm>
                              <a:off x="475615" y="200660"/>
                              <a:ext cx="53340" cy="1446530"/>
                              <a:chOff x="0" y="502920"/>
                              <a:chExt cx="66675" cy="2508069"/>
                            </a:xfrm>
                          </wpg:grpSpPr>
                          <wps:wsp>
                            <wps:cNvPr id="1218" name="直接连接符 15192"/>
                            <wps:cNvCnPr/>
                            <wps:spPr bwMode="auto">
                              <a:xfrm>
                                <a:off x="0" y="502920"/>
                                <a:ext cx="66675" cy="0"/>
                              </a:xfrm>
                              <a:prstGeom prst="line">
                                <a:avLst/>
                              </a:prstGeom>
                              <a:noFill/>
                              <a:ln w="9525" algn="ctr">
                                <a:solidFill>
                                  <a:srgbClr val="4A7EBB"/>
                                </a:solidFill>
                                <a:round/>
                              </a:ln>
                            </wps:spPr>
                            <wps:bodyPr/>
                          </wps:wsp>
                          <wps:wsp>
                            <wps:cNvPr id="1219" name="直接连接符 15193"/>
                            <wps:cNvCnPr/>
                            <wps:spPr bwMode="auto">
                              <a:xfrm>
                                <a:off x="0" y="600892"/>
                                <a:ext cx="66675" cy="0"/>
                              </a:xfrm>
                              <a:prstGeom prst="line">
                                <a:avLst/>
                              </a:prstGeom>
                              <a:noFill/>
                              <a:ln w="9525" algn="ctr">
                                <a:solidFill>
                                  <a:srgbClr val="4A7EBB"/>
                                </a:solidFill>
                                <a:round/>
                              </a:ln>
                            </wps:spPr>
                            <wps:bodyPr/>
                          </wps:wsp>
                          <wps:wsp>
                            <wps:cNvPr id="1220" name="直接连接符 15194"/>
                            <wps:cNvCnPr/>
                            <wps:spPr bwMode="auto">
                              <a:xfrm>
                                <a:off x="0" y="698863"/>
                                <a:ext cx="66675" cy="0"/>
                              </a:xfrm>
                              <a:prstGeom prst="line">
                                <a:avLst/>
                              </a:prstGeom>
                              <a:noFill/>
                              <a:ln w="9525" algn="ctr">
                                <a:solidFill>
                                  <a:srgbClr val="4A7EBB"/>
                                </a:solidFill>
                                <a:round/>
                              </a:ln>
                            </wps:spPr>
                            <wps:bodyPr/>
                          </wps:wsp>
                          <wps:wsp>
                            <wps:cNvPr id="1221" name="直接连接符 15195"/>
                            <wps:cNvCnPr/>
                            <wps:spPr bwMode="auto">
                              <a:xfrm>
                                <a:off x="0" y="803366"/>
                                <a:ext cx="66675" cy="0"/>
                              </a:xfrm>
                              <a:prstGeom prst="line">
                                <a:avLst/>
                              </a:prstGeom>
                              <a:noFill/>
                              <a:ln w="9525" algn="ctr">
                                <a:solidFill>
                                  <a:srgbClr val="4A7EBB"/>
                                </a:solidFill>
                                <a:round/>
                              </a:ln>
                            </wps:spPr>
                            <wps:bodyPr/>
                          </wps:wsp>
                          <wps:wsp>
                            <wps:cNvPr id="1222" name="直接连接符 15196"/>
                            <wps:cNvCnPr/>
                            <wps:spPr bwMode="auto">
                              <a:xfrm>
                                <a:off x="0" y="901338"/>
                                <a:ext cx="66675" cy="0"/>
                              </a:xfrm>
                              <a:prstGeom prst="line">
                                <a:avLst/>
                              </a:prstGeom>
                              <a:noFill/>
                              <a:ln w="9525" algn="ctr">
                                <a:solidFill>
                                  <a:srgbClr val="4A7EBB"/>
                                </a:solidFill>
                                <a:round/>
                              </a:ln>
                            </wps:spPr>
                            <wps:bodyPr/>
                          </wps:wsp>
                          <wps:wsp>
                            <wps:cNvPr id="1223" name="直接连接符 15197"/>
                            <wps:cNvCnPr/>
                            <wps:spPr bwMode="auto">
                              <a:xfrm>
                                <a:off x="0" y="1005840"/>
                                <a:ext cx="66675" cy="0"/>
                              </a:xfrm>
                              <a:prstGeom prst="line">
                                <a:avLst/>
                              </a:prstGeom>
                              <a:noFill/>
                              <a:ln w="9525" algn="ctr">
                                <a:solidFill>
                                  <a:srgbClr val="4A7EBB"/>
                                </a:solidFill>
                                <a:round/>
                              </a:ln>
                            </wps:spPr>
                            <wps:bodyPr/>
                          </wps:wsp>
                          <wps:wsp>
                            <wps:cNvPr id="1224" name="直接连接符 15198"/>
                            <wps:cNvCnPr/>
                            <wps:spPr bwMode="auto">
                              <a:xfrm>
                                <a:off x="0" y="1103812"/>
                                <a:ext cx="66675" cy="0"/>
                              </a:xfrm>
                              <a:prstGeom prst="line">
                                <a:avLst/>
                              </a:prstGeom>
                              <a:noFill/>
                              <a:ln w="9525" algn="ctr">
                                <a:solidFill>
                                  <a:srgbClr val="4A7EBB"/>
                                </a:solidFill>
                                <a:round/>
                              </a:ln>
                            </wps:spPr>
                            <wps:bodyPr/>
                          </wps:wsp>
                          <wps:wsp>
                            <wps:cNvPr id="1225" name="直接连接符 15199"/>
                            <wps:cNvCnPr/>
                            <wps:spPr bwMode="auto">
                              <a:xfrm>
                                <a:off x="0" y="1201783"/>
                                <a:ext cx="66675" cy="0"/>
                              </a:xfrm>
                              <a:prstGeom prst="line">
                                <a:avLst/>
                              </a:prstGeom>
                              <a:noFill/>
                              <a:ln w="9525" algn="ctr">
                                <a:solidFill>
                                  <a:srgbClr val="4A7EBB"/>
                                </a:solidFill>
                                <a:round/>
                              </a:ln>
                            </wps:spPr>
                            <wps:bodyPr/>
                          </wps:wsp>
                          <wps:wsp>
                            <wps:cNvPr id="1226" name="直接连接符 15200"/>
                            <wps:cNvCnPr/>
                            <wps:spPr bwMode="auto">
                              <a:xfrm>
                                <a:off x="0" y="1306286"/>
                                <a:ext cx="66675" cy="0"/>
                              </a:xfrm>
                              <a:prstGeom prst="line">
                                <a:avLst/>
                              </a:prstGeom>
                              <a:noFill/>
                              <a:ln w="9525" algn="ctr">
                                <a:solidFill>
                                  <a:srgbClr val="4A7EBB"/>
                                </a:solidFill>
                                <a:round/>
                              </a:ln>
                            </wps:spPr>
                            <wps:bodyPr/>
                          </wps:wsp>
                          <wps:wsp>
                            <wps:cNvPr id="1227" name="直接连接符 15201"/>
                            <wps:cNvCnPr/>
                            <wps:spPr bwMode="auto">
                              <a:xfrm>
                                <a:off x="0" y="1404258"/>
                                <a:ext cx="66675" cy="0"/>
                              </a:xfrm>
                              <a:prstGeom prst="line">
                                <a:avLst/>
                              </a:prstGeom>
                              <a:noFill/>
                              <a:ln w="9525" algn="ctr">
                                <a:solidFill>
                                  <a:srgbClr val="4A7EBB"/>
                                </a:solidFill>
                                <a:round/>
                              </a:ln>
                            </wps:spPr>
                            <wps:bodyPr/>
                          </wps:wsp>
                          <wps:wsp>
                            <wps:cNvPr id="1228" name="直接连接符 15202"/>
                            <wps:cNvCnPr/>
                            <wps:spPr bwMode="auto">
                              <a:xfrm>
                                <a:off x="0" y="1502229"/>
                                <a:ext cx="66675" cy="0"/>
                              </a:xfrm>
                              <a:prstGeom prst="line">
                                <a:avLst/>
                              </a:prstGeom>
                              <a:noFill/>
                              <a:ln w="9525" algn="ctr">
                                <a:solidFill>
                                  <a:srgbClr val="4A7EBB"/>
                                </a:solidFill>
                                <a:round/>
                              </a:ln>
                            </wps:spPr>
                            <wps:bodyPr/>
                          </wps:wsp>
                          <wps:wsp>
                            <wps:cNvPr id="1229" name="直接连接符 15203"/>
                            <wps:cNvCnPr/>
                            <wps:spPr bwMode="auto">
                              <a:xfrm>
                                <a:off x="0" y="1606732"/>
                                <a:ext cx="66675" cy="0"/>
                              </a:xfrm>
                              <a:prstGeom prst="line">
                                <a:avLst/>
                              </a:prstGeom>
                              <a:noFill/>
                              <a:ln w="9525" algn="ctr">
                                <a:solidFill>
                                  <a:srgbClr val="4A7EBB"/>
                                </a:solidFill>
                                <a:round/>
                              </a:ln>
                            </wps:spPr>
                            <wps:bodyPr/>
                          </wps:wsp>
                          <wps:wsp>
                            <wps:cNvPr id="1230" name="直接连接符 15204"/>
                            <wps:cNvCnPr/>
                            <wps:spPr bwMode="auto">
                              <a:xfrm>
                                <a:off x="0" y="1704703"/>
                                <a:ext cx="66675" cy="0"/>
                              </a:xfrm>
                              <a:prstGeom prst="line">
                                <a:avLst/>
                              </a:prstGeom>
                              <a:noFill/>
                              <a:ln w="9525" algn="ctr">
                                <a:solidFill>
                                  <a:srgbClr val="4A7EBB"/>
                                </a:solidFill>
                                <a:round/>
                              </a:ln>
                            </wps:spPr>
                            <wps:bodyPr/>
                          </wps:wsp>
                          <wps:wsp>
                            <wps:cNvPr id="1231" name="直接连接符 15205"/>
                            <wps:cNvCnPr/>
                            <wps:spPr bwMode="auto">
                              <a:xfrm>
                                <a:off x="0" y="1802675"/>
                                <a:ext cx="66675" cy="0"/>
                              </a:xfrm>
                              <a:prstGeom prst="line">
                                <a:avLst/>
                              </a:prstGeom>
                              <a:noFill/>
                              <a:ln w="9525" algn="ctr">
                                <a:solidFill>
                                  <a:srgbClr val="4A7EBB"/>
                                </a:solidFill>
                                <a:round/>
                              </a:ln>
                            </wps:spPr>
                            <wps:bodyPr/>
                          </wps:wsp>
                          <wps:wsp>
                            <wps:cNvPr id="1232" name="直接连接符 15206"/>
                            <wps:cNvCnPr/>
                            <wps:spPr bwMode="auto">
                              <a:xfrm>
                                <a:off x="0" y="1907178"/>
                                <a:ext cx="66675" cy="0"/>
                              </a:xfrm>
                              <a:prstGeom prst="line">
                                <a:avLst/>
                              </a:prstGeom>
                              <a:noFill/>
                              <a:ln w="9525" algn="ctr">
                                <a:solidFill>
                                  <a:srgbClr val="4A7EBB"/>
                                </a:solidFill>
                                <a:round/>
                              </a:ln>
                            </wps:spPr>
                            <wps:bodyPr/>
                          </wps:wsp>
                          <wps:wsp>
                            <wps:cNvPr id="1233" name="直接连接符 15207"/>
                            <wps:cNvCnPr/>
                            <wps:spPr bwMode="auto">
                              <a:xfrm>
                                <a:off x="0" y="2005149"/>
                                <a:ext cx="66675" cy="0"/>
                              </a:xfrm>
                              <a:prstGeom prst="line">
                                <a:avLst/>
                              </a:prstGeom>
                              <a:noFill/>
                              <a:ln w="9525" algn="ctr">
                                <a:solidFill>
                                  <a:srgbClr val="4A7EBB"/>
                                </a:solidFill>
                                <a:round/>
                              </a:ln>
                            </wps:spPr>
                            <wps:bodyPr/>
                          </wps:wsp>
                          <wps:wsp>
                            <wps:cNvPr id="1234" name="直接连接符 15208"/>
                            <wps:cNvCnPr/>
                            <wps:spPr bwMode="auto">
                              <a:xfrm>
                                <a:off x="0" y="2109652"/>
                                <a:ext cx="66675" cy="0"/>
                              </a:xfrm>
                              <a:prstGeom prst="line">
                                <a:avLst/>
                              </a:prstGeom>
                              <a:noFill/>
                              <a:ln w="9525" algn="ctr">
                                <a:solidFill>
                                  <a:srgbClr val="4A7EBB"/>
                                </a:solidFill>
                                <a:round/>
                              </a:ln>
                            </wps:spPr>
                            <wps:bodyPr/>
                          </wps:wsp>
                          <wps:wsp>
                            <wps:cNvPr id="1235" name="直接连接符 15209"/>
                            <wps:cNvCnPr/>
                            <wps:spPr bwMode="auto">
                              <a:xfrm>
                                <a:off x="0" y="2207623"/>
                                <a:ext cx="66675" cy="0"/>
                              </a:xfrm>
                              <a:prstGeom prst="line">
                                <a:avLst/>
                              </a:prstGeom>
                              <a:noFill/>
                              <a:ln w="9525" algn="ctr">
                                <a:solidFill>
                                  <a:srgbClr val="4A7EBB"/>
                                </a:solidFill>
                                <a:round/>
                              </a:ln>
                            </wps:spPr>
                            <wps:bodyPr/>
                          </wps:wsp>
                          <wps:wsp>
                            <wps:cNvPr id="1236" name="直接连接符 15210"/>
                            <wps:cNvCnPr/>
                            <wps:spPr bwMode="auto">
                              <a:xfrm>
                                <a:off x="0" y="2305595"/>
                                <a:ext cx="66675" cy="0"/>
                              </a:xfrm>
                              <a:prstGeom prst="line">
                                <a:avLst/>
                              </a:prstGeom>
                              <a:noFill/>
                              <a:ln w="9525" algn="ctr">
                                <a:solidFill>
                                  <a:srgbClr val="4A7EBB"/>
                                </a:solidFill>
                                <a:round/>
                              </a:ln>
                            </wps:spPr>
                            <wps:bodyPr/>
                          </wps:wsp>
                          <wps:wsp>
                            <wps:cNvPr id="1237" name="直接连接符 15211"/>
                            <wps:cNvCnPr/>
                            <wps:spPr bwMode="auto">
                              <a:xfrm>
                                <a:off x="0" y="2410098"/>
                                <a:ext cx="66675" cy="0"/>
                              </a:xfrm>
                              <a:prstGeom prst="line">
                                <a:avLst/>
                              </a:prstGeom>
                              <a:noFill/>
                              <a:ln w="9525" algn="ctr">
                                <a:solidFill>
                                  <a:srgbClr val="4A7EBB"/>
                                </a:solidFill>
                                <a:round/>
                              </a:ln>
                            </wps:spPr>
                            <wps:bodyPr/>
                          </wps:wsp>
                          <wps:wsp>
                            <wps:cNvPr id="1238" name="直接连接符 15212"/>
                            <wps:cNvCnPr/>
                            <wps:spPr bwMode="auto">
                              <a:xfrm>
                                <a:off x="0" y="2508069"/>
                                <a:ext cx="66675" cy="0"/>
                              </a:xfrm>
                              <a:prstGeom prst="line">
                                <a:avLst/>
                              </a:prstGeom>
                              <a:noFill/>
                              <a:ln w="9525" algn="ctr">
                                <a:solidFill>
                                  <a:srgbClr val="4A7EBB"/>
                                </a:solidFill>
                                <a:round/>
                              </a:ln>
                            </wps:spPr>
                            <wps:bodyPr/>
                          </wps:wsp>
                          <wps:wsp>
                            <wps:cNvPr id="1239" name="直接连接符 15213"/>
                            <wps:cNvCnPr/>
                            <wps:spPr bwMode="auto">
                              <a:xfrm>
                                <a:off x="0" y="2606040"/>
                                <a:ext cx="66675" cy="0"/>
                              </a:xfrm>
                              <a:prstGeom prst="line">
                                <a:avLst/>
                              </a:prstGeom>
                              <a:noFill/>
                              <a:ln w="9525" algn="ctr">
                                <a:solidFill>
                                  <a:srgbClr val="4A7EBB"/>
                                </a:solidFill>
                                <a:round/>
                              </a:ln>
                            </wps:spPr>
                            <wps:bodyPr/>
                          </wps:wsp>
                          <wps:wsp>
                            <wps:cNvPr id="1240" name="直接连接符 15214"/>
                            <wps:cNvCnPr/>
                            <wps:spPr bwMode="auto">
                              <a:xfrm>
                                <a:off x="0" y="2710543"/>
                                <a:ext cx="66675" cy="0"/>
                              </a:xfrm>
                              <a:prstGeom prst="line">
                                <a:avLst/>
                              </a:prstGeom>
                              <a:noFill/>
                              <a:ln w="9525" algn="ctr">
                                <a:solidFill>
                                  <a:srgbClr val="4A7EBB"/>
                                </a:solidFill>
                                <a:round/>
                              </a:ln>
                            </wps:spPr>
                            <wps:bodyPr/>
                          </wps:wsp>
                          <wps:wsp>
                            <wps:cNvPr id="1241" name="直接连接符 15215"/>
                            <wps:cNvCnPr/>
                            <wps:spPr bwMode="auto">
                              <a:xfrm>
                                <a:off x="0" y="2808515"/>
                                <a:ext cx="66675" cy="0"/>
                              </a:xfrm>
                              <a:prstGeom prst="line">
                                <a:avLst/>
                              </a:prstGeom>
                              <a:noFill/>
                              <a:ln w="9525" algn="ctr">
                                <a:solidFill>
                                  <a:srgbClr val="4A7EBB"/>
                                </a:solidFill>
                                <a:round/>
                              </a:ln>
                            </wps:spPr>
                            <wps:bodyPr/>
                          </wps:wsp>
                          <wps:wsp>
                            <wps:cNvPr id="1242" name="直接连接符 15216"/>
                            <wps:cNvCnPr/>
                            <wps:spPr bwMode="auto">
                              <a:xfrm>
                                <a:off x="0" y="2906486"/>
                                <a:ext cx="66675" cy="0"/>
                              </a:xfrm>
                              <a:prstGeom prst="line">
                                <a:avLst/>
                              </a:prstGeom>
                              <a:noFill/>
                              <a:ln w="9525" algn="ctr">
                                <a:solidFill>
                                  <a:srgbClr val="4A7EBB"/>
                                </a:solidFill>
                                <a:round/>
                              </a:ln>
                            </wps:spPr>
                            <wps:bodyPr/>
                          </wps:wsp>
                          <wps:wsp>
                            <wps:cNvPr id="1243" name="直接连接符 15217"/>
                            <wps:cNvCnPr/>
                            <wps:spPr bwMode="auto">
                              <a:xfrm>
                                <a:off x="0" y="3010989"/>
                                <a:ext cx="66040" cy="0"/>
                              </a:xfrm>
                              <a:prstGeom prst="line">
                                <a:avLst/>
                              </a:prstGeom>
                              <a:noFill/>
                              <a:ln w="9525" algn="ctr">
                                <a:solidFill>
                                  <a:srgbClr val="4A7EBB"/>
                                </a:solidFill>
                                <a:round/>
                              </a:ln>
                            </wps:spPr>
                            <wps:bodyPr/>
                          </wps:wsp>
                        </wpg:grpSp>
                        <wps:wsp>
                          <wps:cNvPr id="1244" name="TextBox 116"/>
                          <wps:cNvSpPr txBox="1">
                            <a:spLocks noChangeArrowheads="1"/>
                          </wps:cNvSpPr>
                          <wps:spPr bwMode="auto">
                            <a:xfrm>
                              <a:off x="943610" y="585470"/>
                              <a:ext cx="738505" cy="210820"/>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shd w:val="clear" w:color="auto" w:fill="FFFFFF"/>
                                  </w:rPr>
                                </w:pPr>
                                <w:r>
                                  <w:rPr>
                                    <w:rFonts w:hint="eastAsia" w:ascii="Times New Roman" w:hAnsi="Times New Roman" w:cs="Times New Roman"/>
                                    <w:color w:val="000000"/>
                                    <w:sz w:val="15"/>
                                    <w:szCs w:val="15"/>
                                    <w:shd w:val="clear" w:color="auto" w:fill="FFFFFF"/>
                                    <w:lang w:val="el-GR"/>
                                  </w:rPr>
                                  <w:t>回归直线</w:t>
                                </w:r>
                              </w:p>
                            </w:txbxContent>
                          </wps:txbx>
                          <wps:bodyPr rot="0" vert="horz" wrap="square" lIns="91440" tIns="45720" rIns="91440" bIns="45720" anchor="t" anchorCtr="0" upright="1">
                            <a:noAutofit/>
                          </wps:bodyPr>
                        </wps:wsp>
                      </wpg:wgp>
                      <wps:wsp>
                        <wps:cNvPr id="1245" name="直接连接符 15225"/>
                        <wps:cNvCnPr/>
                        <wps:spPr bwMode="auto">
                          <a:xfrm flipV="1">
                            <a:off x="800418" y="292379"/>
                            <a:ext cx="1514475" cy="1038224"/>
                          </a:xfrm>
                          <a:prstGeom prst="line">
                            <a:avLst/>
                          </a:prstGeom>
                          <a:noFill/>
                          <a:ln w="9525" algn="ctr">
                            <a:solidFill>
                              <a:srgbClr val="4A7EBB"/>
                            </a:solidFill>
                            <a:round/>
                          </a:ln>
                        </wps:spPr>
                        <wps:bodyPr/>
                      </wps:wsp>
                      <wps:wsp>
                        <wps:cNvPr id="1246" name="椭圆 15226"/>
                        <wps:cNvSpPr>
                          <a:spLocks noChangeArrowheads="1"/>
                        </wps:cNvSpPr>
                        <wps:spPr bwMode="auto">
                          <a:xfrm>
                            <a:off x="1376680" y="911502"/>
                            <a:ext cx="18000" cy="18000"/>
                          </a:xfrm>
                          <a:prstGeom prst="ellipse">
                            <a:avLst/>
                          </a:prstGeom>
                          <a:solidFill>
                            <a:srgbClr val="4F81BD"/>
                          </a:solidFill>
                          <a:ln w="25400" algn="ctr">
                            <a:solidFill>
                              <a:srgbClr val="385D8A"/>
                            </a:solidFill>
                            <a:round/>
                          </a:ln>
                        </wps:spPr>
                        <wps:bodyPr rot="0" vert="horz" wrap="square" lIns="91440" tIns="45720" rIns="91440" bIns="45720" anchor="ctr" anchorCtr="0" upright="1">
                          <a:noAutofit/>
                        </wps:bodyPr>
                      </wps:wsp>
                      <wps:wsp>
                        <wps:cNvPr id="1247" name="椭圆 4155"/>
                        <wps:cNvSpPr>
                          <a:spLocks noChangeArrowheads="1"/>
                        </wps:cNvSpPr>
                        <wps:spPr bwMode="auto">
                          <a:xfrm>
                            <a:off x="1809093" y="624777"/>
                            <a:ext cx="17780" cy="17780"/>
                          </a:xfrm>
                          <a:prstGeom prst="ellipse">
                            <a:avLst/>
                          </a:prstGeom>
                          <a:solidFill>
                            <a:srgbClr val="4F81BD"/>
                          </a:solidFill>
                          <a:ln w="25400" algn="ctr">
                            <a:solidFill>
                              <a:srgbClr val="385D8A"/>
                            </a:solidFill>
                            <a:round/>
                          </a:ln>
                        </wps:spPr>
                        <wps:txbx>
                          <w:txbxContent>
                            <w:p/>
                          </w:txbxContent>
                        </wps:txbx>
                        <wps:bodyPr rot="0" vert="horz" wrap="square" lIns="91440" tIns="45720" rIns="91440" bIns="45720" anchor="ctr" anchorCtr="0" upright="1">
                          <a:noAutofit/>
                        </wps:bodyPr>
                      </wps:wsp>
                      <wps:wsp>
                        <wps:cNvPr id="1248" name="椭圆 4156"/>
                        <wps:cNvSpPr>
                          <a:spLocks noChangeArrowheads="1"/>
                        </wps:cNvSpPr>
                        <wps:spPr bwMode="auto">
                          <a:xfrm>
                            <a:off x="2223431" y="334265"/>
                            <a:ext cx="17780" cy="17780"/>
                          </a:xfrm>
                          <a:prstGeom prst="ellipse">
                            <a:avLst/>
                          </a:prstGeom>
                          <a:solidFill>
                            <a:srgbClr val="4F81BD"/>
                          </a:solidFill>
                          <a:ln w="25400" algn="ctr">
                            <a:solidFill>
                              <a:srgbClr val="385D8A"/>
                            </a:solidFill>
                            <a:round/>
                          </a:ln>
                        </wps:spPr>
                        <wps:txbx>
                          <w:txbxContent>
                            <w:p/>
                          </w:txbxContent>
                        </wps:txbx>
                        <wps:bodyPr rot="0" vert="horz" wrap="square" lIns="91440" tIns="45720" rIns="91440" bIns="45720" anchor="ctr" anchorCtr="0" upright="1">
                          <a:noAutofit/>
                        </wps:bodyPr>
                      </wps:wsp>
                      <wps:wsp>
                        <wps:cNvPr id="1249" name="椭圆 4157"/>
                        <wps:cNvSpPr>
                          <a:spLocks noChangeArrowheads="1"/>
                        </wps:cNvSpPr>
                        <wps:spPr bwMode="auto">
                          <a:xfrm>
                            <a:off x="956605" y="1215327"/>
                            <a:ext cx="17780" cy="17780"/>
                          </a:xfrm>
                          <a:prstGeom prst="ellipse">
                            <a:avLst/>
                          </a:prstGeom>
                          <a:solidFill>
                            <a:srgbClr val="4F81BD"/>
                          </a:solidFill>
                          <a:ln w="25400" algn="ctr">
                            <a:solidFill>
                              <a:srgbClr val="385D8A"/>
                            </a:solidFill>
                            <a:round/>
                          </a:ln>
                        </wps:spPr>
                        <wps:txbx>
                          <w:txbxContent>
                            <w:p/>
                          </w:txbxContent>
                        </wps:txbx>
                        <wps:bodyPr rot="0" vert="horz" wrap="square" lIns="91440" tIns="45720" rIns="91440" bIns="45720" anchor="ctr" anchorCtr="0" upright="1">
                          <a:noAutofit/>
                        </wps:bodyPr>
                      </wps:wsp>
                      <wps:wsp>
                        <wps:cNvPr id="1250" name="Text Box 1098"/>
                        <wps:cNvSpPr txBox="1">
                          <a:spLocks noChangeArrowheads="1"/>
                        </wps:cNvSpPr>
                        <wps:spPr bwMode="auto">
                          <a:xfrm>
                            <a:off x="48895" y="177165"/>
                            <a:ext cx="196850" cy="718185"/>
                          </a:xfrm>
                          <a:prstGeom prst="rect">
                            <a:avLst/>
                          </a:prstGeom>
                          <a:noFill/>
                          <a:ln>
                            <a:noFill/>
                          </a:ln>
                        </wps:spPr>
                        <wps:txbx>
                          <w:txbxContent>
                            <w:p>
                              <w:pPr>
                                <w:pStyle w:val="6"/>
                                <w:rPr>
                                  <w:rFonts w:ascii="Times New Roman" w:hAnsi="Times New Roman"/>
                                </w:rPr>
                              </w:pPr>
                              <w:r>
                                <w:rPr>
                                  <w:rFonts w:ascii="Times New Roman" w:hAnsi="Times New Roman"/>
                                </w:rPr>
                                <w:t>距离(cm）</w:t>
                              </w:r>
                            </w:p>
                          </w:txbxContent>
                        </wps:txbx>
                        <wps:bodyPr rot="0" vert="vert270" wrap="square" lIns="0" tIns="0" rIns="0" bIns="0" anchor="t" anchorCtr="0" upright="1">
                          <a:noAutofit/>
                        </wps:bodyPr>
                      </wps:wsp>
                    </wpc:wpc>
                  </a:graphicData>
                </a:graphic>
              </wp:anchor>
            </w:drawing>
          </mc:Choice>
          <mc:Fallback>
            <w:pict>
              <v:group id="画布 15224" o:spid="_x0000_s1026" o:spt="203" style="position:absolute;left:0pt;margin-left:251.2pt;margin-top:6.65pt;height:180.25pt;width:226.6pt;mso-wrap-distance-bottom:0pt;mso-wrap-distance-left:9pt;mso-wrap-distance-right:9pt;mso-wrap-distance-top:0pt;z-index:251666432;mso-width-relative:page;mso-height-relative:page;" coordsize="2877820,2289175" editas="canvas" o:gfxdata="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">
                <o:lock v:ext="edit" aspectratio="f"/>
                <v:shape id="画布 15224" o:spid="_x0000_s1026" style="position:absolute;left:0;top:0;height:2289175;width:2877820;" filled="f" stroked="f" coordsize="21600,21600" o:gfxdata="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">
                  <v:fill on="f" focussize="0,0"/>
                  <v:stroke on="f"/>
                  <v:imagedata o:title=""/>
                  <o:lock v:ext="edit" aspectratio="f"/>
                </v:shape>
                <v:group id="Group 1008" o:spid="_x0000_s1026" o:spt="203" style="position:absolute;left:153670;top:50800;height:2152650;width:2656840;" coordorigin="100965,104140" coordsize="2656840,2152650" o:gfxdata="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">
                  <o:lock v:ext="edit" aspectratio="f"/>
                  <v:group id="组合 15115" o:spid="_x0000_s1026" o:spt="203" style="position:absolute;left:100965;top:104140;height:1690370;width:441325;" coordorigin="627829,728204" coordsize="723642,2934671" o:gfxdata="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tY9C570AAADdAAAADwAAAAAAAAABACAAAAAiAAAAZHJzL2Rvd25yZXYueG1s&#10;UEsBAhQAFAAAAAgAh07iQDMvBZ47AAAAOQAAABUAAAAAAAAAAQAgAAAADAEAAGRycy9ncm91cHNo&#10;YXBleG1sLnhtbFBLBQYAAAAABgAGAGABAADJAwAAAAA=&#10;">
                    <o:lock v:ext="edit" aspectratio="f"/>
                    <v:shape id="TextBox 118" o:spid="_x0000_s1026" o:spt="202" type="#_x0000_t202" style="position:absolute;left:710448;top:728204;height:435233;width:609790;" filled="f" stroked="f" coordsize="21600,21600" o:gfxdata="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Vw6TS8AAAA&#10;3QAAAA8AAAAAAAAAAQAgAAAAIgAAAGRycy9kb3ducmV2LnhtbFBLAQIUABQAAAAIAIdO4kAzLwWe&#10;OwAAADkAAAAQAAAAAAAAAAEAIAAAAAsBAABkcnMvc2hhcGV4bWwueG1sUEsFBgAAAAAGAAYAWwEA&#10;ALUDAAAAAA==&#10;">
                      <v:fill on="f" focussize="0,0"/>
                      <v:stroke on="f"/>
                      <v:imagedata o:title=""/>
                      <o:lock v:ext="edit" aspectratio="f"/>
                      <v:textbox>
                        <w:txbxContent>
                          <w:p>
                            <w:pPr>
                              <w:pStyle w:val="18"/>
                              <w:adjustRightInd w:val="0"/>
                              <w:snapToGrid w:val="0"/>
                              <w:spacing w:before="0" w:beforeAutospacing="0" w:after="0" w:afterAutospacing="0"/>
                              <w:rPr>
                                <w:rFonts w:ascii="Times New Roman" w:hAnsi="Times New Roman" w:cs="Times New Roman"/>
                                <w:sz w:val="15"/>
                                <w:szCs w:val="15"/>
                              </w:rPr>
                            </w:pPr>
                            <w:r>
                              <w:rPr>
                                <w:rFonts w:hint="eastAsia" w:ascii="Times New Roman" w:hAnsi="Times New Roman" w:cs="Times New Roman"/>
                                <w:color w:val="000000"/>
                                <w:sz w:val="15"/>
                                <w:szCs w:val="15"/>
                              </w:rPr>
                              <w:t>700</w:t>
                            </w:r>
                          </w:p>
                        </w:txbxContent>
                      </v:textbox>
                    </v:shape>
                    <v:shape id="TextBox 119" o:spid="_x0000_s1026" o:spt="202" type="#_x0000_t202" style="position:absolute;left:687025;top:1227522;height:334865;width:609790;" filled="f" stroked="f" coordsize="21600,21600" o:gfxdata="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plxQLsAAADd&#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hint="eastAsia" w:ascii="Times New Roman" w:hAnsi="Times New Roman" w:cs="Times New Roman"/>
                                <w:color w:val="000000"/>
                                <w:sz w:val="15"/>
                                <w:szCs w:val="15"/>
                              </w:rPr>
                              <w:t>600</w:t>
                            </w:r>
                          </w:p>
                        </w:txbxContent>
                      </v:textbox>
                    </v:shape>
                    <v:shape id="TextBox 120" o:spid="_x0000_s1026" o:spt="202" type="#_x0000_t202" style="position:absolute;left:694832;top:1718576;height:339141;width:609790;" filled="f" stroked="f" coordsize="21600,21600" o:gfxdata="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5dXU27sAAADd&#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hint="eastAsia" w:ascii="Times New Roman" w:hAnsi="Times New Roman" w:cs="Times New Roman"/>
                                <w:color w:val="000000"/>
                                <w:sz w:val="15"/>
                                <w:szCs w:val="15"/>
                              </w:rPr>
                              <w:t>50</w:t>
                            </w:r>
                            <w:r>
                              <w:rPr>
                                <w:rFonts w:ascii="Times New Roman" w:hAnsi="Times New Roman" w:cs="Times New Roman"/>
                                <w:color w:val="000000"/>
                                <w:sz w:val="15"/>
                                <w:szCs w:val="15"/>
                              </w:rPr>
                              <w:t>0</w:t>
                            </w:r>
                          </w:p>
                        </w:txbxContent>
                      </v:textbox>
                    </v:shape>
                    <v:shape id="TextBox 121" o:spid="_x0000_s1026" o:spt="202" type="#_x0000_t202" style="position:absolute;left:679218;top:2242703;height:343416;width:609790;" filled="f" stroked="f" coordsize="21600,21600" o:gfxdata="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QdKrLsAAADd&#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hint="eastAsia" w:ascii="Times New Roman" w:hAnsi="Times New Roman" w:cs="Times New Roman"/>
                                <w:color w:val="000000"/>
                                <w:sz w:val="15"/>
                                <w:szCs w:val="15"/>
                              </w:rPr>
                              <w:t>400</w:t>
                            </w:r>
                          </w:p>
                        </w:txbxContent>
                      </v:textbox>
                    </v:shape>
                    <v:shape id="TextBox 122" o:spid="_x0000_s1026" o:spt="202" type="#_x0000_t202" style="position:absolute;left:627829;top:2717219;height:445794;width:723642;" filled="f" stroked="f" coordsize="21600,21600" o:gfxdata="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pL7ze8AAAA&#10;3QAAAA8AAAAAAAAAAQAgAAAAIgAAAGRycy9kb3ducmV2LnhtbFBLAQIUABQAAAAIAIdO4kAzLwWe&#10;OwAAADkAAAAQAAAAAAAAAAEAIAAAAAsBAABkcnMvc2hhcGV4bWwueG1sUEsFBgAAAAAGAAYAWwEA&#10;ALUDA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hint="eastAsia" w:ascii="Times New Roman" w:hAnsi="Times New Roman" w:cs="Times New Roman"/>
                                <w:color w:val="000000"/>
                                <w:sz w:val="15"/>
                                <w:szCs w:val="15"/>
                              </w:rPr>
                              <w:t>30</w:t>
                            </w:r>
                            <w:r>
                              <w:rPr>
                                <w:rFonts w:ascii="Times New Roman" w:hAnsi="Times New Roman" w:cs="Times New Roman"/>
                                <w:color w:val="000000"/>
                                <w:sz w:val="15"/>
                                <w:szCs w:val="15"/>
                              </w:rPr>
                              <w:t>0</w:t>
                            </w:r>
                          </w:p>
                        </w:txbxContent>
                      </v:textbox>
                    </v:shape>
                    <v:shape id="TextBox 123" o:spid="_x0000_s1026" o:spt="202" type="#_x0000_t202" style="position:absolute;left:627829;top:3216541;height:446334;width:723642;" filled="f" stroked="f" coordsize="21600,21600" o:gfxdata="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9R7Rb4A&#10;AADd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hint="eastAsia" w:ascii="Times New Roman" w:hAnsi="Times New Roman" w:cs="Times New Roman"/>
                                <w:color w:val="000000"/>
                                <w:sz w:val="15"/>
                                <w:szCs w:val="15"/>
                              </w:rPr>
                              <w:t>200</w:t>
                            </w:r>
                          </w:p>
                        </w:txbxContent>
                      </v:textbox>
                    </v:shape>
                  </v:group>
                  <v:group id="组合 15123" o:spid="_x0000_s1026" o:spt="203" style="position:absolute;left:622935;top:1645285;height:235585;width:1720850;" coordorigin="1469471,3509438" coordsize="2977615,370192" o:gfxdata="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uyvQlr0AAADdAAAADwAAAAAAAAABACAAAAAiAAAAZHJzL2Rvd25yZXYueG1s&#10;UEsBAhQAFAAAAAgAh07iQDMvBZ47AAAAOQAAABUAAAAAAAAAAQAgAAAADAEAAGRycy9ncm91cHNo&#10;YXBleG1sLnhtbFBLBQYAAAAABgAGAGABAADJAwAAAAA=&#10;">
                    <o:lock v:ext="edit" aspectratio="f"/>
                    <v:line id="直接连接符 15124" o:spid="_x0000_s1026" o:spt="20" style="position:absolute;left:1469471;top:3805834;height:0;width:66803;" filled="f" stroked="f" coordsize="21600,21600" o:gfxdata="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So64o&#10;wAAAAN0AAAAPAAAAAAAAAAEAIAAAACIAAABkcnMvZG93bnJldi54bWxQSwECFAAUAAAACACHTuJA&#10;My8FnjsAAAA5AAAAEAAAAAAAAAABACAAAAAPAQAAZHJzL3NoYXBleG1sLnhtbFBLBQYAAAAABgAG&#10;AFsBAAC5AwAAAAA=&#10;">
                      <v:fill on="f" focussize="0,0"/>
                      <v:stroke on="f"/>
                      <v:imagedata o:title=""/>
                      <o:lock v:ext="edit" aspectratio="f"/>
                    </v:line>
                    <v:shape id="TextBox 125" o:spid="_x0000_s1026" o:spt="202" type="#_x0000_t202" style="position:absolute;left:3837295;top:3509438;height:347759;width:609791;" filled="f" stroked="f" coordsize="21600,21600" o:gfxdata="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nBJiO8AAAA&#10;3QAAAA8AAAAAAAAAAQAgAAAAIgAAAGRycy9kb3ducmV2LnhtbFBLAQIUABQAAAAIAIdO4kAzLwWe&#10;OwAAADkAAAAQAAAAAAAAAAEAIAAAAAsBAABkcnMvc2hhcGV4bWwueG1sUEsFBgAAAAAGAAYAWwEA&#10;ALUDA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hint="eastAsia" w:ascii="Times New Roman" w:hAnsi="Times New Roman" w:cs="Times New Roman"/>
                                <w:color w:val="000000"/>
                                <w:sz w:val="15"/>
                                <w:szCs w:val="15"/>
                              </w:rPr>
                              <w:t>Δ</w:t>
                            </w:r>
                            <w:r>
                              <w:rPr>
                                <w:rFonts w:hint="eastAsia" w:ascii="Times New Roman" w:hAnsi="Times New Roman" w:cs="Times New Roman"/>
                                <w:i/>
                                <w:color w:val="000000"/>
                                <w:sz w:val="15"/>
                                <w:szCs w:val="15"/>
                              </w:rPr>
                              <w:t>t</w:t>
                            </w:r>
                            <w:r>
                              <w:rPr>
                                <w:rFonts w:hint="eastAsia" w:ascii="Times New Roman" w:hAnsi="Times New Roman" w:cs="Times New Roman"/>
                                <w:color w:val="000000"/>
                                <w:sz w:val="15"/>
                                <w:szCs w:val="15"/>
                                <w:vertAlign w:val="subscript"/>
                              </w:rPr>
                              <w:t>4</w:t>
                            </w:r>
                          </w:p>
                        </w:txbxContent>
                      </v:textbox>
                    </v:shape>
                    <v:shape id="TextBox 129" o:spid="_x0000_s1026" o:spt="202" type="#_x0000_t202" style="position:absolute;left:1621218;top:3531871;height:347759;width:666389;" filled="f" stroked="f" coordsize="21600,21600" o:gfxdata="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ZE7hUugAAAN0A&#10;AAAPAAAAAAAAAAEAIAAAACIAAABkcnMvZG93bnJldi54bWxQSwECFAAUAAAACACHTuJAMy8FnjsA&#10;AAA5AAAAEAAAAAAAAAABACAAAAAJAQAAZHJzL3NoYXBleG1sLnhtbFBLBQYAAAAABgAGAFsBAACz&#10;Aw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hint="eastAsia" w:ascii="Times New Roman" w:hAnsi="Times New Roman" w:cs="Times New Roman"/>
                                <w:color w:val="000000"/>
                                <w:sz w:val="15"/>
                                <w:szCs w:val="15"/>
                              </w:rPr>
                              <w:t>Δ</w:t>
                            </w:r>
                            <w:r>
                              <w:rPr>
                                <w:rFonts w:ascii="Times New Roman" w:hAnsi="Times New Roman" w:cs="Times New Roman"/>
                                <w:i/>
                                <w:color w:val="000000"/>
                                <w:sz w:val="15"/>
                                <w:szCs w:val="15"/>
                              </w:rPr>
                              <w:t>t</w:t>
                            </w:r>
                            <w:r>
                              <w:rPr>
                                <w:rFonts w:ascii="Times New Roman" w:hAnsi="Times New Roman" w:cs="Times New Roman"/>
                                <w:color w:val="000000"/>
                                <w:sz w:val="15"/>
                                <w:szCs w:val="15"/>
                                <w:vertAlign w:val="subscript"/>
                              </w:rPr>
                              <w:t>1</w:t>
                            </w:r>
                          </w:p>
                        </w:txbxContent>
                      </v:textbox>
                    </v:shape>
                    <v:shape id="TextBox 130" o:spid="_x0000_s1026" o:spt="202" type="#_x0000_t202" style="position:absolute;left:2348920;top:3531871;height:347759;width:609791;" filled="f" stroked="f" coordsize="21600,21600" o:gfxdata="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ZfHc+8AAAA&#10;3QAAAA8AAAAAAAAAAQAgAAAAIgAAAGRycy9kb3ducmV2LnhtbFBLAQIUABQAAAAIAIdO4kAzLwWe&#10;OwAAADkAAAAQAAAAAAAAAAEAIAAAAAsBAABkcnMvc2hhcGV4bWwueG1sUEsFBgAAAAAGAAYAWwEA&#10;ALUDA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hint="eastAsia" w:ascii="Times New Roman" w:hAnsi="Times New Roman" w:cs="Times New Roman"/>
                                <w:color w:val="000000"/>
                                <w:sz w:val="15"/>
                                <w:szCs w:val="15"/>
                              </w:rPr>
                              <w:t>Δ</w:t>
                            </w:r>
                            <w:r>
                              <w:rPr>
                                <w:rFonts w:hint="eastAsia" w:ascii="Times New Roman" w:hAnsi="Times New Roman" w:cs="Times New Roman"/>
                                <w:i/>
                                <w:color w:val="000000"/>
                                <w:sz w:val="15"/>
                                <w:szCs w:val="15"/>
                              </w:rPr>
                              <w:t>t</w:t>
                            </w:r>
                            <w:r>
                              <w:rPr>
                                <w:rFonts w:hint="eastAsia" w:ascii="Times New Roman" w:hAnsi="Times New Roman" w:cs="Times New Roman"/>
                                <w:color w:val="000000"/>
                                <w:sz w:val="15"/>
                                <w:szCs w:val="15"/>
                                <w:vertAlign w:val="subscript"/>
                              </w:rPr>
                              <w:t>2</w:t>
                            </w:r>
                          </w:p>
                        </w:txbxContent>
                      </v:textbox>
                    </v:shape>
                    <v:shape id="TextBox 131" o:spid="_x0000_s1026" o:spt="202" type="#_x0000_t202" style="position:absolute;left:3101350;top:3516915;height:347759;width:609791;" filled="f" stroked="f" coordsize="21600,21600" o:gfxdata="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m2hbu8AAAA&#10;3QAAAA8AAAAAAAAAAQAgAAAAIgAAAGRycy9kb3ducmV2LnhtbFBLAQIUABQAAAAIAIdO4kAzLwWe&#10;OwAAADkAAAAQAAAAAAAAAAEAIAAAAAsBAABkcnMvc2hhcGV4bWwueG1sUEsFBgAAAAAGAAYAWwEA&#10;ALUDA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hint="eastAsia" w:ascii="Times New Roman" w:hAnsi="Times New Roman" w:cs="Times New Roman"/>
                                <w:color w:val="000000"/>
                                <w:sz w:val="15"/>
                                <w:szCs w:val="15"/>
                              </w:rPr>
                              <w:t>Δ</w:t>
                            </w:r>
                            <w:r>
                              <w:rPr>
                                <w:rFonts w:hint="eastAsia" w:ascii="Times New Roman" w:hAnsi="Times New Roman" w:cs="Times New Roman"/>
                                <w:i/>
                                <w:color w:val="000000"/>
                                <w:sz w:val="15"/>
                                <w:szCs w:val="15"/>
                              </w:rPr>
                              <w:t>t</w:t>
                            </w:r>
                            <w:r>
                              <w:rPr>
                                <w:rFonts w:hint="eastAsia" w:ascii="Times New Roman" w:hAnsi="Times New Roman" w:cs="Times New Roman"/>
                                <w:color w:val="000000"/>
                                <w:sz w:val="15"/>
                                <w:szCs w:val="15"/>
                                <w:vertAlign w:val="subscript"/>
                              </w:rPr>
                              <w:t>3</w:t>
                            </w:r>
                          </w:p>
                        </w:txbxContent>
                      </v:textbox>
                    </v:shape>
                  </v:group>
                  <v:shape id="TextBox 124" o:spid="_x0000_s1026" o:spt="202" type="#_x0000_t202" style="position:absolute;left:1957705;top:1804035;height:222885;width:800100;" filled="f" stroked="f" coordsize="21600,21600" o:gfxdata="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b6ICC8AAAA&#10;3QAAAA8AAAAAAAAAAQAgAAAAIgAAAGRycy9kb3ducmV2LnhtbFBLAQIUABQAAAAIAIdO4kAzLwWe&#10;OwAAADkAAAAQAAAAAAAAAAEAIAAAAAsBAABkcnMvc2hhcGV4bWwueG1sUEsFBgAAAAAGAAYAWwEA&#10;ALUDA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hint="eastAsia" w:ascii="Times New Roman" w:hAnsi="Times New Roman" w:cs="Times New Roman"/>
                              <w:color w:val="000000"/>
                              <w:sz w:val="15"/>
                              <w:szCs w:val="15"/>
                            </w:rPr>
                            <w:t>时程（</w:t>
                          </w:r>
                          <w:r>
                            <w:rPr>
                              <w:rFonts w:ascii="Times New Roman" w:hAnsi="Times New Roman" w:cs="Times New Roman"/>
                              <w:color w:val="000000"/>
                              <w:sz w:val="15"/>
                              <w:szCs w:val="15"/>
                            </w:rPr>
                            <w:t>s</w:t>
                          </w:r>
                          <w:r>
                            <w:rPr>
                              <w:rFonts w:hint="eastAsia" w:ascii="Times New Roman" w:hAnsi="Times New Roman" w:cs="Times New Roman"/>
                              <w:color w:val="000000"/>
                              <w:sz w:val="15"/>
                              <w:szCs w:val="15"/>
                            </w:rPr>
                            <w:t>）</w:t>
                          </w:r>
                        </w:p>
                      </w:txbxContent>
                    </v:textbox>
                  </v:shape>
                  <v:shape id="TextBox 124" o:spid="_x0000_s1026" o:spt="202" type="#_x0000_t202" style="position:absolute;left:474980;top:1965960;height:290830;width:2014220;" filled="f" stroked="f" coordsize="21600,21600" o:gfxdata="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Yovle8AAAA&#10;3QAAAA8AAAAAAAAAAQAgAAAAIgAAAGRycy9kb3ducmV2LnhtbFBLAQIUABQAAAAIAIdO4kAzLwWe&#10;OwAAADkAAAAQAAAAAAAAAAEAIAAAAAsBAABkcnMvc2hhcGV4bWwueG1sUEsFBgAAAAAGAAYAWwEA&#10;ALUDAAAAAA==&#10;">
                    <v:fill on="f" focussize="0,0"/>
                    <v:stroke on="f"/>
                    <v:imagedata o:title=""/>
                    <o:lock v:ext="edit" aspectratio="f"/>
                    <v:textbox>
                      <w:txbxContent>
                        <w:p>
                          <w:pPr>
                            <w:pStyle w:val="18"/>
                            <w:spacing w:before="0" w:beforeAutospacing="0" w:after="0" w:afterAutospacing="0"/>
                            <w:jc w:val="center"/>
                            <w:rPr>
                              <w:rFonts w:ascii="Times New Roman" w:hAnsi="Times New Roman" w:eastAsia="黑体" w:cs="Times New Roman"/>
                              <w:sz w:val="18"/>
                              <w:szCs w:val="18"/>
                            </w:rPr>
                          </w:pPr>
                          <w:r>
                            <w:rPr>
                              <w:rFonts w:hint="eastAsia" w:ascii="Times New Roman" w:hAnsi="Times New Roman" w:eastAsia="黑体" w:cs="Times New Roman"/>
                              <w:color w:val="000000"/>
                              <w:sz w:val="18"/>
                              <w:szCs w:val="18"/>
                            </w:rPr>
                            <w:t>图D</w:t>
                          </w:r>
                          <w:r>
                            <w:rPr>
                              <w:rFonts w:ascii="Times New Roman" w:hAnsi="Times New Roman" w:eastAsia="黑体" w:cs="Times New Roman"/>
                              <w:color w:val="000000"/>
                              <w:sz w:val="18"/>
                              <w:szCs w:val="18"/>
                            </w:rPr>
                            <w:t>.</w:t>
                          </w:r>
                          <w:r>
                            <w:rPr>
                              <w:rFonts w:hint="eastAsia" w:ascii="Times New Roman" w:hAnsi="Times New Roman" w:eastAsia="黑体" w:cs="Times New Roman"/>
                              <w:color w:val="000000"/>
                              <w:sz w:val="18"/>
                              <w:szCs w:val="18"/>
                            </w:rPr>
                            <w:t>2</w:t>
                          </w:r>
                          <w:r>
                            <w:rPr>
                              <w:rFonts w:ascii="Times New Roman" w:hAnsi="Times New Roman" w:eastAsia="黑体" w:cs="Times New Roman"/>
                              <w:color w:val="000000"/>
                              <w:sz w:val="18"/>
                              <w:szCs w:val="18"/>
                            </w:rPr>
                            <w:t>.</w:t>
                          </w:r>
                          <w:r>
                            <w:rPr>
                              <w:rFonts w:hint="eastAsia" w:ascii="Times New Roman" w:hAnsi="Times New Roman" w:eastAsia="黑体" w:cs="Times New Roman"/>
                              <w:color w:val="000000"/>
                              <w:sz w:val="18"/>
                              <w:szCs w:val="18"/>
                            </w:rPr>
                            <w:t>5-3</w:t>
                          </w:r>
                          <w:r>
                            <w:rPr>
                              <w:rFonts w:ascii="Times New Roman" w:hAnsi="Times New Roman" w:eastAsia="黑体" w:cs="Times New Roman"/>
                              <w:color w:val="000000"/>
                              <w:sz w:val="18"/>
                              <w:szCs w:val="18"/>
                            </w:rPr>
                            <w:t xml:space="preserve">  </w:t>
                          </w:r>
                          <w:r>
                            <w:rPr>
                              <w:rFonts w:hint="eastAsia" w:ascii="Times New Roman" w:hAnsi="Times New Roman" w:eastAsia="黑体" w:cs="Times New Roman"/>
                              <w:color w:val="000000"/>
                              <w:sz w:val="18"/>
                              <w:szCs w:val="18"/>
                            </w:rPr>
                            <w:t>回归曲线示意图</w:t>
                          </w:r>
                        </w:p>
                      </w:txbxContent>
                    </v:textbox>
                  </v:shape>
                  <v:group id="组合 12764" o:spid="_x0000_s1026" o:spt="203" style="position:absolute;left:471170;top:195580;height:1468755;width:2120265;" coordorigin="1141290,851583" coordsize="3638008,2543036" o:gfxdata="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ltcVhL0AAADdAAAADwAAAAAAAAABACAAAAAiAAAAZHJzL2Rvd25yZXYueG1s&#10;UEsBAhQAFAAAAAgAh07iQDMvBZ47AAAAOQAAABUAAAAAAAAAAQAgAAAADAEAAGRycy9ncm91cHNo&#10;YXBleG1sLnhtbFBLBQYAAAAABgAGAGABAADJAwAAAAA=&#10;">
                    <o:lock v:ext="edit" aspectratio="f"/>
                    <v:line id="直接连接符 15136" o:spid="_x0000_s1026" o:spt="20" style="position:absolute;left:1151997;top:3359130;flip:y;height:8573;width:3619128;" filled="f" stroked="t" coordsize="21600,21600" o:gfxdata="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u0pvK/&#10;AAAA3QAAAA8AAAAAAAAAAQAgAAAAIgAAAGRycy9kb3ducmV2LnhtbFBLAQIUABQAAAAIAIdO4kAz&#10;LwWeOwAAADkAAAAQAAAAAAAAAAEAIAAAAA4BAABkcnMvc2hhcGV4bWwueG1sUEsFBgAAAAAGAAYA&#10;WwEAALgDAAAAAA==&#10;">
                      <v:fill on="f" focussize="0,0"/>
                      <v:stroke color="#4A7EBB" joinstyle="round"/>
                      <v:imagedata o:title=""/>
                      <o:lock v:ext="edit" aspectratio="f"/>
                    </v:line>
                    <v:line id="直接连接符 15137" o:spid="_x0000_s1026" o:spt="20" style="position:absolute;left:1141290;top:860819;flip:y;height:599;width:3621662;" filled="f" stroked="t" coordsize="21600,21600" o:gfxdata="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U+ANpvQAA&#10;AN0AAAAPAAAAAAAAAAEAIAAAACIAAABkcnMvZG93bnJldi54bWxQSwECFAAUAAAACACHTuJAMy8F&#10;njsAAAA5AAAAEAAAAAAAAAABACAAAAAMAQAAZHJzL3NoYXBleG1sLnhtbFBLBQYAAAAABgAGAFsB&#10;AAC2AwAAAAA=&#10;">
                      <v:fill on="f" focussize="0,0"/>
                      <v:stroke color="#4A7EBB" joinstyle="round"/>
                      <v:imagedata o:title=""/>
                      <o:lock v:ext="edit" aspectratio="f"/>
                    </v:line>
                    <v:line id="直接连接符 15139" o:spid="_x0000_s1026" o:spt="20" style="position:absolute;left:1152004;top:2856171;flip:y;height:11118;width:3619122;" filled="f" stroked="t" coordsize="21600,21600" o:gfxdata="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K76y2/&#10;AAAA3QAAAA8AAAAAAAAAAQAgAAAAIgAAAGRycy9kb3ducmV2LnhtbFBLAQIUABQAAAAIAIdO4kAz&#10;LwWeOwAAADkAAAAQAAAAAAAAAAEAIAAAAA4BAABkcnMvc2hhcGV4bWwueG1sUEsFBgAAAAAGAAYA&#10;WwEAALgDAAAAAA==&#10;">
                      <v:fill on="f" focussize="0,0"/>
                      <v:stroke color="#4A7EBB" joinstyle="round" dashstyle="1 1"/>
                      <v:imagedata o:title=""/>
                      <o:lock v:ext="edit" aspectratio="f"/>
                    </v:line>
                    <v:line id="直接连接符 15140" o:spid="_x0000_s1026" o:spt="20" style="position:absolute;left:1160874;top:1368282;height:3745;width:3610251;" filled="f" stroked="t" coordsize="21600,21600" o:gfxdata="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OURrvugAAAN0A&#10;AAAPAAAAAAAAAAEAIAAAACIAAABkcnMvZG93bnJldi54bWxQSwECFAAUAAAACACHTuJAMy8FnjsA&#10;AAA5AAAAEAAAAAAAAAABACAAAAAJAQAAZHJzL3NoYXBleG1sLnhtbFBLBQYAAAAABgAGAFsBAACz&#10;AwAAAAA=&#10;">
                      <v:fill on="f" focussize="0,0"/>
                      <v:stroke color="#4A7EBB" joinstyle="round" dashstyle="1 1"/>
                      <v:imagedata o:title=""/>
                      <o:lock v:ext="edit" aspectratio="f"/>
                    </v:line>
                    <v:line id="直接连接符 15141" o:spid="_x0000_s1026" o:spt="20" style="position:absolute;left:1151997;top:1866742;flip:y;height:1262;width:3619129;" filled="f" stroked="t" coordsize="21600,21600" o:gfxdata="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9JdDB&#10;wAAAAN0AAAAPAAAAAAAAAAEAIAAAACIAAABkcnMvZG93bnJldi54bWxQSwECFAAUAAAACACHTuJA&#10;My8FnjsAAAA5AAAAEAAAAAAAAAABACAAAAAPAQAAZHJzL3NoYXBleG1sLnhtbFBLBQYAAAAABgAG&#10;AFsBAAC5AwAAAAA=&#10;">
                      <v:fill on="f" focussize="0,0"/>
                      <v:stroke color="#4A7EBB" joinstyle="round" dashstyle="1 1"/>
                      <v:imagedata o:title=""/>
                      <o:lock v:ext="edit" aspectratio="f"/>
                    </v:line>
                    <v:line id="直接连接符 15142" o:spid="_x0000_s1026" o:spt="20" style="position:absolute;left:1151997;top:2361456;flip:y;height:2919;width:3627301;" filled="f" stroked="t" coordsize="21600,21600" o:gfxdata="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SaXVa&#10;wAAAAN0AAAAPAAAAAAAAAAEAIAAAACIAAABkcnMvZG93bnJldi54bWxQSwECFAAUAAAACACHTuJA&#10;My8FnjsAAAA5AAAAEAAAAAAAAAABACAAAAAPAQAAZHJzL3NoYXBleG1sLnhtbFBLBQYAAAAABgAG&#10;AFsBAAC5AwAAAAA=&#10;">
                      <v:fill on="f" focussize="0,0"/>
                      <v:stroke color="#4A7EBB" joinstyle="round" dashstyle="1 1"/>
                      <v:imagedata o:title=""/>
                      <o:lock v:ext="edit" aspectratio="f"/>
                    </v:line>
                    <v:group id="组合 15143" o:spid="_x0000_s1026" o:spt="203" style="position:absolute;left:1149076;top:851583;height:2543036;width:3622665;" coordorigin="923924,657659" coordsize="3887439,2740851" o:gfxdata="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49wdLr0AAADdAAAADwAAAAAAAAABACAAAAAiAAAAZHJzL2Rvd25yZXYueG1s&#10;UEsBAhQAFAAAAAgAh07iQDMvBZ47AAAAOQAAABUAAAAAAAAAAQAgAAAADAEAAGRycy9ncm91cHNo&#10;YXBleG1sLnhtbFBLBQYAAAAABgAGAGABAADJAwAAAAA=&#10;">
                      <o:lock v:ext="edit" aspectratio="f"/>
                      <v:line id="直接连接符 15144" o:spid="_x0000_s1026" o:spt="20" style="position:absolute;left:923924;top:657659;height:2686977;width:0;" filled="f" stroked="t" coordsize="21600,21600" o:gfxdata="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Mcc5W8AAAA&#10;3QAAAA8AAAAAAAAAAQAgAAAAIgAAAGRycy9kb3ducmV2LnhtbFBLAQIUABQAAAAIAIdO4kAzLwWe&#10;OwAAADkAAAAQAAAAAAAAAAEAIAAAAAsBAABkcnMvc2hhcGV4bWwueG1sUEsFBgAAAAAGAAYAWwEA&#10;ALUDAAAAAA==&#10;">
                        <v:fill on="f" focussize="0,0"/>
                        <v:stroke color="#4A7EBB" joinstyle="round"/>
                        <v:imagedata o:title=""/>
                        <o:lock v:ext="edit" aspectratio="f"/>
                      </v:line>
                      <v:line id="直接连接符 15145" o:spid="_x0000_s1026" o:spt="20" style="position:absolute;left:4801931;top:667614;height:2694334;width:9432;" filled="f" stroked="t" coordsize="21600,21600" o:gfxdata="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PZqs74A&#10;AADcAAAADwAAAAAAAAABACAAAAAiAAAAZHJzL2Rvd25yZXYueG1sUEsBAhQAFAAAAAgAh07iQDMv&#10;BZ47AAAAOQAAABAAAAAAAAAAAQAgAAAADQEAAGRycy9zaGFwZXhtbC54bWxQSwUGAAAAAAYABgBb&#10;AQAAtwMAAAAA&#10;">
                        <v:fill on="f" focussize="0,0"/>
                        <v:stroke color="#4A7EBB" joinstyle="round"/>
                        <v:imagedata o:title=""/>
                        <o:lock v:ext="edit" aspectratio="f"/>
                      </v:line>
                      <v:line id="直接连接符 15147" o:spid="_x0000_s1026" o:spt="20" style="position:absolute;left:4038915;top:667614;height:2704235;width:1046;" filled="f" stroked="t" coordsize="21600,21600" o:gfxdata="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uwBm74A&#10;AADcAAAADwAAAAAAAAABACAAAAAiAAAAZHJzL2Rvd25yZXYueG1sUEsBAhQAFAAAAAgAh07iQDMv&#10;BZ47AAAAOQAAABAAAAAAAAAAAQAgAAAADQEAAGRycy9zaGFwZXhtbC54bWxQSwUGAAAAAAYABgBb&#10;AQAAtwMAAAAA&#10;">
                        <v:fill on="f" focussize="0,0"/>
                        <v:stroke color="#4A7EBB" joinstyle="round" dashstyle="1 1"/>
                        <v:imagedata o:title=""/>
                        <o:lock v:ext="edit" aspectratio="f"/>
                      </v:line>
                      <v:line id="直接连接符 15149" o:spid="_x0000_s1026" o:spt="20" style="position:absolute;left:3256752;top:667614;flip:x;height:2722008;width:1604;" filled="f" stroked="t" coordsize="21600,21600" o:gfxdata="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26cODrsAAADc&#10;AAAADwAAAAAAAAABACAAAAAiAAAAZHJzL2Rvd25yZXYueG1sUEsBAhQAFAAAAAgAh07iQDMvBZ47&#10;AAAAOQAAABAAAAAAAAAAAQAgAAAACgEAAGRycy9zaGFwZXhtbC54bWxQSwUGAAAAAAYABgBbAQAA&#10;tAMAAAAA&#10;">
                        <v:fill on="f" focussize="0,0"/>
                        <v:stroke color="#4A7EBB" joinstyle="round" dashstyle="1 1"/>
                        <v:imagedata o:title=""/>
                        <o:lock v:ext="edit" aspectratio="f"/>
                      </v:line>
                      <v:line id="直接连接符 15150" o:spid="_x0000_s1026" o:spt="20" style="position:absolute;left:2477297;top:667614;flip:x;height:2713121;width:503;" filled="f" stroked="t" coordsize="21600,21600" o:gfxdata="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066uVvQAA&#10;ANwAAAAPAAAAAAAAAAEAIAAAACIAAABkcnMvZG93bnJldi54bWxQSwECFAAUAAAACACHTuJAMy8F&#10;njsAAAA5AAAAEAAAAAAAAAABACAAAAAMAQAAZHJzL3NoYXBleG1sLnhtbFBLBQYAAAAABgAGAFsB&#10;AAC2AwAAAAA=&#10;">
                        <v:fill on="f" focussize="0,0"/>
                        <v:stroke color="#4A7EBB" joinstyle="round" dashstyle="1 1"/>
                        <v:imagedata o:title=""/>
                        <o:lock v:ext="edit" aspectratio="f"/>
                      </v:line>
                      <v:line id="直接连接符 15151" o:spid="_x0000_s1026" o:spt="20" style="position:absolute;left:1704996;top:667614;flip:x;height:2730896;width:1017;" filled="f" stroked="t" coordsize="21600,21600" o:gfxdata="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s6mBK8AAAA&#10;3AAAAA8AAAAAAAAAAQAgAAAAIgAAAGRycy9kb3ducmV2LnhtbFBLAQIUABQAAAAIAIdO4kAzLwWe&#10;OwAAADkAAAAQAAAAAAAAAAEAIAAAAAsBAABkcnMvc2hhcGV4bWwueG1sUEsFBgAAAAAGAAYAWwEA&#10;ALUDAAAAAA==&#10;">
                        <v:fill on="f" focussize="0,0"/>
                        <v:stroke color="#4A7EBB" joinstyle="round" dashstyle="1 1"/>
                        <v:imagedata o:title=""/>
                        <o:lock v:ext="edit" aspectratio="f"/>
                      </v:line>
                    </v:group>
                    <v:group id="组合 15154" o:spid="_x0000_s1026" o:spt="203" style="position:absolute;left:1151998;top:3303392;height:66804;width:3620518;" coordorigin="1074327,3278701" coordsize="3902150,72001" o:gfxdata="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UyGF5vwAAANwAAAAPAAAAAAAAAAEAIAAAACIAAABkcnMvZG93bnJldi54&#10;bWxQSwECFAAUAAAACACHTuJAMy8FnjsAAAA5AAAAFQAAAAAAAAABACAAAAAOAQAAZHJzL2dyb3Vw&#10;c2hhcGV4bWwueG1sUEsFBgAAAAAGAAYAYAEAAMsDAAAAAA==&#10;">
                      <o:lock v:ext="edit" aspectratio="f"/>
                      <v:line id="直接连接符 15157" o:spid="_x0000_s1026" o:spt="20" style="position:absolute;left:4940476;top:3314701;height:0;width:72001;rotation:5898240f;" filled="f" stroked="t" coordsize="21600,21600" o:gfxdata="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oelvHvQAA&#10;ANwAAAAPAAAAAAAAAAEAIAAAACIAAABkcnMvZG93bnJldi54bWxQSwECFAAUAAAACACHTuJAMy8F&#10;njsAAAA5AAAAEAAAAAAAAAABACAAAAAMAQAAZHJzL3NoYXBleG1sLnhtbFBLBQYAAAAABgAGAFsB&#10;AAC2AwAAAAA=&#10;">
                        <v:fill on="f" focussize="0,0"/>
                        <v:stroke color="#4A7EBB" joinstyle="round"/>
                        <v:imagedata o:title=""/>
                        <o:lock v:ext="edit" aspectratio="f"/>
                      </v:line>
                      <v:line id="直接连接符 15158" o:spid="_x0000_s1026" o:spt="20" style="position:absolute;left:4784391;top:3314702;height:0;width:72000;rotation:5898240f;" filled="f" stroked="t" coordsize="21600,21600" o:gfxdata="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jfZii/&#10;AAAA3AAAAA8AAAAAAAAAAQAgAAAAIgAAAGRycy9kb3ducmV2LnhtbFBLAQIUABQAAAAIAIdO4kAz&#10;LwWeOwAAADkAAAAQAAAAAAAAAAEAIAAAAA4BAABkcnMvc2hhcGV4bWwueG1sUEsFBgAAAAAGAAYA&#10;WwEAALgDAAAAAA==&#10;">
                        <v:fill on="f" focussize="0,0"/>
                        <v:stroke color="#4A7EBB" joinstyle="round"/>
                        <v:imagedata o:title=""/>
                        <o:lock v:ext="edit" aspectratio="f"/>
                      </v:line>
                      <v:line id="直接连接符 15159" o:spid="_x0000_s1026" o:spt="20" style="position:absolute;left:4628305;top:3314701;height:0;width:72001;rotation:5898240f;" filled="f" stroked="t" coordsize="21600,21600" o:gfxdata="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eTw7O/&#10;AAAA3AAAAA8AAAAAAAAAAQAgAAAAIgAAAGRycy9kb3ducmV2LnhtbFBLAQIUABQAAAAIAIdO4kAz&#10;LwWeOwAAADkAAAAQAAAAAAAAAAEAIAAAAA4BAABkcnMvc2hhcGV4bWwueG1sUEsFBgAAAAAGAAYA&#10;WwEAALgDAAAAAA==&#10;">
                        <v:fill on="f" focussize="0,0"/>
                        <v:stroke color="#4A7EBB" joinstyle="round"/>
                        <v:imagedata o:title=""/>
                        <o:lock v:ext="edit" aspectratio="f"/>
                      </v:line>
                      <v:line id="直接连接符 15160" o:spid="_x0000_s1026" o:spt="20" style="position:absolute;left:4472218;top:3314701;height:0;width:72001;rotation:5898240f;" filled="f" stroked="t" coordsize="21600,21600" o:gfxdata="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XQV3EvQAA&#10;ANwAAAAPAAAAAAAAAAEAIAAAACIAAABkcnMvZG93bnJldi54bWxQSwECFAAUAAAACACHTuJAMy8F&#10;njsAAAA5AAAAEAAAAAAAAAABACAAAAAMAQAAZHJzL3NoYXBleG1sLnhtbFBLBQYAAAAABgAGAFsB&#10;AAC2AwAAAAA=&#10;">
                        <v:fill on="f" focussize="0,0"/>
                        <v:stroke color="#4A7EBB" joinstyle="round"/>
                        <v:imagedata o:title=""/>
                        <o:lock v:ext="edit" aspectratio="f"/>
                      </v:line>
                      <v:line id="直接连接符 15161" o:spid="_x0000_s1026" o:spt="20" style="position:absolute;left:4316133;top:3314702;height:0;width:72000;rotation:5898240f;" filled="f" stroked="t" coordsize="21600,21600" o:gfxdata="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gN+F+/&#10;AAAA3AAAAA8AAAAAAAAAAQAgAAAAIgAAAGRycy9kb3ducmV2LnhtbFBLAQIUABQAAAAIAIdO4kAz&#10;LwWeOwAAADkAAAAQAAAAAAAAAAEAIAAAAA4BAABkcnMvc2hhcGV4bWwueG1sUEsFBgAAAAAGAAYA&#10;WwEAALgDAAAAAA==&#10;">
                        <v:fill on="f" focussize="0,0"/>
                        <v:stroke color="#4A7EBB" joinstyle="round"/>
                        <v:imagedata o:title=""/>
                        <o:lock v:ext="edit" aspectratio="f"/>
                      </v:line>
                      <v:line id="直接连接符 15162" o:spid="_x0000_s1026" o:spt="20" style="position:absolute;left:4160047;top:3314702;height:0;width:72000;rotation:5898240f;" filled="f" stroked="t" coordsize="21600,21600" o:gfxdata="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mSbC28AAAA&#10;3AAAAA8AAAAAAAAAAQAgAAAAIgAAAGRycy9kb3ducmV2LnhtbFBLAQIUABQAAAAIAIdO4kAzLwWe&#10;OwAAADkAAAAQAAAAAAAAAAEAIAAAAAsBAABkcnMvc2hhcGV4bWwueG1sUEsFBgAAAAAGAAYAWwEA&#10;ALUDAAAAAA==&#10;">
                        <v:fill on="f" focussize="0,0"/>
                        <v:stroke color="#4A7EBB" joinstyle="round"/>
                        <v:imagedata o:title=""/>
                        <o:lock v:ext="edit" aspectratio="f"/>
                      </v:line>
                      <v:line id="直接连接符 15163" o:spid="_x0000_s1026" o:spt="20" style="position:absolute;left:4003960;top:3314701;height:0;width:72001;rotation:5898240f;" filled="f" stroked="t" coordsize="21600,21600" o:gfxdata="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beyba/&#10;AAAA3AAAAA8AAAAAAAAAAQAgAAAAIgAAAGRycy9kb3ducmV2LnhtbFBLAQIUABQAAAAIAIdO4kAz&#10;LwWeOwAAADkAAAAQAAAAAAAAAAEAIAAAAA4BAABkcnMvc2hhcGV4bWwueG1sUEsFBgAAAAAGAAYA&#10;WwEAALgDAAAAAA==&#10;">
                        <v:fill on="f" focussize="0,0"/>
                        <v:stroke color="#4A7EBB" joinstyle="round"/>
                        <v:imagedata o:title=""/>
                        <o:lock v:ext="edit" aspectratio="f"/>
                      </v:line>
                      <v:line id="直接连接符 15164" o:spid="_x0000_s1026" o:spt="20" style="position:absolute;left:3847874;top:3314701;height:0;width:72001;rotation:5898240f;" filled="f" stroked="t" coordsize="21600,21600" o:gfxdata="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I99va8AAAA&#10;3AAAAA8AAAAAAAAAAQAgAAAAIgAAAGRycy9kb3ducmV2LnhtbFBLAQIUABQAAAAIAIdO4kAzLwWe&#10;OwAAADkAAAAQAAAAAAAAAAEAIAAAAAsBAABkcnMvc2hhcGV4bWwueG1sUEsFBgAAAAAGAAYAWwEA&#10;ALUDAAAAAA==&#10;">
                        <v:fill on="f" focussize="0,0"/>
                        <v:stroke color="#4A7EBB" joinstyle="round"/>
                        <v:imagedata o:title=""/>
                        <o:lock v:ext="edit" aspectratio="f"/>
                      </v:line>
                      <v:line id="直接连接符 15165" o:spid="_x0000_s1026" o:spt="20" style="position:absolute;left:3691789;top:3314702;height:0;width:72000;rotation:5898240f;" filled="f" stroked="t" coordsize="21600,21600" o:gfxdata="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1xU22/&#10;AAAA3AAAAA8AAAAAAAAAAQAgAAAAIgAAAGRycy9kb3ducmV2LnhtbFBLAQIUABQAAAAIAIdO4kAz&#10;LwWeOwAAADkAAAAQAAAAAAAAAAEAIAAAAA4BAABkcnMvc2hhcGV4bWwueG1sUEsFBgAAAAAGAAYA&#10;WwEAALgDAAAAAA==&#10;">
                        <v:fill on="f" focussize="0,0"/>
                        <v:stroke color="#4A7EBB" joinstyle="round"/>
                        <v:imagedata o:title=""/>
                        <o:lock v:ext="edit" aspectratio="f"/>
                      </v:line>
                      <v:line id="直接连接符 15166" o:spid="_x0000_s1026" o:spt="20" style="position:absolute;left:3535703;top:3314702;height:0;width:72000;rotation:5898240f;" filled="f" stroked="t" coordsize="21600,21600" o:gfxdata="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2jzRq/&#10;AAAA3AAAAA8AAAAAAAAAAQAgAAAAIgAAAGRycy9kb3ducmV2LnhtbFBLAQIUABQAAAAIAIdO4kAz&#10;LwWeOwAAADkAAAAQAAAAAAAAAAEAIAAAAA4BAABkcnMvc2hhcGV4bWwueG1sUEsFBgAAAAAGAAYA&#10;WwEAALgDAAAAAA==&#10;">
                        <v:fill on="f" focussize="0,0"/>
                        <v:stroke color="#4A7EBB" joinstyle="round"/>
                        <v:imagedata o:title=""/>
                        <o:lock v:ext="edit" aspectratio="f"/>
                      </v:line>
                      <v:line id="直接连接符 15167" o:spid="_x0000_s1026" o:spt="20" style="position:absolute;left:3379616;top:3314701;height:0;width:72001;rotation:5898240f;" filled="f" stroked="t" coordsize="21600,21600" o:gfxdata="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u9ogb4A&#10;AADcAAAADwAAAAAAAAABACAAAAAiAAAAZHJzL2Rvd25yZXYueG1sUEsBAhQAFAAAAAgAh07iQDMv&#10;BZ47AAAAOQAAABAAAAAAAAAAAQAgAAAADQEAAGRycy9zaGFwZXhtbC54bWxQSwUGAAAAAAYABgBb&#10;AQAAtwMAAAAA&#10;">
                        <v:fill on="f" focussize="0,0"/>
                        <v:stroke color="#4A7EBB" joinstyle="round"/>
                        <v:imagedata o:title=""/>
                        <o:lock v:ext="edit" aspectratio="f"/>
                      </v:line>
                      <v:line id="直接连接符 15168" o:spid="_x0000_s1026" o:spt="20" style="position:absolute;left:3223530;top:3314701;height:0;width:72001;rotation:5898240f;" filled="f" stroked="t" coordsize="21600,21600" o:gfxdata="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0G8PW/&#10;AAAA3AAAAA8AAAAAAAAAAQAgAAAAIgAAAGRycy9kb3ducmV2LnhtbFBLAQIUABQAAAAIAIdO4kAz&#10;LwWeOwAAADkAAAAQAAAAAAAAAAEAIAAAAA4BAABkcnMvc2hhcGV4bWwueG1sUEsFBgAAAAAGAAYA&#10;WwEAALgDAAAAAA==&#10;">
                        <v:fill on="f" focussize="0,0"/>
                        <v:stroke color="#4A7EBB" joinstyle="round"/>
                        <v:imagedata o:title=""/>
                        <o:lock v:ext="edit" aspectratio="f"/>
                      </v:line>
                      <v:line id="直接连接符 15169" o:spid="_x0000_s1026" o:spt="20" style="position:absolute;left:3067445;top:3314702;height:0;width:72000;rotation:5898240f;" filled="f" stroked="t" coordsize="21600,21600" o:gfxdata="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kpVbr4A&#10;AADcAAAADwAAAAAAAAABACAAAAAiAAAAZHJzL2Rvd25yZXYueG1sUEsBAhQAFAAAAAgAh07iQDMv&#10;BZ47AAAAOQAAABAAAAAAAAAAAQAgAAAADQEAAGRycy9zaGFwZXhtbC54bWxQSwUGAAAAAAYABgBb&#10;AQAAtwMAAAAA&#10;">
                        <v:fill on="f" focussize="0,0"/>
                        <v:stroke color="#4A7EBB" joinstyle="round"/>
                        <v:imagedata o:title=""/>
                        <o:lock v:ext="edit" aspectratio="f"/>
                      </v:line>
                      <v:line id="直接连接符 15170" o:spid="_x0000_s1026" o:spt="20" style="position:absolute;left:2911359;top:3314701;height:0;width:72001;rotation:5898240f;" filled="f" stroked="t" coordsize="21600,21600" o:gfxdata="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KYyxm/&#10;AAAA3AAAAA8AAAAAAAAAAQAgAAAAIgAAAGRycy9kb3ducmV2LnhtbFBLAQIUABQAAAAIAIdO4kAz&#10;LwWeOwAAADkAAAAQAAAAAAAAAAEAIAAAAA4BAABkcnMvc2hhcGV4bWwueG1sUEsFBgAAAAAGAAYA&#10;WwEAALgDAAAAAA==&#10;">
                        <v:fill on="f" focussize="0,0"/>
                        <v:stroke color="#4A7EBB" joinstyle="round"/>
                        <v:imagedata o:title=""/>
                        <o:lock v:ext="edit" aspectratio="f"/>
                      </v:line>
                      <v:line id="直接连接符 15171" o:spid="_x0000_s1026" o:spt="20" style="position:absolute;left:2755272;top:3314701;height:0;width:72001;rotation:5898240f;" filled="f" stroked="t" coordsize="21600,21600" o:gfxdata="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Rugr4A&#10;AADcAAAADwAAAAAAAAABACAAAAAiAAAAZHJzL2Rvd25yZXYueG1sUEsBAhQAFAAAAAgAh07iQDMv&#10;BZ47AAAAOQAAABAAAAAAAAAAAQAgAAAADQEAAGRycy9zaGFwZXhtbC54bWxQSwUGAAAAAAYABgBb&#10;AQAAtwMAAAAA&#10;">
                        <v:fill on="f" focussize="0,0"/>
                        <v:stroke color="#4A7EBB" joinstyle="round"/>
                        <v:imagedata o:title=""/>
                        <o:lock v:ext="edit" aspectratio="f"/>
                      </v:line>
                      <v:line id="直接连接符 15172" o:spid="_x0000_s1026" o:spt="20" style="position:absolute;left:2599187;top:3314702;height:0;width:72000;rotation:5898240f;" filled="f" stroked="t" coordsize="21600,21600" o:gfxdata="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xL+vC8AAAA&#10;3AAAAA8AAAAAAAAAAQAgAAAAIgAAAGRycy9kb3ducmV2LnhtbFBLAQIUABQAAAAIAIdO4kAzLwWe&#10;OwAAADkAAAAQAAAAAAAAAAEAIAAAAAsBAABkcnMvc2hhcGV4bWwueG1sUEsFBgAAAAAGAAYAWwEA&#10;ALUDAAAAAA==&#10;">
                        <v:fill on="f" focussize="0,0"/>
                        <v:stroke color="#4A7EBB" joinstyle="round"/>
                        <v:imagedata o:title=""/>
                        <o:lock v:ext="edit" aspectratio="f"/>
                      </v:line>
                      <v:line id="直接连接符 15173" o:spid="_x0000_s1026" o:spt="20" style="position:absolute;left:2443101;top:3314702;height:0;width:72000;rotation:5898240f;" filled="f" stroked="t" coordsize="21600,21600" o:gfxdata="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MHX2u/&#10;AAAA3AAAAA8AAAAAAAAAAQAgAAAAIgAAAGRycy9kb3ducmV2LnhtbFBLAQIUABQAAAAIAIdO4kAz&#10;LwWeOwAAADkAAAAQAAAAAAAAAAEAIAAAAA4BAABkcnMvc2hhcGV4bWwueG1sUEsFBgAAAAAGAAYA&#10;WwEAALgDAAAAAA==&#10;">
                        <v:fill on="f" focussize="0,0"/>
                        <v:stroke color="#4A7EBB" joinstyle="round"/>
                        <v:imagedata o:title=""/>
                        <o:lock v:ext="edit" aspectratio="f"/>
                      </v:line>
                      <v:line id="直接连接符 15174" o:spid="_x0000_s1026" o:spt="20" style="position:absolute;left:2287015;top:3314701;height:0;width:72001;rotation:5898240f;" filled="f" stroked="t" coordsize="21600,21600" o:gfxdata="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LxRPEu5AAAA3AAA&#10;AA8AAAAAAAAAAQAgAAAAIgAAAGRycy9kb3ducmV2LnhtbFBLAQIUABQAAAAIAIdO4kAzLwWeOwAA&#10;ADkAAAAQAAAAAAAAAAEAIAAAAAgBAABkcnMvc2hhcGV4bWwueG1sUEsFBgAAAAAGAAYAWwEAALID&#10;AAAAAA==&#10;">
                        <v:fill on="f" focussize="0,0"/>
                        <v:stroke color="#4A7EBB" joinstyle="round"/>
                        <v:imagedata o:title=""/>
                        <o:lock v:ext="edit" aspectratio="f"/>
                      </v:line>
                      <v:line id="直接连接符 15175" o:spid="_x0000_s1026" o:spt="20" style="position:absolute;left:2130928;top:3314701;height:0;width:72001;rotation:5898240f;" filled="f" stroked="t" coordsize="21600,21600" o:gfxdata="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MdmdC/&#10;AAAA3AAAAA8AAAAAAAAAAQAgAAAAIgAAAGRycy9kb3ducmV2LnhtbFBLAQIUABQAAAAIAIdO4kAz&#10;LwWeOwAAADkAAAAQAAAAAAAAAAEAIAAAAA4BAABkcnMvc2hhcGV4bWwueG1sUEsFBgAAAAAGAAYA&#10;WwEAALgDAAAAAA==&#10;">
                        <v:fill on="f" focussize="0,0"/>
                        <v:stroke color="#4A7EBB" joinstyle="round"/>
                        <v:imagedata o:title=""/>
                        <o:lock v:ext="edit" aspectratio="f"/>
                      </v:line>
                      <v:line id="直接连接符 15176" o:spid="_x0000_s1026" o:spt="20" style="position:absolute;left:1974843;top:3314702;height:0;width:72000;rotation:5898240f;" filled="f" stroked="t" coordsize="21600,21600" o:gfxdata="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PPB6e/&#10;AAAA3AAAAA8AAAAAAAAAAQAgAAAAIgAAAGRycy9kb3ducmV2LnhtbFBLAQIUABQAAAAIAIdO4kAz&#10;LwWeOwAAADkAAAAQAAAAAAAAAAEAIAAAAA4BAABkcnMvc2hhcGV4bWwueG1sUEsFBgAAAAAGAAYA&#10;WwEAALgDAAAAAA==&#10;">
                        <v:fill on="f" focussize="0,0"/>
                        <v:stroke color="#4A7EBB" joinstyle="round"/>
                        <v:imagedata o:title=""/>
                        <o:lock v:ext="edit" aspectratio="f"/>
                      </v:line>
                      <v:line id="直接连接符 15177" o:spid="_x0000_s1026" o:spt="20" style="position:absolute;left:1818757;top:3314702;height:0;width:72000;rotation:5898240f;" filled="f" stroked="t" coordsize="21600,21600" o:gfxdata="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Mg6I8&#10;wAAAANwAAAAPAAAAAAAAAAEAIAAAACIAAABkcnMvZG93bnJldi54bWxQSwECFAAUAAAACACHTuJA&#10;My8FnjsAAAA5AAAAEAAAAAAAAAABACAAAAAPAQAAZHJzL3NoYXBleG1sLnhtbFBLBQYAAAAABgAG&#10;AFsBAAC5AwAAAAA=&#10;">
                        <v:fill on="f" focussize="0,0"/>
                        <v:stroke color="#4A7EBB" joinstyle="round"/>
                        <v:imagedata o:title=""/>
                        <o:lock v:ext="edit" aspectratio="f"/>
                      </v:line>
                      <v:line id="直接连接符 15178" o:spid="_x0000_s1026" o:spt="20" style="position:absolute;left:1662671;top:3314701;height:0;width:72001;rotation:5898240f;" filled="f" stroked="t" coordsize="21600,21600" o:gfxdata="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NqOki/&#10;AAAA3AAAAA8AAAAAAAAAAQAgAAAAIgAAAGRycy9kb3ducmV2LnhtbFBLAQIUABQAAAAIAIdO4kAz&#10;LwWeOwAAADkAAAAQAAAAAAAAAAEAIAAAAA4BAABkcnMvc2hhcGV4bWwueG1sUEsFBgAAAAAGAAYA&#10;WwEAALgDAAAAAA==&#10;">
                        <v:fill on="f" focussize="0,0"/>
                        <v:stroke color="#4A7EBB" joinstyle="round"/>
                        <v:imagedata o:title=""/>
                        <o:lock v:ext="edit" aspectratio="f"/>
                      </v:line>
                      <v:line id="直接连接符 15179" o:spid="_x0000_s1026" o:spt="20" style="position:absolute;left:1506584;top:3314701;height:0;width:72001;rotation:5898240f;" filled="f" stroked="t" coordsize="21600,21600" o:gfxdata="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sJp/T&#10;wAAAANwAAAAPAAAAAAAAAAEAIAAAACIAAABkcnMvZG93bnJldi54bWxQSwECFAAUAAAACACHTuJA&#10;My8FnjsAAAA5AAAAEAAAAAAAAAABACAAAAAPAQAAZHJzL3NoYXBleG1sLnhtbFBLBQYAAAAABgAG&#10;AFsBAAC5AwAAAAA=&#10;">
                        <v:fill on="f" focussize="0,0"/>
                        <v:stroke color="#4A7EBB" joinstyle="round"/>
                        <v:imagedata o:title=""/>
                        <o:lock v:ext="edit" aspectratio="f"/>
                      </v:line>
                      <v:line id="直接连接符 15180" o:spid="_x0000_s1026" o:spt="20" style="position:absolute;left:1350499;top:3314702;height:0;width:72000;rotation:5898240f;" filled="f" stroked="t" coordsize="21600,21600" o:gfxdata="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c9AGkvQAA&#10;ANwAAAAPAAAAAAAAAAEAIAAAACIAAABkcnMvZG93bnJldi54bWxQSwECFAAUAAAACACHTuJAMy8F&#10;njsAAAA5AAAAEAAAAAAAAAABACAAAAAMAQAAZHJzL3NoYXBleG1sLnhtbFBLBQYAAAAABgAGAFsB&#10;AAC2AwAAAAA=&#10;">
                        <v:fill on="f" focussize="0,0"/>
                        <v:stroke color="#4A7EBB" joinstyle="round"/>
                        <v:imagedata o:title=""/>
                        <o:lock v:ext="edit" aspectratio="f"/>
                      </v:line>
                      <v:line id="直接连接符 15181" o:spid="_x0000_s1026" o:spt="20" style="position:absolute;left:1194413;top:3314701;height:0;width:72001;rotation:5898240f;" filled="f" stroked="t" coordsize="21600,21600" o:gfxdata="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zuKQ/&#10;wAAAANwAAAAPAAAAAAAAAAEAIAAAACIAAABkcnMvZG93bnJldi54bWxQSwECFAAUAAAACACHTuJA&#10;My8FnjsAAAA5AAAAEAAAAAAAAAABACAAAAAPAQAAZHJzL3NoYXBleG1sLnhtbFBLBQYAAAAABgAG&#10;AFsBAAC5AwAAAAA=&#10;">
                        <v:fill on="f" focussize="0,0"/>
                        <v:stroke color="#4A7EBB" joinstyle="round"/>
                        <v:imagedata o:title=""/>
                        <o:lock v:ext="edit" aspectratio="f"/>
                      </v:line>
                      <v:line id="直接连接符 15182" o:spid="_x0000_s1026" o:spt="20" style="position:absolute;left:1039914;top:3316288;height:0;width:68825;rotation:5898240f;" filled="f" stroked="t" coordsize="21600,21600" o:gfxdata="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p+uFvbsAAADd&#10;AAAADwAAAAAAAAABACAAAAAiAAAAZHJzL2Rvd25yZXYueG1sUEsBAhQAFAAAAAgAh07iQDMvBZ47&#10;AAAAOQAAABAAAAAAAAAAAQAgAAAACgEAAGRycy9zaGFwZXhtbC54bWxQSwUGAAAAAAYABgBbAQAA&#10;tAMAAAAA&#10;">
                        <v:fill on="f" focussize="0,0"/>
                        <v:stroke color="#4A7EBB" joinstyle="round"/>
                        <v:imagedata o:title=""/>
                        <o:lock v:ext="edit" aspectratio="f"/>
                      </v:line>
                    </v:group>
                  </v:group>
                  <v:group id="组合 15186" o:spid="_x0000_s1026" o:spt="203" style="position:absolute;left:475615;top:200660;height:1446530;width:53340;" coordorigin="0,502920" coordsize="66675,2508069" o:gfxdata="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Ew6DWb0AAADdAAAADwAAAAAAAAABACAAAAAiAAAAZHJzL2Rvd25yZXYueG1s&#10;UEsBAhQAFAAAAAgAh07iQDMvBZ47AAAAOQAAABUAAAAAAAAAAQAgAAAADAEAAGRycy9ncm91cHNo&#10;YXBleG1sLnhtbFBLBQYAAAAABgAGAGABAADJAwAAAAA=&#10;">
                    <o:lock v:ext="edit" aspectratio="f"/>
                    <v:line id="直接连接符 15192" o:spid="_x0000_s1026" o:spt="20" style="position:absolute;left:0;top:502920;height:0;width:66675;" filled="f" stroked="t" coordsize="21600,21600" o:gfxdata="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tHdwL&#10;wAAAAN0AAAAPAAAAAAAAAAEAIAAAACIAAABkcnMvZG93bnJldi54bWxQSwECFAAUAAAACACHTuJA&#10;My8FnjsAAAA5AAAAEAAAAAAAAAABACAAAAAPAQAAZHJzL3NoYXBleG1sLnhtbFBLBQYAAAAABgAG&#10;AFsBAAC5AwAAAAA=&#10;">
                      <v:fill on="f" focussize="0,0"/>
                      <v:stroke color="#4A7EBB" joinstyle="round"/>
                      <v:imagedata o:title=""/>
                      <o:lock v:ext="edit" aspectratio="f"/>
                    </v:line>
                    <v:line id="直接连接符 15193" o:spid="_x0000_s1026" o:spt="20" style="position:absolute;left:0;top:600892;height:0;width:66675;" filled="f" stroked="t" coordsize="21600,21600" o:gfxdata="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JReZC8AAAA&#10;3QAAAA8AAAAAAAAAAQAgAAAAIgAAAGRycy9kb3ducmV2LnhtbFBLAQIUABQAAAAIAIdO4kAzLwWe&#10;OwAAADkAAAAQAAAAAAAAAAEAIAAAAAsBAABkcnMvc2hhcGV4bWwueG1sUEsFBgAAAAAGAAYAWwEA&#10;ALUDAAAAAA==&#10;">
                      <v:fill on="f" focussize="0,0"/>
                      <v:stroke color="#4A7EBB" joinstyle="round"/>
                      <v:imagedata o:title=""/>
                      <o:lock v:ext="edit" aspectratio="f"/>
                    </v:line>
                    <v:line id="直接连接符 15194" o:spid="_x0000_s1026" o:spt="20" style="position:absolute;left:0;top:698863;height:0;width:66675;" filled="f" stroked="t" coordsize="21600,21600" o:gfxdata="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0HGrC/&#10;AAAA3QAAAA8AAAAAAAAAAQAgAAAAIgAAAGRycy9kb3ducmV2LnhtbFBLAQIUABQAAAAIAIdO4kAz&#10;LwWeOwAAADkAAAAQAAAAAAAAAAEAIAAAAA4BAABkcnMvc2hhcGV4bWwueG1sUEsFBgAAAAAGAAYA&#10;WwEAALgDAAAAAA==&#10;">
                      <v:fill on="f" focussize="0,0"/>
                      <v:stroke color="#4A7EBB" joinstyle="round"/>
                      <v:imagedata o:title=""/>
                      <o:lock v:ext="edit" aspectratio="f"/>
                    </v:line>
                    <v:line id="直接连接符 15195" o:spid="_x0000_s1026" o:spt="20" style="position:absolute;left:0;top:803366;height:0;width:66675;" filled="f" stroked="t" coordsize="21600,21600" o:gfxdata="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JLvyu8AAAA&#10;3QAAAA8AAAAAAAAAAQAgAAAAIgAAAGRycy9kb3ducmV2LnhtbFBLAQIUABQAAAAIAIdO4kAzLwWe&#10;OwAAADkAAAAQAAAAAAAAAAEAIAAAAAsBAABkcnMvc2hhcGV4bWwueG1sUEsFBgAAAAAGAAYAWwEA&#10;ALUDAAAAAA==&#10;">
                      <v:fill on="f" focussize="0,0"/>
                      <v:stroke color="#4A7EBB" joinstyle="round"/>
                      <v:imagedata o:title=""/>
                      <o:lock v:ext="edit" aspectratio="f"/>
                    </v:line>
                    <v:line id="直接连接符 15196" o:spid="_x0000_s1026" o:spt="20" style="position:absolute;left:0;top:901338;height:0;width:66675;" filled="f" stroked="t" coordsize="21600,21600" o:gfxdata="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KZIVy8AAAA&#10;3QAAAA8AAAAAAAAAAQAgAAAAIgAAAGRycy9kb3ducmV2LnhtbFBLAQIUABQAAAAIAIdO4kAzLwWe&#10;OwAAADkAAAAQAAAAAAAAAAEAIAAAAAsBAABkcnMvc2hhcGV4bWwueG1sUEsFBgAAAAAGAAYAWwEA&#10;ALUDAAAAAA==&#10;">
                      <v:fill on="f" focussize="0,0"/>
                      <v:stroke color="#4A7EBB" joinstyle="round"/>
                      <v:imagedata o:title=""/>
                      <o:lock v:ext="edit" aspectratio="f"/>
                    </v:line>
                    <v:line id="直接连接符 15197" o:spid="_x0000_s1026" o:spt="20" style="position:absolute;left:0;top:1005840;height:0;width:66675;" filled="f" stroked="t" coordsize="21600,21600" o:gfxdata="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3VhMe8AAAA&#10;3QAAAA8AAAAAAAAAAQAgAAAAIgAAAGRycy9kb3ducmV2LnhtbFBLAQIUABQAAAAIAIdO4kAzLwWe&#10;OwAAADkAAAAQAAAAAAAAAAEAIAAAAAsBAABkcnMvc2hhcGV4bWwueG1sUEsFBgAAAAAGAAYAWwEA&#10;ALUDAAAAAA==&#10;">
                      <v:fill on="f" focussize="0,0"/>
                      <v:stroke color="#4A7EBB" joinstyle="round"/>
                      <v:imagedata o:title=""/>
                      <o:lock v:ext="edit" aspectratio="f"/>
                    </v:line>
                    <v:line id="直接连接符 15198" o:spid="_x0000_s1026" o:spt="20" style="position:absolute;left:0;top:1103812;height:0;width:66675;" filled="f" stroked="t" coordsize="21600,21600" o:gfxdata="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I8HLO8AAAA&#10;3QAAAA8AAAAAAAAAAQAgAAAAIgAAAGRycy9kb3ducmV2LnhtbFBLAQIUABQAAAAIAIdO4kAzLwWe&#10;OwAAADkAAAAQAAAAAAAAAAEAIAAAAAsBAABkcnMvc2hhcGV4bWwueG1sUEsFBgAAAAAGAAYAWwEA&#10;ALUDAAAAAA==&#10;">
                      <v:fill on="f" focussize="0,0"/>
                      <v:stroke color="#4A7EBB" joinstyle="round"/>
                      <v:imagedata o:title=""/>
                      <o:lock v:ext="edit" aspectratio="f"/>
                    </v:line>
                    <v:line id="直接连接符 15199" o:spid="_x0000_s1026" o:spt="20" style="position:absolute;left:0;top:1201783;height:0;width:66675;" filled="f" stroked="t" coordsize="21600,21600" o:gfxdata="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XC5KLsAAADd&#10;AAAADwAAAAAAAAABACAAAAAiAAAAZHJzL2Rvd25yZXYueG1sUEsBAhQAFAAAAAgAh07iQDMvBZ47&#10;AAAAOQAAABAAAAAAAAAAAQAgAAAACgEAAGRycy9zaGFwZXhtbC54bWxQSwUGAAAAAAYABgBbAQAA&#10;tAMAAAAA&#10;">
                      <v:fill on="f" focussize="0,0"/>
                      <v:stroke color="#4A7EBB" joinstyle="round"/>
                      <v:imagedata o:title=""/>
                      <o:lock v:ext="edit" aspectratio="f"/>
                    </v:line>
                    <v:line id="直接连接符 15200" o:spid="_x0000_s1026" o:spt="20" style="position:absolute;left:0;top:1306286;height:0;width:66675;" filled="f" stroked="t" coordsize="21600,21600" o:gfxdata="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2iJ1+8AAAA&#10;3QAAAA8AAAAAAAAAAQAgAAAAIgAAAGRycy9kb3ducmV2LnhtbFBLAQIUABQAAAAIAIdO4kAzLwWe&#10;OwAAADkAAAAQAAAAAAAAAAEAIAAAAAsBAABkcnMvc2hhcGV4bWwueG1sUEsFBgAAAAAGAAYAWwEA&#10;ALUDAAAAAA==&#10;">
                      <v:fill on="f" focussize="0,0"/>
                      <v:stroke color="#4A7EBB" joinstyle="round"/>
                      <v:imagedata o:title=""/>
                      <o:lock v:ext="edit" aspectratio="f"/>
                    </v:line>
                    <v:line id="直接连接符 15201" o:spid="_x0000_s1026" o:spt="20" style="position:absolute;left:0;top:1404258;height:0;width:66675;" filled="f" stroked="t" coordsize="21600,21600" o:gfxdata="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LugsS8AAAA&#10;3QAAAA8AAAAAAAAAAQAgAAAAIgAAAGRycy9kb3ducmV2LnhtbFBLAQIUABQAAAAIAIdO4kAzLwWe&#10;OwAAADkAAAAQAAAAAAAAAAEAIAAAAAsBAABkcnMvc2hhcGV4bWwueG1sUEsFBgAAAAAGAAYAWwEA&#10;ALUDAAAAAA==&#10;">
                      <v:fill on="f" focussize="0,0"/>
                      <v:stroke color="#4A7EBB" joinstyle="round"/>
                      <v:imagedata o:title=""/>
                      <o:lock v:ext="edit" aspectratio="f"/>
                    </v:line>
                    <v:line id="直接连接符 15202" o:spid="_x0000_s1026" o:spt="20" style="position:absolute;left:0;top:1502229;height:0;width:66675;" filled="f" stroked="t" coordsize="21600,21600" o:gfxdata="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NxFra/&#10;AAAA3QAAAA8AAAAAAAAAAQAgAAAAIgAAAGRycy9kb3ducmV2LnhtbFBLAQIUABQAAAAIAIdO4kAz&#10;LwWeOwAAADkAAAAQAAAAAAAAAAEAIAAAAA4BAABkcnMvc2hhcGV4bWwueG1sUEsFBgAAAAAGAAYA&#10;WwEAALgDAAAAAA==&#10;">
                      <v:fill on="f" focussize="0,0"/>
                      <v:stroke color="#4A7EBB" joinstyle="round"/>
                      <v:imagedata o:title=""/>
                      <o:lock v:ext="edit" aspectratio="f"/>
                    </v:line>
                    <v:line id="直接连接符 15203" o:spid="_x0000_s1026" o:spt="20" style="position:absolute;left:0;top:1606732;height:0;width:66675;" filled="f" stroked="t" coordsize="21600,21600" o:gfxdata="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w9sy28AAAA&#10;3QAAAA8AAAAAAAAAAQAgAAAAIgAAAGRycy9kb3ducmV2LnhtbFBLAQIUABQAAAAIAIdO4kAzLwWe&#10;OwAAADkAAAAQAAAAAAAAAAEAIAAAAAsBAABkcnMvc2hhcGV4bWwueG1sUEsFBgAAAAAGAAYAWwEA&#10;ALUDAAAAAA==&#10;">
                      <v:fill on="f" focussize="0,0"/>
                      <v:stroke color="#4A7EBB" joinstyle="round"/>
                      <v:imagedata o:title=""/>
                      <o:lock v:ext="edit" aspectratio="f"/>
                    </v:line>
                    <v:line id="直接连接符 15204" o:spid="_x0000_s1026" o:spt="20" style="position:absolute;left:0;top:1704703;height:0;width:66675;" filled="f" stroked="t" coordsize="21600,21600" o:gfxdata="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Y3oxt&#10;wAAAAN0AAAAPAAAAAAAAAAEAIAAAACIAAABkcnMvZG93bnJldi54bWxQSwECFAAUAAAACACHTuJA&#10;My8FnjsAAAA5AAAAEAAAAAAAAAABACAAAAAPAQAAZHJzL3NoYXBleG1sLnhtbFBLBQYAAAAABgAG&#10;AFsBAAC5AwAAAAA=&#10;">
                      <v:fill on="f" focussize="0,0"/>
                      <v:stroke color="#4A7EBB" joinstyle="round"/>
                      <v:imagedata o:title=""/>
                      <o:lock v:ext="edit" aspectratio="f"/>
                    </v:line>
                    <v:line id="直接连接符 15205" o:spid="_x0000_s1026" o:spt="20" style="position:absolute;left:0;top:1802675;height:0;width:66675;" filled="f" stroked="t" coordsize="21600,21600" o:gfxdata="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eSKfa8AAAA&#10;3QAAAA8AAAAAAAAAAQAgAAAAIgAAAGRycy9kb3ducmV2LnhtbFBLAQIUABQAAAAIAIdO4kAzLwWe&#10;OwAAADkAAAAQAAAAAAAAAAEAIAAAAAsBAABkcnMvc2hhcGV4bWwueG1sUEsFBgAAAAAGAAYAWwEA&#10;ALUDAAAAAA==&#10;">
                      <v:fill on="f" focussize="0,0"/>
                      <v:stroke color="#4A7EBB" joinstyle="round"/>
                      <v:imagedata o:title=""/>
                      <o:lock v:ext="edit" aspectratio="f"/>
                    </v:line>
                    <v:line id="直接连接符 15206" o:spid="_x0000_s1026" o:spt="20" style="position:absolute;left:0;top:1907178;height:0;width:66675;" filled="f" stroked="t" coordsize="21600,21600" o:gfxdata="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dAt4G8AAAA&#10;3QAAAA8AAAAAAAAAAQAgAAAAIgAAAGRycy9kb3ducmV2LnhtbFBLAQIUABQAAAAIAIdO4kAzLwWe&#10;OwAAADkAAAAQAAAAAAAAAAEAIAAAAAsBAABkcnMvc2hhcGV4bWwueG1sUEsFBgAAAAAGAAYAWwEA&#10;ALUDAAAAAA==&#10;">
                      <v:fill on="f" focussize="0,0"/>
                      <v:stroke color="#4A7EBB" joinstyle="round"/>
                      <v:imagedata o:title=""/>
                      <o:lock v:ext="edit" aspectratio="f"/>
                    </v:line>
                    <v:line id="直接连接符 15207" o:spid="_x0000_s1026" o:spt="20" style="position:absolute;left:0;top:2005149;height:0;width:66675;" filled="f" stroked="t" coordsize="21600,21600" o:gfxdata="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gMEhq8AAAA&#10;3QAAAA8AAAAAAAAAAQAgAAAAIgAAAGRycy9kb3ducmV2LnhtbFBLAQIUABQAAAAIAIdO4kAzLwWe&#10;OwAAADkAAAAQAAAAAAAAAAEAIAAAAAsBAABkcnMvc2hhcGV4bWwueG1sUEsFBgAAAAAGAAYAWwEA&#10;ALUDAAAAAA==&#10;">
                      <v:fill on="f" focussize="0,0"/>
                      <v:stroke color="#4A7EBB" joinstyle="round"/>
                      <v:imagedata o:title=""/>
                      <o:lock v:ext="edit" aspectratio="f"/>
                    </v:line>
                    <v:line id="直接连接符 15208" o:spid="_x0000_s1026" o:spt="20" style="position:absolute;left:0;top:2109652;height:0;width:66675;" filled="f" stroked="t" coordsize="21600,21600" o:gfxdata="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flim68AAAA&#10;3QAAAA8AAAAAAAAAAQAgAAAAIgAAAGRycy9kb3ducmV2LnhtbFBLAQIUABQAAAAIAIdO4kAzLwWe&#10;OwAAADkAAAAQAAAAAAAAAAEAIAAAAAsBAABkcnMvc2hhcGV4bWwueG1sUEsFBgAAAAAGAAYAWwEA&#10;ALUDAAAAAA==&#10;">
                      <v:fill on="f" focussize="0,0"/>
                      <v:stroke color="#4A7EBB" joinstyle="round"/>
                      <v:imagedata o:title=""/>
                      <o:lock v:ext="edit" aspectratio="f"/>
                    </v:line>
                    <v:line id="直接连接符 15209" o:spid="_x0000_s1026" o:spt="20" style="position:absolute;left:0;top:2207623;height:0;width:66675;" filled="f" stroked="t" coordsize="21600,21600" o:gfxdata="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Kkv9b4A&#10;AADdAAAADwAAAAAAAAABACAAAAAiAAAAZHJzL2Rvd25yZXYueG1sUEsBAhQAFAAAAAgAh07iQDMv&#10;BZ47AAAAOQAAABAAAAAAAAAAAQAgAAAADQEAAGRycy9zaGFwZXhtbC54bWxQSwUGAAAAAAYABgBb&#10;AQAAtwMAAAAA&#10;">
                      <v:fill on="f" focussize="0,0"/>
                      <v:stroke color="#4A7EBB" joinstyle="round"/>
                      <v:imagedata o:title=""/>
                      <o:lock v:ext="edit" aspectratio="f"/>
                    </v:line>
                    <v:line id="直接连接符 15210" o:spid="_x0000_s1026" o:spt="20" style="position:absolute;left:0;top:2305595;height:0;width:66675;" filled="f" stroked="t" coordsize="21600,21600" o:gfxdata="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h7sYK8AAAA&#10;3QAAAA8AAAAAAAAAAQAgAAAAIgAAAGRycy9kb3ducmV2LnhtbFBLAQIUABQAAAAIAIdO4kAzLwWe&#10;OwAAADkAAAAQAAAAAAAAAAEAIAAAAAsBAABkcnMvc2hhcGV4bWwueG1sUEsFBgAAAAAGAAYAWwEA&#10;ALUDAAAAAA==&#10;">
                      <v:fill on="f" focussize="0,0"/>
                      <v:stroke color="#4A7EBB" joinstyle="round"/>
                      <v:imagedata o:title=""/>
                      <o:lock v:ext="edit" aspectratio="f"/>
                    </v:line>
                    <v:line id="直接连接符 15211" o:spid="_x0000_s1026" o:spt="20" style="position:absolute;left:0;top:2410098;height:0;width:66675;" filled="f" stroked="t" coordsize="21600,21600" o:gfxdata="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XNxQZvQAA&#10;AN0AAAAPAAAAAAAAAAEAIAAAACIAAABkcnMvZG93bnJldi54bWxQSwECFAAUAAAACACHTuJAMy8F&#10;njsAAAA5AAAAEAAAAAAAAAABACAAAAAMAQAAZHJzL3NoYXBleG1sLnhtbFBLBQYAAAAABgAGAFsB&#10;AAC2AwAAAAA=&#10;">
                      <v:fill on="f" focussize="0,0"/>
                      <v:stroke color="#4A7EBB" joinstyle="round"/>
                      <v:imagedata o:title=""/>
                      <o:lock v:ext="edit" aspectratio="f"/>
                    </v:line>
                    <v:line id="直接连接符 15212" o:spid="_x0000_s1026" o:spt="20" style="position:absolute;left:0;top:2508069;height:0;width:66675;" filled="f" stroked="t" coordsize="21600,21600" o:gfxdata="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qIBr&#10;wAAAAN0AAAAPAAAAAAAAAAEAIAAAACIAAABkcnMvZG93bnJldi54bWxQSwECFAAUAAAACACHTuJA&#10;My8FnjsAAAA5AAAAEAAAAAAAAAABACAAAAAPAQAAZHJzL3NoYXBleG1sLnhtbFBLBQYAAAAABgAG&#10;AFsBAAC5AwAAAAA=&#10;">
                      <v:fill on="f" focussize="0,0"/>
                      <v:stroke color="#4A7EBB" joinstyle="round"/>
                      <v:imagedata o:title=""/>
                      <o:lock v:ext="edit" aspectratio="f"/>
                    </v:line>
                    <v:line id="直接连接符 15213" o:spid="_x0000_s1026" o:spt="20" style="position:absolute;left:0;top:2606040;height:0;width:66675;" filled="f" stroked="t" coordsize="21600,21600" o:gfxdata="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nkJfC8AAAA&#10;3QAAAA8AAAAAAAAAAQAgAAAAIgAAAGRycy9kb3ducmV2LnhtbFBLAQIUABQAAAAIAIdO4kAzLwWe&#10;OwAAADkAAAAQAAAAAAAAAAEAIAAAAAsBAABkcnMvc2hhcGV4bWwueG1sUEsFBgAAAAAGAAYAWwEA&#10;ALUDAAAAAA==&#10;">
                      <v:fill on="f" focussize="0,0"/>
                      <v:stroke color="#4A7EBB" joinstyle="round"/>
                      <v:imagedata o:title=""/>
                      <o:lock v:ext="edit" aspectratio="f"/>
                    </v:line>
                    <v:line id="直接连接符 15214" o:spid="_x0000_s1026" o:spt="20" style="position:absolute;left:0;top:2710543;height:0;width:66675;" filled="f" stroked="t" coordsize="21600,21600" o:gfxdata="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A2P8Q&#10;wAAAAN0AAAAPAAAAAAAAAAEAIAAAACIAAABkcnMvZG93bnJldi54bWxQSwECFAAUAAAACACHTuJA&#10;My8FnjsAAAA5AAAAEAAAAAAAAAABACAAAAAPAQAAZHJzL3NoYXBleG1sLnhtbFBLBQYAAAAABgAG&#10;AFsBAAC5AwAAAAA=&#10;">
                      <v:fill on="f" focussize="0,0"/>
                      <v:stroke color="#4A7EBB" joinstyle="round"/>
                      <v:imagedata o:title=""/>
                      <o:lock v:ext="edit" aspectratio="f"/>
                    </v:line>
                    <v:line id="直接连接符 15215" o:spid="_x0000_s1026" o:spt="20" style="position:absolute;left:0;top:2808515;height:0;width:66675;" filled="f" stroked="t" coordsize="21600,21600" o:gfxdata="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UWou8AAAA&#10;3QAAAA8AAAAAAAAAAQAgAAAAIgAAAGRycy9kb3ducmV2LnhtbFBLAQIUABQAAAAIAIdO4kAzLwWe&#10;OwAAADkAAAAQAAAAAAAAAAEAIAAAAAsBAABkcnMvc2hhcGV4bWwueG1sUEsFBgAAAAAGAAYAWwEA&#10;ALUDAAAAAA==&#10;">
                      <v:fill on="f" focussize="0,0"/>
                      <v:stroke color="#4A7EBB" joinstyle="round"/>
                      <v:imagedata o:title=""/>
                      <o:lock v:ext="edit" aspectratio="f"/>
                    </v:line>
                    <v:line id="直接连接符 15216" o:spid="_x0000_s1026" o:spt="20" style="position:absolute;left:0;top:2906486;height:0;width:66675;" filled="f" stroked="t" coordsize="21600,21600" o:gfxdata="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9GxPy8AAAA&#10;3QAAAA8AAAAAAAAAAQAgAAAAIgAAAGRycy9kb3ducmV2LnhtbFBLAQIUABQAAAAIAIdO4kAzLwWe&#10;OwAAADkAAAAQAAAAAAAAAAEAIAAAAAsBAABkcnMvc2hhcGV4bWwueG1sUEsFBgAAAAAGAAYAWwEA&#10;ALUDAAAAAA==&#10;">
                      <v:fill on="f" focussize="0,0"/>
                      <v:stroke color="#4A7EBB" joinstyle="round"/>
                      <v:imagedata o:title=""/>
                      <o:lock v:ext="edit" aspectratio="f"/>
                    </v:line>
                    <v:line id="直接连接符 15217" o:spid="_x0000_s1026" o:spt="20" style="position:absolute;left:0;top:3010989;height:0;width:66040;" filled="f" stroked="t" coordsize="21600,21600" o:gfxdata="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AKYWe8AAAA&#10;3QAAAA8AAAAAAAAAAQAgAAAAIgAAAGRycy9kb3ducmV2LnhtbFBLAQIUABQAAAAIAIdO4kAzLwWe&#10;OwAAADkAAAAQAAAAAAAAAAEAIAAAAAsBAABkcnMvc2hhcGV4bWwueG1sUEsFBgAAAAAGAAYAWwEA&#10;ALUDAAAAAA==&#10;">
                      <v:fill on="f" focussize="0,0"/>
                      <v:stroke color="#4A7EBB" joinstyle="round"/>
                      <v:imagedata o:title=""/>
                      <o:lock v:ext="edit" aspectratio="f"/>
                    </v:line>
                  </v:group>
                  <v:shape id="TextBox 116" o:spid="_x0000_s1026" o:spt="202" type="#_x0000_t202" style="position:absolute;left:943610;top:585470;height:210820;width:738505;" filled="f" stroked="f" coordsize="21600,21600" o:gfxdata="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cPHu8AAAA&#10;3QAAAA8AAAAAAAAAAQAgAAAAIgAAAGRycy9kb3ducmV2LnhtbFBLAQIUABQAAAAIAIdO4kAzLwWe&#10;OwAAADkAAAAQAAAAAAAAAAEAIAAAAAsBAABkcnMvc2hhcGV4bWwueG1sUEsFBgAAAAAGAAYAWwEA&#10;ALUDA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shd w:val="clear" w:color="auto" w:fill="FFFFFF"/>
                            </w:rPr>
                          </w:pPr>
                          <w:r>
                            <w:rPr>
                              <w:rFonts w:hint="eastAsia" w:ascii="Times New Roman" w:hAnsi="Times New Roman" w:cs="Times New Roman"/>
                              <w:color w:val="000000"/>
                              <w:sz w:val="15"/>
                              <w:szCs w:val="15"/>
                              <w:shd w:val="clear" w:color="auto" w:fill="FFFFFF"/>
                              <w:lang w:val="el-GR"/>
                            </w:rPr>
                            <w:t>回归直线</w:t>
                          </w:r>
                        </w:p>
                      </w:txbxContent>
                    </v:textbox>
                  </v:shape>
                </v:group>
                <v:line id="直接连接符 15225" o:spid="_x0000_s1026" o:spt="20" style="position:absolute;left:800418;top:292379;flip:y;height:1038224;width:1514475;" filled="f" stroked="t" coordsize="21600,21600" o:gfxdata="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AbwnmPaAAAACgEAAA8AAAAAAAAAAQAgAAAAIgAAAGRycy9kb3ducmV2LnhtbFBL&#10;AQIUABQAAAAIAIdO4kDQ+jQT9AEAAKQDAAAOAAAAAAAAAAEAIAAAACkBAABkcnMvZTJvRG9jLnht&#10;bFBLBQYAAAAABgAGAFkBAACPBQAAAAA=&#10;">
                  <v:fill on="f" focussize="0,0"/>
                  <v:stroke color="#4A7EBB" joinstyle="round"/>
                  <v:imagedata o:title=""/>
                  <o:lock v:ext="edit" aspectratio="f"/>
                </v:line>
                <v:shape id="椭圆 15226" o:spid="_x0000_s1026" o:spt="3" type="#_x0000_t3" style="position:absolute;left:1376680;top:911502;height:18000;width:18000;v-text-anchor:middle;" fillcolor="#4F81BD" filled="t" stroked="t" coordsize="21600,21600" o:gfxdata="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cNE2pNkAAAAKAQAADwAAAAAAAAAB&#10;ACAAAAAiAAAAZHJzL2Rvd25yZXYueG1sUEsBAhQAFAAAAAgAh07iQHMe675IAgAAggQAAA4AAAAA&#10;AAAAAQAgAAAAKAEAAGRycy9lMm9Eb2MueG1sUEsFBgAAAAAGAAYAWQEAAOIFAAAAAA==&#10;">
                  <v:fill on="t" focussize="0,0"/>
                  <v:stroke weight="2pt" color="#385D8A" joinstyle="round"/>
                  <v:imagedata o:title=""/>
                  <o:lock v:ext="edit" aspectratio="f"/>
                </v:shape>
                <v:shape id="椭圆 4155" o:spid="_x0000_s1026" o:spt="3" type="#_x0000_t3" style="position:absolute;left:1809093;top:624777;height:17780;width:17780;v-text-anchor:middle;" fillcolor="#4F81BD" filled="t" stroked="t" coordsize="21600,21600" o:gfxdata="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Bw0Tak2QAAAAoBAAAPAAAA&#10;AAAAAAEAIAAAACIAAABkcnMvZG93bnJldi54bWxQSwECFAAUAAAACACHTuJAjUT/E00CAACMBAAA&#10;DgAAAAAAAAABACAAAAAoAQAAZHJzL2Uyb0RvYy54bWxQSwUGAAAAAAYABgBZAQAA5wUAAAAA&#10;">
                  <v:fill on="t" focussize="0,0"/>
                  <v:stroke weight="2pt" color="#385D8A" joinstyle="round"/>
                  <v:imagedata o:title=""/>
                  <o:lock v:ext="edit" aspectratio="f"/>
                  <v:textbox>
                    <w:txbxContent>
                      <w:p/>
                    </w:txbxContent>
                  </v:textbox>
                </v:shape>
                <v:shape id="椭圆 4156" o:spid="_x0000_s1026" o:spt="3" type="#_x0000_t3" style="position:absolute;left:2223431;top:334265;height:17780;width:17780;v-text-anchor:middle;" fillcolor="#4F81BD" filled="t" stroked="t" coordsize="21600,21600" o:gfxdata="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cNE2pNkAAAAKAQAADwAA&#10;AAAAAAABACAAAAAiAAAAZHJzL2Rvd25yZXYueG1sUEsBAhQAFAAAAAgAh07iQNjxNJ5OAgAAjAQA&#10;AA4AAAAAAAAAAQAgAAAAKAEAAGRycy9lMm9Eb2MueG1sUEsFBgAAAAAGAAYAWQEAAOgFAAAAAA==&#10;">
                  <v:fill on="t" focussize="0,0"/>
                  <v:stroke weight="2pt" color="#385D8A" joinstyle="round"/>
                  <v:imagedata o:title=""/>
                  <o:lock v:ext="edit" aspectratio="f"/>
                  <v:textbox>
                    <w:txbxContent>
                      <w:p/>
                    </w:txbxContent>
                  </v:textbox>
                </v:shape>
                <v:shape id="椭圆 4157" o:spid="_x0000_s1026" o:spt="3" type="#_x0000_t3" style="position:absolute;left:956605;top:1215327;height:17780;width:17780;v-text-anchor:middle;" fillcolor="#4F81BD" filled="t" stroked="t" coordsize="21600,21600" o:gfxdata="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cNE2pNkAAAAKAQAADwAA&#10;AAAAAAABACAAAAAiAAAAZHJzL2Rvd25yZXYueG1sUEsBAhQAFAAAAAgAh07iQEn0svROAgAAjAQA&#10;AA4AAAAAAAAAAQAgAAAAKAEAAGRycy9lMm9Eb2MueG1sUEsFBgAAAAAGAAYAWQEAAOgFAAAAAA==&#10;">
                  <v:fill on="t" focussize="0,0"/>
                  <v:stroke weight="2pt" color="#385D8A" joinstyle="round"/>
                  <v:imagedata o:title=""/>
                  <o:lock v:ext="edit" aspectratio="f"/>
                  <v:textbox>
                    <w:txbxContent>
                      <w:p/>
                    </w:txbxContent>
                  </v:textbox>
                </v:shape>
                <v:shape id="Text Box 1098" o:spid="_x0000_s1026" o:spt="202" type="#_x0000_t202" style="position:absolute;left:48895;top:177165;height:718185;width:196850;" filled="f" stroked="f" coordsize="21600,21600" o:gfxdata="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Bufc/LXAAAACgEAAA8AAAAAAAAAAQAgAAAAIgAA&#10;AGRycy9kb3ducmV2LnhtbFBLAQIUABQAAAAIAIdO4kDg3q3/CQIAABUEAAAOAAAAAAAAAAEAIAAA&#10;ACYBAABkcnMvZTJvRG9jLnhtbFBLBQYAAAAABgAGAFkBAAChBQAAAAA=&#10;">
                  <v:fill on="f" focussize="0,0"/>
                  <v:stroke on="f"/>
                  <v:imagedata o:title=""/>
                  <o:lock v:ext="edit" aspectratio="f"/>
                  <v:textbox inset="0mm,0mm,0mm,0mm" style="layout-flow:vertical;mso-layout-flow-alt:bottom-to-top;">
                    <w:txbxContent>
                      <w:p>
                        <w:pPr>
                          <w:pStyle w:val="6"/>
                          <w:rPr>
                            <w:rFonts w:ascii="Times New Roman" w:hAnsi="Times New Roman"/>
                          </w:rPr>
                        </w:pPr>
                        <w:r>
                          <w:rPr>
                            <w:rFonts w:ascii="Times New Roman" w:hAnsi="Times New Roman"/>
                          </w:rPr>
                          <w:t>距离(cm）</w:t>
                        </w:r>
                      </w:p>
                    </w:txbxContent>
                  </v:textbox>
                </v:shape>
                <w10:wrap type="square" side="right"/>
              </v:group>
            </w:pict>
          </mc:Fallback>
        </mc:AlternateContent>
      </w:r>
      <w:r>
        <w:rPr>
          <w:rFonts w:hint="eastAsia" w:ascii="黑体" w:hAnsi="黑体" w:eastAsia="黑体" w:cs="黑体"/>
        </w:rPr>
        <mc:AlternateContent>
          <mc:Choice Requires="wpc">
            <w:drawing>
              <wp:anchor distT="0" distB="0" distL="114300" distR="114300" simplePos="0" relativeHeight="251665408" behindDoc="0" locked="0" layoutInCell="1" allowOverlap="1">
                <wp:simplePos x="0" y="0"/>
                <wp:positionH relativeFrom="column">
                  <wp:posOffset>-10160</wp:posOffset>
                </wp:positionH>
                <wp:positionV relativeFrom="paragraph">
                  <wp:posOffset>101600</wp:posOffset>
                </wp:positionV>
                <wp:extent cx="3077845" cy="2225675"/>
                <wp:effectExtent l="0" t="0" r="0" b="0"/>
                <wp:wrapSquare wrapText="left"/>
                <wp:docPr id="903" name="画布 15309"/>
                <wp:cNvGraphicFramePr/>
                <a:graphic xmlns:a="http://schemas.openxmlformats.org/drawingml/2006/main">
                  <a:graphicData uri="http://schemas.microsoft.com/office/word/2010/wordprocessingCanvas">
                    <wpc:wpc>
                      <wpc:bg>
                        <a:noFill/>
                      </wpc:bg>
                      <wpc:whole>
                        <a:ln>
                          <a:noFill/>
                        </a:ln>
                      </wpc:whole>
                      <wpg:wgp>
                        <wpg:cNvPr id="673" name="组合 15228"/>
                        <wpg:cNvGrpSpPr/>
                        <wpg:grpSpPr>
                          <a:xfrm>
                            <a:off x="112395" y="63500"/>
                            <a:ext cx="503555" cy="1694815"/>
                            <a:chOff x="567096" y="761276"/>
                            <a:chExt cx="825101" cy="2942943"/>
                          </a:xfrm>
                        </wpg:grpSpPr>
                        <wps:wsp>
                          <wps:cNvPr id="674" name="TextBox 118"/>
                          <wps:cNvSpPr txBox="1">
                            <a:spLocks noChangeArrowheads="1"/>
                          </wps:cNvSpPr>
                          <wps:spPr bwMode="auto">
                            <a:xfrm>
                              <a:off x="687025" y="761276"/>
                              <a:ext cx="609790" cy="435233"/>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ascii="Times New Roman" w:hAnsi="Times New Roman" w:cs="Times New Roman"/>
                                    <w:color w:val="000000"/>
                                    <w:sz w:val="15"/>
                                    <w:szCs w:val="15"/>
                                  </w:rPr>
                                  <w:t>0.10</w:t>
                                </w:r>
                              </w:p>
                            </w:txbxContent>
                          </wps:txbx>
                          <wps:bodyPr rot="0" vert="horz" wrap="square" lIns="91440" tIns="45720" rIns="91440" bIns="45720" anchor="t" anchorCtr="0" upright="1">
                            <a:noAutofit/>
                          </wps:bodyPr>
                        </wps:wsp>
                        <wps:wsp>
                          <wps:cNvPr id="675" name="TextBox 119"/>
                          <wps:cNvSpPr txBox="1">
                            <a:spLocks noChangeArrowheads="1"/>
                          </wps:cNvSpPr>
                          <wps:spPr bwMode="auto">
                            <a:xfrm>
                              <a:off x="687025" y="1260596"/>
                              <a:ext cx="609790" cy="334865"/>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ascii="Times New Roman" w:hAnsi="Times New Roman" w:cs="Times New Roman"/>
                                    <w:color w:val="000000"/>
                                    <w:sz w:val="15"/>
                                    <w:szCs w:val="15"/>
                                  </w:rPr>
                                  <w:t>0.05</w:t>
                                </w:r>
                              </w:p>
                            </w:txbxContent>
                          </wps:txbx>
                          <wps:bodyPr rot="0" vert="horz" wrap="square" lIns="91440" tIns="45720" rIns="91440" bIns="45720" anchor="t" anchorCtr="0" upright="1">
                            <a:noAutofit/>
                          </wps:bodyPr>
                        </wps:wsp>
                        <wps:wsp>
                          <wps:cNvPr id="676" name="TextBox 120"/>
                          <wps:cNvSpPr txBox="1">
                            <a:spLocks noChangeArrowheads="1"/>
                          </wps:cNvSpPr>
                          <wps:spPr bwMode="auto">
                            <a:xfrm>
                              <a:off x="782407" y="1739544"/>
                              <a:ext cx="609790" cy="339141"/>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ascii="Times New Roman" w:hAnsi="Times New Roman" w:cs="Times New Roman"/>
                                    <w:color w:val="000000"/>
                                    <w:sz w:val="15"/>
                                    <w:szCs w:val="15"/>
                                  </w:rPr>
                                  <w:t>0</w:t>
                                </w:r>
                              </w:p>
                            </w:txbxContent>
                          </wps:txbx>
                          <wps:bodyPr rot="0" vert="horz" wrap="square" lIns="91440" tIns="45720" rIns="91440" bIns="45720" anchor="t" anchorCtr="0" upright="1">
                            <a:noAutofit/>
                          </wps:bodyPr>
                        </wps:wsp>
                        <wps:wsp>
                          <wps:cNvPr id="677" name="TextBox 121"/>
                          <wps:cNvSpPr txBox="1">
                            <a:spLocks noChangeArrowheads="1"/>
                          </wps:cNvSpPr>
                          <wps:spPr bwMode="auto">
                            <a:xfrm>
                              <a:off x="567096" y="2271940"/>
                              <a:ext cx="719306" cy="343416"/>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ascii="Times New Roman" w:hAnsi="Times New Roman" w:cs="Times New Roman"/>
                                    <w:color w:val="000000"/>
                                    <w:sz w:val="15"/>
                                    <w:szCs w:val="15"/>
                                  </w:rPr>
                                  <w:t>-0.0</w:t>
                                </w:r>
                                <w:r>
                                  <w:rPr>
                                    <w:rFonts w:hint="eastAsia" w:ascii="Times New Roman" w:hAnsi="Times New Roman" w:cs="Times New Roman"/>
                                    <w:color w:val="000000"/>
                                    <w:sz w:val="15"/>
                                    <w:szCs w:val="15"/>
                                  </w:rPr>
                                  <w:t>5</w:t>
                                </w:r>
                              </w:p>
                            </w:txbxContent>
                          </wps:txbx>
                          <wps:bodyPr rot="0" vert="horz" wrap="square" lIns="91440" tIns="45720" rIns="91440" bIns="45720" anchor="t" anchorCtr="0" upright="1">
                            <a:noAutofit/>
                          </wps:bodyPr>
                        </wps:wsp>
                        <wps:wsp>
                          <wps:cNvPr id="678" name="TextBox 122"/>
                          <wps:cNvSpPr txBox="1">
                            <a:spLocks noChangeArrowheads="1"/>
                          </wps:cNvSpPr>
                          <wps:spPr bwMode="auto">
                            <a:xfrm>
                              <a:off x="573175" y="2758560"/>
                              <a:ext cx="723642" cy="445794"/>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ascii="Times New Roman" w:hAnsi="Times New Roman" w:cs="Times New Roman"/>
                                    <w:color w:val="000000"/>
                                    <w:sz w:val="15"/>
                                    <w:szCs w:val="15"/>
                                  </w:rPr>
                                  <w:t>-0.10</w:t>
                                </w:r>
                              </w:p>
                            </w:txbxContent>
                          </wps:txbx>
                          <wps:bodyPr rot="0" vert="horz" wrap="square" lIns="91440" tIns="45720" rIns="91440" bIns="45720" anchor="t" anchorCtr="0" upright="1">
                            <a:noAutofit/>
                          </wps:bodyPr>
                        </wps:wsp>
                        <wps:wsp>
                          <wps:cNvPr id="679" name="TextBox 123"/>
                          <wps:cNvSpPr txBox="1">
                            <a:spLocks noChangeArrowheads="1"/>
                          </wps:cNvSpPr>
                          <wps:spPr bwMode="auto">
                            <a:xfrm>
                              <a:off x="573175" y="3257885"/>
                              <a:ext cx="723642" cy="446334"/>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ascii="Times New Roman" w:hAnsi="Times New Roman" w:cs="Times New Roman"/>
                                    <w:color w:val="000000"/>
                                    <w:sz w:val="15"/>
                                    <w:szCs w:val="15"/>
                                  </w:rPr>
                                  <w:t>-0.15</w:t>
                                </w:r>
                              </w:p>
                            </w:txbxContent>
                          </wps:txbx>
                          <wps:bodyPr rot="0" vert="horz" wrap="square" lIns="91440" tIns="45720" rIns="91440" bIns="45720" anchor="t" anchorCtr="0" upright="1">
                            <a:noAutofit/>
                          </wps:bodyPr>
                        </wps:wsp>
                      </wpg:wgp>
                      <wpg:wgp>
                        <wpg:cNvPr id="680" name="组合 4132"/>
                        <wpg:cNvGrpSpPr/>
                        <wpg:grpSpPr>
                          <a:xfrm>
                            <a:off x="337185" y="1599565"/>
                            <a:ext cx="2694305" cy="260985"/>
                            <a:chOff x="890124" y="3531869"/>
                            <a:chExt cx="4663158" cy="409653"/>
                          </a:xfrm>
                        </wpg:grpSpPr>
                        <wps:wsp>
                          <wps:cNvPr id="681" name="直接连接符 4133"/>
                          <wps:cNvCnPr/>
                          <wps:spPr bwMode="auto">
                            <a:xfrm>
                              <a:off x="1469471" y="3805834"/>
                              <a:ext cx="66803" cy="0"/>
                            </a:xfrm>
                            <a:prstGeom prst="line">
                              <a:avLst/>
                            </a:prstGeom>
                            <a:noFill/>
                            <a:ln>
                              <a:noFill/>
                            </a:ln>
                          </wps:spPr>
                          <wps:bodyPr/>
                        </wps:wsp>
                        <wps:wsp>
                          <wps:cNvPr id="682" name="TextBox 117"/>
                          <wps:cNvSpPr txBox="1">
                            <a:spLocks noChangeArrowheads="1"/>
                          </wps:cNvSpPr>
                          <wps:spPr bwMode="auto">
                            <a:xfrm>
                              <a:off x="4943491" y="3531869"/>
                              <a:ext cx="609791" cy="409653"/>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ascii="Times New Roman" w:hAnsi="Times New Roman" w:cs="Times New Roman"/>
                                    <w:color w:val="000000"/>
                                    <w:sz w:val="15"/>
                                    <w:szCs w:val="15"/>
                                  </w:rPr>
                                  <w:t>200</w:t>
                                </w:r>
                              </w:p>
                            </w:txbxContent>
                          </wps:txbx>
                          <wps:bodyPr rot="0" vert="horz" wrap="square" lIns="91440" tIns="45720" rIns="91440" bIns="45720" anchor="t" anchorCtr="0" upright="1">
                            <a:noAutofit/>
                          </wps:bodyPr>
                        </wps:wsp>
                        <wps:wsp>
                          <wps:cNvPr id="683" name="TextBox 125"/>
                          <wps:cNvSpPr txBox="1">
                            <a:spLocks noChangeArrowheads="1"/>
                          </wps:cNvSpPr>
                          <wps:spPr bwMode="auto">
                            <a:xfrm>
                              <a:off x="3243869" y="3531871"/>
                              <a:ext cx="609791" cy="347759"/>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ascii="Times New Roman" w:hAnsi="Times New Roman" w:cs="Times New Roman"/>
                                    <w:color w:val="000000"/>
                                    <w:sz w:val="15"/>
                                    <w:szCs w:val="15"/>
                                  </w:rPr>
                                  <w:t>140</w:t>
                                </w:r>
                              </w:p>
                            </w:txbxContent>
                          </wps:txbx>
                          <wps:bodyPr rot="0" vert="horz" wrap="square" lIns="91440" tIns="45720" rIns="91440" bIns="45720" anchor="t" anchorCtr="0" upright="1">
                            <a:noAutofit/>
                          </wps:bodyPr>
                        </wps:wsp>
                        <wps:wsp>
                          <wps:cNvPr id="684" name="TextBox 126"/>
                          <wps:cNvSpPr txBox="1">
                            <a:spLocks noChangeArrowheads="1"/>
                          </wps:cNvSpPr>
                          <wps:spPr bwMode="auto">
                            <a:xfrm>
                              <a:off x="3823217" y="3531871"/>
                              <a:ext cx="609791" cy="347759"/>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ascii="Times New Roman" w:hAnsi="Times New Roman" w:cs="Times New Roman"/>
                                    <w:color w:val="000000"/>
                                    <w:sz w:val="15"/>
                                    <w:szCs w:val="15"/>
                                  </w:rPr>
                                  <w:t>160</w:t>
                                </w:r>
                              </w:p>
                            </w:txbxContent>
                          </wps:txbx>
                          <wps:bodyPr rot="0" vert="horz" wrap="square" lIns="91440" tIns="45720" rIns="91440" bIns="45720" anchor="t" anchorCtr="0" upright="1">
                            <a:noAutofit/>
                          </wps:bodyPr>
                        </wps:wsp>
                        <wps:wsp>
                          <wps:cNvPr id="685" name="TextBox 127"/>
                          <wps:cNvSpPr txBox="1">
                            <a:spLocks noChangeArrowheads="1"/>
                          </wps:cNvSpPr>
                          <wps:spPr bwMode="auto">
                            <a:xfrm>
                              <a:off x="4402563" y="3531871"/>
                              <a:ext cx="609791" cy="347759"/>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ascii="Times New Roman" w:hAnsi="Times New Roman" w:cs="Times New Roman"/>
                                    <w:color w:val="000000"/>
                                    <w:sz w:val="15"/>
                                    <w:szCs w:val="15"/>
                                  </w:rPr>
                                  <w:t>180</w:t>
                                </w:r>
                              </w:p>
                            </w:txbxContent>
                          </wps:txbx>
                          <wps:bodyPr rot="0" vert="horz" wrap="square" lIns="91440" tIns="45720" rIns="91440" bIns="45720" anchor="t" anchorCtr="0" upright="1">
                            <a:noAutofit/>
                          </wps:bodyPr>
                        </wps:wsp>
                        <wps:wsp>
                          <wps:cNvPr id="686" name="TextBox 128"/>
                          <wps:cNvSpPr txBox="1">
                            <a:spLocks noChangeArrowheads="1"/>
                          </wps:cNvSpPr>
                          <wps:spPr bwMode="auto">
                            <a:xfrm>
                              <a:off x="890124" y="3531869"/>
                              <a:ext cx="609791" cy="347761"/>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ascii="Times New Roman" w:hAnsi="Times New Roman" w:cs="Times New Roman"/>
                                    <w:color w:val="000000"/>
                                    <w:sz w:val="15"/>
                                    <w:szCs w:val="15"/>
                                  </w:rPr>
                                  <w:t>60</w:t>
                                </w:r>
                              </w:p>
                            </w:txbxContent>
                          </wps:txbx>
                          <wps:bodyPr rot="0" vert="horz" wrap="square" lIns="91440" tIns="45720" rIns="91440" bIns="45720" anchor="t" anchorCtr="0" upright="1">
                            <a:noAutofit/>
                          </wps:bodyPr>
                        </wps:wsp>
                        <wps:wsp>
                          <wps:cNvPr id="687" name="TextBox 129"/>
                          <wps:cNvSpPr txBox="1">
                            <a:spLocks noChangeArrowheads="1"/>
                          </wps:cNvSpPr>
                          <wps:spPr bwMode="auto">
                            <a:xfrm>
                              <a:off x="1505830" y="3531871"/>
                              <a:ext cx="609791" cy="347759"/>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rPr>
                                </w:pPr>
                              </w:p>
                            </w:txbxContent>
                          </wps:txbx>
                          <wps:bodyPr rot="0" vert="horz" wrap="square" lIns="91440" tIns="45720" rIns="91440" bIns="45720" anchor="t" anchorCtr="0" upright="1">
                            <a:noAutofit/>
                          </wps:bodyPr>
                        </wps:wsp>
                        <wps:wsp>
                          <wps:cNvPr id="688" name="TextBox 130"/>
                          <wps:cNvSpPr txBox="1">
                            <a:spLocks noChangeArrowheads="1"/>
                          </wps:cNvSpPr>
                          <wps:spPr bwMode="auto">
                            <a:xfrm>
                              <a:off x="2085176" y="3531871"/>
                              <a:ext cx="609791" cy="347759"/>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rPr>
                                </w:pPr>
                              </w:p>
                            </w:txbxContent>
                          </wps:txbx>
                          <wps:bodyPr rot="0" vert="horz" wrap="square" lIns="91440" tIns="45720" rIns="91440" bIns="45720" anchor="t" anchorCtr="0" upright="1">
                            <a:noAutofit/>
                          </wps:bodyPr>
                        </wps:wsp>
                        <wps:wsp>
                          <wps:cNvPr id="689" name="TextBox 131"/>
                          <wps:cNvSpPr txBox="1">
                            <a:spLocks noChangeArrowheads="1"/>
                          </wps:cNvSpPr>
                          <wps:spPr bwMode="auto">
                            <a:xfrm>
                              <a:off x="2664523" y="3531871"/>
                              <a:ext cx="609791" cy="347759"/>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rPr>
                                </w:pPr>
                              </w:p>
                            </w:txbxContent>
                          </wps:txbx>
                          <wps:bodyPr rot="0" vert="horz" wrap="square" lIns="91440" tIns="45720" rIns="91440" bIns="45720" anchor="t" anchorCtr="0" upright="1">
                            <a:noAutofit/>
                          </wps:bodyPr>
                        </wps:wsp>
                      </wpg:wgp>
                      <wps:wsp>
                        <wps:cNvPr id="690" name="TextBox 124"/>
                        <wps:cNvSpPr txBox="1">
                          <a:spLocks noChangeArrowheads="1"/>
                        </wps:cNvSpPr>
                        <wps:spPr bwMode="auto">
                          <a:xfrm>
                            <a:off x="2216785" y="1758315"/>
                            <a:ext cx="693420" cy="222885"/>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rPr>
                              </w:pPr>
                            </w:p>
                          </w:txbxContent>
                        </wps:txbx>
                        <wps:bodyPr rot="0" vert="horz" wrap="square" lIns="91440" tIns="45720" rIns="91440" bIns="45720" anchor="t" anchorCtr="0" upright="1">
                          <a:noAutofit/>
                        </wps:bodyPr>
                      </wps:wsp>
                      <wps:wsp>
                        <wps:cNvPr id="691" name="TextBox 124"/>
                        <wps:cNvSpPr txBox="1">
                          <a:spLocks noChangeArrowheads="1"/>
                        </wps:cNvSpPr>
                        <wps:spPr bwMode="auto">
                          <a:xfrm>
                            <a:off x="623570" y="1915795"/>
                            <a:ext cx="2014220" cy="290830"/>
                          </a:xfrm>
                          <a:prstGeom prst="rect">
                            <a:avLst/>
                          </a:prstGeom>
                          <a:noFill/>
                          <a:ln>
                            <a:noFill/>
                          </a:ln>
                        </wps:spPr>
                        <wps:txbx>
                          <w:txbxContent>
                            <w:p>
                              <w:pPr>
                                <w:pStyle w:val="18"/>
                                <w:spacing w:before="0" w:beforeAutospacing="0" w:after="0" w:afterAutospacing="0"/>
                                <w:jc w:val="center"/>
                                <w:rPr>
                                  <w:rFonts w:ascii="Times New Roman" w:hAnsi="Times New Roman" w:eastAsia="黑体" w:cs="Times New Roman"/>
                                  <w:sz w:val="18"/>
                                  <w:szCs w:val="18"/>
                                </w:rPr>
                              </w:pPr>
                            </w:p>
                          </w:txbxContent>
                        </wps:txbx>
                        <wps:bodyPr rot="0" vert="horz" wrap="square" lIns="91440" tIns="45720" rIns="91440" bIns="45720" anchor="t" anchorCtr="0" upright="1">
                          <a:noAutofit/>
                        </wps:bodyPr>
                      </wps:wsp>
                      <wpg:wgp>
                        <wpg:cNvPr id="692" name="组合 4145"/>
                        <wpg:cNvGrpSpPr/>
                        <wpg:grpSpPr>
                          <a:xfrm>
                            <a:off x="521335" y="138430"/>
                            <a:ext cx="2363470" cy="1452245"/>
                            <a:chOff x="1143224" y="855863"/>
                            <a:chExt cx="4056345" cy="2514333"/>
                          </a:xfrm>
                        </wpg:grpSpPr>
                        <wps:wsp>
                          <wps:cNvPr id="693" name="直接连接符 4146"/>
                          <wps:cNvCnPr/>
                          <wps:spPr bwMode="auto">
                            <a:xfrm>
                              <a:off x="1151997" y="3367704"/>
                              <a:ext cx="4038694" cy="0"/>
                            </a:xfrm>
                            <a:prstGeom prst="line">
                              <a:avLst/>
                            </a:prstGeom>
                            <a:noFill/>
                            <a:ln w="9525" algn="ctr">
                              <a:solidFill>
                                <a:srgbClr val="000001"/>
                              </a:solidFill>
                              <a:round/>
                            </a:ln>
                          </wps:spPr>
                          <wps:bodyPr/>
                        </wps:wsp>
                        <wps:wsp>
                          <wps:cNvPr id="694" name="直接连接符 4147"/>
                          <wps:cNvCnPr/>
                          <wps:spPr bwMode="auto">
                            <a:xfrm>
                              <a:off x="1149464" y="861417"/>
                              <a:ext cx="4046582" cy="0"/>
                            </a:xfrm>
                            <a:prstGeom prst="line">
                              <a:avLst/>
                            </a:prstGeom>
                            <a:noFill/>
                            <a:ln w="9525" algn="ctr">
                              <a:solidFill>
                                <a:srgbClr val="000001"/>
                              </a:solidFill>
                              <a:round/>
                            </a:ln>
                          </wps:spPr>
                          <wps:bodyPr/>
                        </wps:wsp>
                        <wps:wsp>
                          <wps:cNvPr id="695" name="直接连接符 4149"/>
                          <wps:cNvCnPr/>
                          <wps:spPr bwMode="auto">
                            <a:xfrm>
                              <a:off x="1152003" y="2867289"/>
                              <a:ext cx="4038694" cy="0"/>
                            </a:xfrm>
                            <a:prstGeom prst="line">
                              <a:avLst/>
                            </a:prstGeom>
                            <a:noFill/>
                            <a:ln w="9525" algn="ctr">
                              <a:solidFill>
                                <a:srgbClr val="000001"/>
                              </a:solidFill>
                              <a:prstDash val="sysDot"/>
                              <a:round/>
                            </a:ln>
                          </wps:spPr>
                          <wps:bodyPr/>
                        </wps:wsp>
                        <wps:wsp>
                          <wps:cNvPr id="696" name="直接连接符 4150"/>
                          <wps:cNvCnPr/>
                          <wps:spPr bwMode="auto">
                            <a:xfrm>
                              <a:off x="1160875" y="1368283"/>
                              <a:ext cx="4038694" cy="0"/>
                            </a:xfrm>
                            <a:prstGeom prst="line">
                              <a:avLst/>
                            </a:prstGeom>
                            <a:noFill/>
                            <a:ln w="9525" algn="ctr">
                              <a:solidFill>
                                <a:srgbClr val="000001"/>
                              </a:solidFill>
                              <a:prstDash val="sysDot"/>
                              <a:round/>
                            </a:ln>
                          </wps:spPr>
                          <wps:bodyPr/>
                        </wps:wsp>
                        <wps:wsp>
                          <wps:cNvPr id="697" name="直接连接符 4151"/>
                          <wps:cNvCnPr/>
                          <wps:spPr bwMode="auto">
                            <a:xfrm>
                              <a:off x="1151996" y="1868003"/>
                              <a:ext cx="4038694" cy="0"/>
                            </a:xfrm>
                            <a:prstGeom prst="line">
                              <a:avLst/>
                            </a:prstGeom>
                            <a:noFill/>
                            <a:ln w="9525" algn="ctr">
                              <a:solidFill>
                                <a:srgbClr val="000001"/>
                              </a:solidFill>
                              <a:prstDash val="sysDot"/>
                              <a:round/>
                            </a:ln>
                          </wps:spPr>
                          <wps:bodyPr/>
                        </wps:wsp>
                        <wps:wsp>
                          <wps:cNvPr id="698" name="直接连接符 4152"/>
                          <wps:cNvCnPr/>
                          <wps:spPr bwMode="auto">
                            <a:xfrm>
                              <a:off x="1151997" y="2364376"/>
                              <a:ext cx="4038694" cy="0"/>
                            </a:xfrm>
                            <a:prstGeom prst="line">
                              <a:avLst/>
                            </a:prstGeom>
                            <a:noFill/>
                            <a:ln w="9525" algn="ctr">
                              <a:solidFill>
                                <a:srgbClr val="000001"/>
                              </a:solidFill>
                              <a:prstDash val="sysDot"/>
                              <a:round/>
                            </a:ln>
                          </wps:spPr>
                          <wps:bodyPr/>
                        </wps:wsp>
                        <wpg:grpSp>
                          <wpg:cNvPr id="699" name="组合 4153"/>
                          <wpg:cNvGrpSpPr/>
                          <wpg:grpSpPr>
                            <a:xfrm>
                              <a:off x="1149076" y="855863"/>
                              <a:ext cx="4039485" cy="2511131"/>
                              <a:chOff x="923924" y="662271"/>
                              <a:chExt cx="4334724" cy="2706465"/>
                            </a:xfrm>
                          </wpg:grpSpPr>
                          <wps:wsp>
                            <wps:cNvPr id="700" name="直接连接符 4154"/>
                            <wps:cNvCnPr/>
                            <wps:spPr bwMode="auto">
                              <a:xfrm>
                                <a:off x="923924" y="666546"/>
                                <a:ext cx="0" cy="2686978"/>
                              </a:xfrm>
                              <a:prstGeom prst="line">
                                <a:avLst/>
                              </a:prstGeom>
                              <a:noFill/>
                              <a:ln w="9525" algn="ctr">
                                <a:solidFill>
                                  <a:srgbClr val="000001"/>
                                </a:solidFill>
                                <a:round/>
                              </a:ln>
                            </wps:spPr>
                            <wps:bodyPr/>
                          </wps:wsp>
                          <wps:wsp>
                            <wps:cNvPr id="701" name="直接连接符 4158"/>
                            <wps:cNvCnPr/>
                            <wps:spPr bwMode="auto">
                              <a:xfrm>
                                <a:off x="5258648" y="674418"/>
                                <a:ext cx="0" cy="2686976"/>
                              </a:xfrm>
                              <a:prstGeom prst="line">
                                <a:avLst/>
                              </a:prstGeom>
                              <a:noFill/>
                              <a:ln w="9525" algn="ctr">
                                <a:solidFill>
                                  <a:srgbClr val="000001"/>
                                </a:solidFill>
                                <a:round/>
                              </a:ln>
                            </wps:spPr>
                            <wps:bodyPr/>
                          </wps:wsp>
                          <wps:wsp>
                            <wps:cNvPr id="702" name="直接连接符 4159"/>
                            <wps:cNvCnPr/>
                            <wps:spPr bwMode="auto">
                              <a:xfrm>
                                <a:off x="4656790" y="664987"/>
                                <a:ext cx="0" cy="2686979"/>
                              </a:xfrm>
                              <a:prstGeom prst="line">
                                <a:avLst/>
                              </a:prstGeom>
                              <a:noFill/>
                              <a:ln w="9525" algn="ctr">
                                <a:solidFill>
                                  <a:srgbClr val="000001"/>
                                </a:solidFill>
                                <a:prstDash val="sysDot"/>
                                <a:round/>
                              </a:ln>
                            </wps:spPr>
                            <wps:bodyPr/>
                          </wps:wsp>
                          <wps:wsp>
                            <wps:cNvPr id="703" name="直接连接符 15232"/>
                            <wps:cNvCnPr/>
                            <wps:spPr bwMode="auto">
                              <a:xfrm>
                                <a:off x="4036071" y="662271"/>
                                <a:ext cx="0" cy="2686979"/>
                              </a:xfrm>
                              <a:prstGeom prst="line">
                                <a:avLst/>
                              </a:prstGeom>
                              <a:noFill/>
                              <a:ln w="9525" algn="ctr">
                                <a:solidFill>
                                  <a:srgbClr val="000001"/>
                                </a:solidFill>
                                <a:prstDash val="sysDot"/>
                                <a:round/>
                              </a:ln>
                            </wps:spPr>
                            <wps:bodyPr/>
                          </wps:wsp>
                          <wps:wsp>
                            <wps:cNvPr id="1120" name="直接连接符 15233"/>
                            <wps:cNvCnPr/>
                            <wps:spPr bwMode="auto">
                              <a:xfrm>
                                <a:off x="3419173" y="681757"/>
                                <a:ext cx="0" cy="2686979"/>
                              </a:xfrm>
                              <a:prstGeom prst="line">
                                <a:avLst/>
                              </a:prstGeom>
                              <a:noFill/>
                              <a:ln w="9525" algn="ctr">
                                <a:solidFill>
                                  <a:srgbClr val="000001"/>
                                </a:solidFill>
                                <a:prstDash val="sysDot"/>
                                <a:round/>
                              </a:ln>
                            </wps:spPr>
                            <wps:bodyPr/>
                          </wps:wsp>
                          <wps:wsp>
                            <wps:cNvPr id="1121" name="直接连接符 15234"/>
                            <wps:cNvCnPr/>
                            <wps:spPr bwMode="auto">
                              <a:xfrm>
                                <a:off x="2791924" y="672162"/>
                                <a:ext cx="0" cy="2686979"/>
                              </a:xfrm>
                              <a:prstGeom prst="line">
                                <a:avLst/>
                              </a:prstGeom>
                              <a:noFill/>
                              <a:ln w="9525" algn="ctr">
                                <a:solidFill>
                                  <a:srgbClr val="000001"/>
                                </a:solidFill>
                                <a:prstDash val="sysDot"/>
                                <a:round/>
                              </a:ln>
                            </wps:spPr>
                            <wps:bodyPr/>
                          </wps:wsp>
                          <wps:wsp>
                            <wps:cNvPr id="1122" name="直接连接符 15235"/>
                            <wps:cNvCnPr/>
                            <wps:spPr bwMode="auto">
                              <a:xfrm>
                                <a:off x="2170338" y="666214"/>
                                <a:ext cx="0" cy="2686979"/>
                              </a:xfrm>
                              <a:prstGeom prst="line">
                                <a:avLst/>
                              </a:prstGeom>
                              <a:noFill/>
                              <a:ln w="9525" algn="ctr">
                                <a:solidFill>
                                  <a:srgbClr val="000001"/>
                                </a:solidFill>
                                <a:prstDash val="sysDot"/>
                                <a:round/>
                              </a:ln>
                            </wps:spPr>
                            <wps:bodyPr/>
                          </wps:wsp>
                          <wps:wsp>
                            <wps:cNvPr id="1123" name="直接连接符 15236"/>
                            <wps:cNvCnPr/>
                            <wps:spPr bwMode="auto">
                              <a:xfrm>
                                <a:off x="1547131" y="666547"/>
                                <a:ext cx="0" cy="2686977"/>
                              </a:xfrm>
                              <a:prstGeom prst="line">
                                <a:avLst/>
                              </a:prstGeom>
                              <a:noFill/>
                              <a:ln w="9525" algn="ctr">
                                <a:solidFill>
                                  <a:srgbClr val="000001"/>
                                </a:solidFill>
                                <a:prstDash val="sysDot"/>
                                <a:round/>
                              </a:ln>
                            </wps:spPr>
                            <wps:bodyPr/>
                          </wps:wsp>
                        </wpg:grpSp>
                        <wps:wsp>
                          <wps:cNvPr id="1124" name="任意多边形 15237"/>
                          <wps:cNvSpPr/>
                          <wps:spPr bwMode="auto">
                            <a:xfrm>
                              <a:off x="1143224" y="864627"/>
                              <a:ext cx="902009" cy="1035289"/>
                            </a:xfrm>
                            <a:custGeom>
                              <a:avLst/>
                              <a:gdLst>
                                <a:gd name="T0" fmla="*/ 0 w 971002"/>
                                <a:gd name="T1" fmla="*/ 1077707 h 1106819"/>
                                <a:gd name="T2" fmla="*/ 80963 w 971002"/>
                                <a:gd name="T3" fmla="*/ 1106282 h 1106819"/>
                                <a:gd name="T4" fmla="*/ 123825 w 971002"/>
                                <a:gd name="T5" fmla="*/ 1072944 h 1106819"/>
                                <a:gd name="T6" fmla="*/ 200025 w 971002"/>
                                <a:gd name="T7" fmla="*/ 1106282 h 1106819"/>
                                <a:gd name="T8" fmla="*/ 252413 w 971002"/>
                                <a:gd name="T9" fmla="*/ 1082469 h 1106819"/>
                                <a:gd name="T10" fmla="*/ 304800 w 971002"/>
                                <a:gd name="T11" fmla="*/ 1101519 h 1106819"/>
                                <a:gd name="T12" fmla="*/ 371475 w 971002"/>
                                <a:gd name="T13" fmla="*/ 1101519 h 1106819"/>
                                <a:gd name="T14" fmla="*/ 438150 w 971002"/>
                                <a:gd name="T15" fmla="*/ 1096757 h 1106819"/>
                                <a:gd name="T16" fmla="*/ 471488 w 971002"/>
                                <a:gd name="T17" fmla="*/ 1106282 h 1106819"/>
                                <a:gd name="T18" fmla="*/ 561975 w 971002"/>
                                <a:gd name="T19" fmla="*/ 1077707 h 1106819"/>
                                <a:gd name="T20" fmla="*/ 628650 w 971002"/>
                                <a:gd name="T21" fmla="*/ 1063419 h 1106819"/>
                                <a:gd name="T22" fmla="*/ 676275 w 971002"/>
                                <a:gd name="T23" fmla="*/ 996744 h 1106819"/>
                                <a:gd name="T24" fmla="*/ 709613 w 971002"/>
                                <a:gd name="T25" fmla="*/ 882444 h 1106819"/>
                                <a:gd name="T26" fmla="*/ 747713 w 971002"/>
                                <a:gd name="T27" fmla="*/ 744332 h 1106819"/>
                                <a:gd name="T28" fmla="*/ 747713 w 971002"/>
                                <a:gd name="T29" fmla="*/ 734807 h 1106819"/>
                                <a:gd name="T30" fmla="*/ 795338 w 971002"/>
                                <a:gd name="T31" fmla="*/ 772907 h 1106819"/>
                                <a:gd name="T32" fmla="*/ 804863 w 971002"/>
                                <a:gd name="T33" fmla="*/ 791957 h 1106819"/>
                                <a:gd name="T34" fmla="*/ 838200 w 971002"/>
                                <a:gd name="T35" fmla="*/ 868157 h 1106819"/>
                                <a:gd name="T36" fmla="*/ 866775 w 971002"/>
                                <a:gd name="T37" fmla="*/ 944357 h 1106819"/>
                                <a:gd name="T38" fmla="*/ 876300 w 971002"/>
                                <a:gd name="T39" fmla="*/ 996744 h 1106819"/>
                                <a:gd name="T40" fmla="*/ 876300 w 971002"/>
                                <a:gd name="T41" fmla="*/ 1001507 h 1106819"/>
                                <a:gd name="T42" fmla="*/ 895350 w 971002"/>
                                <a:gd name="T43" fmla="*/ 934832 h 1106819"/>
                                <a:gd name="T44" fmla="*/ 909638 w 971002"/>
                                <a:gd name="T45" fmla="*/ 863394 h 1106819"/>
                                <a:gd name="T46" fmla="*/ 947738 w 971002"/>
                                <a:gd name="T47" fmla="*/ 572882 h 1106819"/>
                                <a:gd name="T48" fmla="*/ 966788 w 971002"/>
                                <a:gd name="T49" fmla="*/ 249032 h 1106819"/>
                                <a:gd name="T50" fmla="*/ 969696 w 971002"/>
                                <a:gd name="T51" fmla="*/ 40240 h 1106819"/>
                                <a:gd name="T52" fmla="*/ 959445 w 971002"/>
                                <a:gd name="T53" fmla="*/ 198944 h 1106819"/>
                                <a:gd name="T54" fmla="*/ 0 w 971002"/>
                                <a:gd name="T55" fmla="*/ 0 h 1106819"/>
                                <a:gd name="T56" fmla="*/ 971002 w 971002"/>
                                <a:gd name="T57" fmla="*/ 1106819 h 11068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T54" t="T55" r="T56" b="T57"/>
                              <a:pathLst>
                                <a:path w="971002" h="1106819">
                                  <a:moveTo>
                                    <a:pt x="0" y="1077707"/>
                                  </a:moveTo>
                                  <a:cubicBezTo>
                                    <a:pt x="30163" y="1092391"/>
                                    <a:pt x="60326" y="1107076"/>
                                    <a:pt x="80963" y="1106282"/>
                                  </a:cubicBezTo>
                                  <a:cubicBezTo>
                                    <a:pt x="101600" y="1105488"/>
                                    <a:pt x="103981" y="1072944"/>
                                    <a:pt x="123825" y="1072944"/>
                                  </a:cubicBezTo>
                                  <a:cubicBezTo>
                                    <a:pt x="143669" y="1072944"/>
                                    <a:pt x="178594" y="1104694"/>
                                    <a:pt x="200025" y="1106282"/>
                                  </a:cubicBezTo>
                                  <a:cubicBezTo>
                                    <a:pt x="221456" y="1107870"/>
                                    <a:pt x="234951" y="1083263"/>
                                    <a:pt x="252413" y="1082469"/>
                                  </a:cubicBezTo>
                                  <a:cubicBezTo>
                                    <a:pt x="269875" y="1081675"/>
                                    <a:pt x="284956" y="1098344"/>
                                    <a:pt x="304800" y="1101519"/>
                                  </a:cubicBezTo>
                                  <a:cubicBezTo>
                                    <a:pt x="324644" y="1104694"/>
                                    <a:pt x="349250" y="1102313"/>
                                    <a:pt x="371475" y="1101519"/>
                                  </a:cubicBezTo>
                                  <a:cubicBezTo>
                                    <a:pt x="393700" y="1100725"/>
                                    <a:pt x="421481" y="1095963"/>
                                    <a:pt x="438150" y="1096757"/>
                                  </a:cubicBezTo>
                                  <a:cubicBezTo>
                                    <a:pt x="454819" y="1097551"/>
                                    <a:pt x="450851" y="1109457"/>
                                    <a:pt x="471488" y="1106282"/>
                                  </a:cubicBezTo>
                                  <a:cubicBezTo>
                                    <a:pt x="492126" y="1103107"/>
                                    <a:pt x="535781" y="1084851"/>
                                    <a:pt x="561975" y="1077707"/>
                                  </a:cubicBezTo>
                                  <a:cubicBezTo>
                                    <a:pt x="588169" y="1070563"/>
                                    <a:pt x="609600" y="1076913"/>
                                    <a:pt x="628650" y="1063419"/>
                                  </a:cubicBezTo>
                                  <a:cubicBezTo>
                                    <a:pt x="647700" y="1049925"/>
                                    <a:pt x="662781" y="1026906"/>
                                    <a:pt x="676275" y="996744"/>
                                  </a:cubicBezTo>
                                  <a:cubicBezTo>
                                    <a:pt x="689769" y="966581"/>
                                    <a:pt x="697707" y="924513"/>
                                    <a:pt x="709613" y="882444"/>
                                  </a:cubicBezTo>
                                  <a:cubicBezTo>
                                    <a:pt x="721519" y="840375"/>
                                    <a:pt x="741363" y="768938"/>
                                    <a:pt x="747713" y="744332"/>
                                  </a:cubicBezTo>
                                  <a:cubicBezTo>
                                    <a:pt x="754063" y="719726"/>
                                    <a:pt x="739776" y="730044"/>
                                    <a:pt x="747713" y="734807"/>
                                  </a:cubicBezTo>
                                  <a:cubicBezTo>
                                    <a:pt x="755651" y="739569"/>
                                    <a:pt x="785813" y="763382"/>
                                    <a:pt x="795338" y="772907"/>
                                  </a:cubicBezTo>
                                  <a:cubicBezTo>
                                    <a:pt x="804863" y="782432"/>
                                    <a:pt x="797719" y="776082"/>
                                    <a:pt x="804863" y="791957"/>
                                  </a:cubicBezTo>
                                  <a:cubicBezTo>
                                    <a:pt x="812007" y="807832"/>
                                    <a:pt x="827881" y="842757"/>
                                    <a:pt x="838200" y="868157"/>
                                  </a:cubicBezTo>
                                  <a:cubicBezTo>
                                    <a:pt x="848519" y="893557"/>
                                    <a:pt x="860425" y="922926"/>
                                    <a:pt x="866775" y="944357"/>
                                  </a:cubicBezTo>
                                  <a:cubicBezTo>
                                    <a:pt x="873125" y="965788"/>
                                    <a:pt x="874713" y="987219"/>
                                    <a:pt x="876300" y="996744"/>
                                  </a:cubicBezTo>
                                  <a:cubicBezTo>
                                    <a:pt x="877888" y="1006269"/>
                                    <a:pt x="873125" y="1011826"/>
                                    <a:pt x="876300" y="1001507"/>
                                  </a:cubicBezTo>
                                  <a:cubicBezTo>
                                    <a:pt x="879475" y="991188"/>
                                    <a:pt x="889794" y="957851"/>
                                    <a:pt x="895350" y="934832"/>
                                  </a:cubicBezTo>
                                  <a:cubicBezTo>
                                    <a:pt x="900906" y="911813"/>
                                    <a:pt x="900907" y="923719"/>
                                    <a:pt x="909638" y="863394"/>
                                  </a:cubicBezTo>
                                  <a:cubicBezTo>
                                    <a:pt x="918369" y="803069"/>
                                    <a:pt x="938213" y="675276"/>
                                    <a:pt x="947738" y="572882"/>
                                  </a:cubicBezTo>
                                  <a:cubicBezTo>
                                    <a:pt x="957263" y="470488"/>
                                    <a:pt x="963128" y="337806"/>
                                    <a:pt x="966788" y="249032"/>
                                  </a:cubicBezTo>
                                  <a:cubicBezTo>
                                    <a:pt x="970448" y="160258"/>
                                    <a:pt x="966521" y="102946"/>
                                    <a:pt x="969696" y="40240"/>
                                  </a:cubicBezTo>
                                  <a:cubicBezTo>
                                    <a:pt x="972871" y="-22466"/>
                                    <a:pt x="970557" y="-39578"/>
                                    <a:pt x="959445" y="198944"/>
                                  </a:cubicBezTo>
                                </a:path>
                              </a:pathLst>
                            </a:custGeom>
                            <a:noFill/>
                            <a:ln w="9525" algn="ctr">
                              <a:solidFill>
                                <a:srgbClr val="000001"/>
                              </a:solidFill>
                              <a:miter lim="800000"/>
                            </a:ln>
                          </wps:spPr>
                          <wps:txbx>
                            <w:txbxContent>
                              <w:p/>
                            </w:txbxContent>
                          </wps:txbx>
                          <wps:bodyPr rot="0" vert="horz" wrap="square" lIns="91440" tIns="45720" rIns="91440" bIns="45720" anchor="t" anchorCtr="0" upright="1">
                            <a:noAutofit/>
                          </wps:bodyPr>
                        </wps:wsp>
                        <wps:wsp>
                          <wps:cNvPr id="1125" name="任意多边形 15238"/>
                          <wps:cNvSpPr/>
                          <wps:spPr bwMode="auto">
                            <a:xfrm>
                              <a:off x="1149076" y="2561255"/>
                              <a:ext cx="4035776" cy="713052"/>
                            </a:xfrm>
                            <a:custGeom>
                              <a:avLst/>
                              <a:gdLst>
                                <a:gd name="T0" fmla="*/ 76200 w 4362450"/>
                                <a:gd name="T1" fmla="*/ 347815 h 766958"/>
                                <a:gd name="T2" fmla="*/ 204787 w 4362450"/>
                                <a:gd name="T3" fmla="*/ 371628 h 766958"/>
                                <a:gd name="T4" fmla="*/ 338137 w 4362450"/>
                                <a:gd name="T5" fmla="*/ 366865 h 766958"/>
                                <a:gd name="T6" fmla="*/ 509587 w 4362450"/>
                                <a:gd name="T7" fmla="*/ 362103 h 766958"/>
                                <a:gd name="T8" fmla="*/ 685800 w 4362450"/>
                                <a:gd name="T9" fmla="*/ 352578 h 766958"/>
                                <a:gd name="T10" fmla="*/ 862012 w 4362450"/>
                                <a:gd name="T11" fmla="*/ 352578 h 766958"/>
                                <a:gd name="T12" fmla="*/ 1028700 w 4362450"/>
                                <a:gd name="T13" fmla="*/ 362103 h 766958"/>
                                <a:gd name="T14" fmla="*/ 1138237 w 4362450"/>
                                <a:gd name="T15" fmla="*/ 357340 h 766958"/>
                                <a:gd name="T16" fmla="*/ 1295400 w 4362450"/>
                                <a:gd name="T17" fmla="*/ 357340 h 766958"/>
                                <a:gd name="T18" fmla="*/ 1562100 w 4362450"/>
                                <a:gd name="T19" fmla="*/ 366865 h 766958"/>
                                <a:gd name="T20" fmla="*/ 1724025 w 4362450"/>
                                <a:gd name="T21" fmla="*/ 362103 h 766958"/>
                                <a:gd name="T22" fmla="*/ 1852612 w 4362450"/>
                                <a:gd name="T23" fmla="*/ 357340 h 766958"/>
                                <a:gd name="T24" fmla="*/ 1981200 w 4362450"/>
                                <a:gd name="T25" fmla="*/ 347815 h 766958"/>
                                <a:gd name="T26" fmla="*/ 2171700 w 4362450"/>
                                <a:gd name="T27" fmla="*/ 366865 h 766958"/>
                                <a:gd name="T28" fmla="*/ 2371725 w 4362450"/>
                                <a:gd name="T29" fmla="*/ 347815 h 766958"/>
                                <a:gd name="T30" fmla="*/ 2571750 w 4362450"/>
                                <a:gd name="T31" fmla="*/ 347815 h 766958"/>
                                <a:gd name="T32" fmla="*/ 2786062 w 4362450"/>
                                <a:gd name="T33" fmla="*/ 366865 h 766958"/>
                                <a:gd name="T34" fmla="*/ 2919412 w 4362450"/>
                                <a:gd name="T35" fmla="*/ 357340 h 766958"/>
                                <a:gd name="T36" fmla="*/ 2995612 w 4362450"/>
                                <a:gd name="T37" fmla="*/ 309715 h 766958"/>
                                <a:gd name="T38" fmla="*/ 3071812 w 4362450"/>
                                <a:gd name="T39" fmla="*/ 228753 h 766958"/>
                                <a:gd name="T40" fmla="*/ 3167062 w 4362450"/>
                                <a:gd name="T41" fmla="*/ 152553 h 766958"/>
                                <a:gd name="T42" fmla="*/ 3243262 w 4362450"/>
                                <a:gd name="T43" fmla="*/ 147790 h 766958"/>
                                <a:gd name="T44" fmla="*/ 3386137 w 4362450"/>
                                <a:gd name="T45" fmla="*/ 233515 h 766958"/>
                                <a:gd name="T46" fmla="*/ 3471862 w 4362450"/>
                                <a:gd name="T47" fmla="*/ 324003 h 766958"/>
                                <a:gd name="T48" fmla="*/ 3543300 w 4362450"/>
                                <a:gd name="T49" fmla="*/ 424015 h 766958"/>
                                <a:gd name="T50" fmla="*/ 3633787 w 4362450"/>
                                <a:gd name="T51" fmla="*/ 609753 h 766958"/>
                                <a:gd name="T52" fmla="*/ 3690937 w 4362450"/>
                                <a:gd name="T53" fmla="*/ 709765 h 766958"/>
                                <a:gd name="T54" fmla="*/ 3757612 w 4362450"/>
                                <a:gd name="T55" fmla="*/ 766915 h 766958"/>
                                <a:gd name="T56" fmla="*/ 3857625 w 4362450"/>
                                <a:gd name="T57" fmla="*/ 666903 h 766958"/>
                                <a:gd name="T58" fmla="*/ 3924300 w 4362450"/>
                                <a:gd name="T59" fmla="*/ 500215 h 766958"/>
                                <a:gd name="T60" fmla="*/ 4014787 w 4362450"/>
                                <a:gd name="T61" fmla="*/ 262090 h 766958"/>
                                <a:gd name="T62" fmla="*/ 4071937 w 4362450"/>
                                <a:gd name="T63" fmla="*/ 85878 h 766958"/>
                                <a:gd name="T64" fmla="*/ 4143375 w 4362450"/>
                                <a:gd name="T65" fmla="*/ 9678 h 766958"/>
                                <a:gd name="T66" fmla="*/ 4224337 w 4362450"/>
                                <a:gd name="T67" fmla="*/ 4915 h 766958"/>
                                <a:gd name="T68" fmla="*/ 4305300 w 4362450"/>
                                <a:gd name="T69" fmla="*/ 33490 h 766958"/>
                                <a:gd name="T70" fmla="*/ 4362450 w 4362450"/>
                                <a:gd name="T71" fmla="*/ 57303 h 766958"/>
                                <a:gd name="T72" fmla="*/ 0 w 4362450"/>
                                <a:gd name="T73" fmla="*/ 0 h 766958"/>
                                <a:gd name="T74" fmla="*/ 4362450 w 4362450"/>
                                <a:gd name="T75" fmla="*/ 766958 h 7669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T72" t="T73" r="T74" b="T75"/>
                              <a:pathLst>
                                <a:path w="4362450" h="766958">
                                  <a:moveTo>
                                    <a:pt x="0" y="371628"/>
                                  </a:moveTo>
                                  <a:cubicBezTo>
                                    <a:pt x="25797" y="360118"/>
                                    <a:pt x="51594" y="348609"/>
                                    <a:pt x="76200" y="347815"/>
                                  </a:cubicBezTo>
                                  <a:cubicBezTo>
                                    <a:pt x="100806" y="347021"/>
                                    <a:pt x="126206" y="362896"/>
                                    <a:pt x="147637" y="366865"/>
                                  </a:cubicBezTo>
                                  <a:cubicBezTo>
                                    <a:pt x="169068" y="370834"/>
                                    <a:pt x="188118" y="374009"/>
                                    <a:pt x="204787" y="371628"/>
                                  </a:cubicBezTo>
                                  <a:cubicBezTo>
                                    <a:pt x="221456" y="369247"/>
                                    <a:pt x="225425" y="353372"/>
                                    <a:pt x="247650" y="352578"/>
                                  </a:cubicBezTo>
                                  <a:cubicBezTo>
                                    <a:pt x="269875" y="351784"/>
                                    <a:pt x="306387" y="364484"/>
                                    <a:pt x="338137" y="366865"/>
                                  </a:cubicBezTo>
                                  <a:cubicBezTo>
                                    <a:pt x="369887" y="369246"/>
                                    <a:pt x="409575" y="367659"/>
                                    <a:pt x="438150" y="366865"/>
                                  </a:cubicBezTo>
                                  <a:cubicBezTo>
                                    <a:pt x="466725" y="366071"/>
                                    <a:pt x="484187" y="364484"/>
                                    <a:pt x="509587" y="362103"/>
                                  </a:cubicBezTo>
                                  <a:cubicBezTo>
                                    <a:pt x="534987" y="359722"/>
                                    <a:pt x="561181" y="354165"/>
                                    <a:pt x="590550" y="352578"/>
                                  </a:cubicBezTo>
                                  <a:cubicBezTo>
                                    <a:pt x="619919" y="350991"/>
                                    <a:pt x="654050" y="350197"/>
                                    <a:pt x="685800" y="352578"/>
                                  </a:cubicBezTo>
                                  <a:cubicBezTo>
                                    <a:pt x="717550" y="354959"/>
                                    <a:pt x="751681" y="366865"/>
                                    <a:pt x="781050" y="366865"/>
                                  </a:cubicBezTo>
                                  <a:cubicBezTo>
                                    <a:pt x="810419" y="366865"/>
                                    <a:pt x="831850" y="354165"/>
                                    <a:pt x="862012" y="352578"/>
                                  </a:cubicBezTo>
                                  <a:lnTo>
                                    <a:pt x="962025" y="357340"/>
                                  </a:lnTo>
                                  <a:cubicBezTo>
                                    <a:pt x="989806" y="358927"/>
                                    <a:pt x="1010444" y="362897"/>
                                    <a:pt x="1028700" y="362103"/>
                                  </a:cubicBezTo>
                                  <a:cubicBezTo>
                                    <a:pt x="1046956" y="361309"/>
                                    <a:pt x="1053306" y="353372"/>
                                    <a:pt x="1071562" y="352578"/>
                                  </a:cubicBezTo>
                                  <a:cubicBezTo>
                                    <a:pt x="1089818" y="351784"/>
                                    <a:pt x="1116806" y="360515"/>
                                    <a:pt x="1138237" y="357340"/>
                                  </a:cubicBezTo>
                                  <a:cubicBezTo>
                                    <a:pt x="1159668" y="354165"/>
                                    <a:pt x="1173956" y="333528"/>
                                    <a:pt x="1200150" y="333528"/>
                                  </a:cubicBezTo>
                                  <a:cubicBezTo>
                                    <a:pt x="1226344" y="333528"/>
                                    <a:pt x="1258888" y="354165"/>
                                    <a:pt x="1295400" y="357340"/>
                                  </a:cubicBezTo>
                                  <a:cubicBezTo>
                                    <a:pt x="1331912" y="360515"/>
                                    <a:pt x="1374775" y="350990"/>
                                    <a:pt x="1419225" y="352578"/>
                                  </a:cubicBezTo>
                                  <a:cubicBezTo>
                                    <a:pt x="1463675" y="354165"/>
                                    <a:pt x="1524000" y="365277"/>
                                    <a:pt x="1562100" y="366865"/>
                                  </a:cubicBezTo>
                                  <a:cubicBezTo>
                                    <a:pt x="1600200" y="368453"/>
                                    <a:pt x="1620838" y="362897"/>
                                    <a:pt x="1647825" y="362103"/>
                                  </a:cubicBezTo>
                                  <a:cubicBezTo>
                                    <a:pt x="1674812" y="361309"/>
                                    <a:pt x="1698625" y="364484"/>
                                    <a:pt x="1724025" y="362103"/>
                                  </a:cubicBezTo>
                                  <a:cubicBezTo>
                                    <a:pt x="1749425" y="359722"/>
                                    <a:pt x="1778794" y="348609"/>
                                    <a:pt x="1800225" y="347815"/>
                                  </a:cubicBezTo>
                                  <a:cubicBezTo>
                                    <a:pt x="1821656" y="347021"/>
                                    <a:pt x="1831181" y="358134"/>
                                    <a:pt x="1852612" y="357340"/>
                                  </a:cubicBezTo>
                                  <a:cubicBezTo>
                                    <a:pt x="1874043" y="356546"/>
                                    <a:pt x="1907381" y="344641"/>
                                    <a:pt x="1928812" y="343053"/>
                                  </a:cubicBezTo>
                                  <a:cubicBezTo>
                                    <a:pt x="1950243" y="341465"/>
                                    <a:pt x="1958181" y="343846"/>
                                    <a:pt x="1981200" y="347815"/>
                                  </a:cubicBezTo>
                                  <a:cubicBezTo>
                                    <a:pt x="2004219" y="351784"/>
                                    <a:pt x="2035175" y="363690"/>
                                    <a:pt x="2066925" y="366865"/>
                                  </a:cubicBezTo>
                                  <a:cubicBezTo>
                                    <a:pt x="2098675" y="370040"/>
                                    <a:pt x="2138363" y="369246"/>
                                    <a:pt x="2171700" y="366865"/>
                                  </a:cubicBezTo>
                                  <a:cubicBezTo>
                                    <a:pt x="2205037" y="364484"/>
                                    <a:pt x="2233613" y="355753"/>
                                    <a:pt x="2266950" y="352578"/>
                                  </a:cubicBezTo>
                                  <a:cubicBezTo>
                                    <a:pt x="2300287" y="349403"/>
                                    <a:pt x="2335213" y="347021"/>
                                    <a:pt x="2371725" y="347815"/>
                                  </a:cubicBezTo>
                                  <a:cubicBezTo>
                                    <a:pt x="2408238" y="348609"/>
                                    <a:pt x="2452688" y="357340"/>
                                    <a:pt x="2486025" y="357340"/>
                                  </a:cubicBezTo>
                                  <a:cubicBezTo>
                                    <a:pt x="2519362" y="357340"/>
                                    <a:pt x="2540000" y="346227"/>
                                    <a:pt x="2571750" y="347815"/>
                                  </a:cubicBezTo>
                                  <a:cubicBezTo>
                                    <a:pt x="2603500" y="349403"/>
                                    <a:pt x="2640806" y="363690"/>
                                    <a:pt x="2676525" y="366865"/>
                                  </a:cubicBezTo>
                                  <a:cubicBezTo>
                                    <a:pt x="2712244" y="370040"/>
                                    <a:pt x="2751931" y="368452"/>
                                    <a:pt x="2786062" y="366865"/>
                                  </a:cubicBezTo>
                                  <a:cubicBezTo>
                                    <a:pt x="2820193" y="365278"/>
                                    <a:pt x="2859087" y="358927"/>
                                    <a:pt x="2881312" y="357340"/>
                                  </a:cubicBezTo>
                                  <a:cubicBezTo>
                                    <a:pt x="2903537" y="355753"/>
                                    <a:pt x="2907506" y="360515"/>
                                    <a:pt x="2919412" y="357340"/>
                                  </a:cubicBezTo>
                                  <a:cubicBezTo>
                                    <a:pt x="2931318" y="354165"/>
                                    <a:pt x="2940050" y="346227"/>
                                    <a:pt x="2952750" y="338290"/>
                                  </a:cubicBezTo>
                                  <a:cubicBezTo>
                                    <a:pt x="2965450" y="330353"/>
                                    <a:pt x="2979737" y="322415"/>
                                    <a:pt x="2995612" y="309715"/>
                                  </a:cubicBezTo>
                                  <a:cubicBezTo>
                                    <a:pt x="3011487" y="297015"/>
                                    <a:pt x="3035300" y="275584"/>
                                    <a:pt x="3048000" y="262090"/>
                                  </a:cubicBezTo>
                                  <a:cubicBezTo>
                                    <a:pt x="3060700" y="248596"/>
                                    <a:pt x="3059906" y="242247"/>
                                    <a:pt x="3071812" y="228753"/>
                                  </a:cubicBezTo>
                                  <a:cubicBezTo>
                                    <a:pt x="3083718" y="215259"/>
                                    <a:pt x="3103562" y="193828"/>
                                    <a:pt x="3119437" y="181128"/>
                                  </a:cubicBezTo>
                                  <a:cubicBezTo>
                                    <a:pt x="3135312" y="168428"/>
                                    <a:pt x="3151981" y="158109"/>
                                    <a:pt x="3167062" y="152553"/>
                                  </a:cubicBezTo>
                                  <a:cubicBezTo>
                                    <a:pt x="3182143" y="146997"/>
                                    <a:pt x="3197225" y="148584"/>
                                    <a:pt x="3209925" y="147790"/>
                                  </a:cubicBezTo>
                                  <a:cubicBezTo>
                                    <a:pt x="3222625" y="146996"/>
                                    <a:pt x="3223418" y="143028"/>
                                    <a:pt x="3243262" y="147790"/>
                                  </a:cubicBezTo>
                                  <a:cubicBezTo>
                                    <a:pt x="3263106" y="152552"/>
                                    <a:pt x="3305175" y="162078"/>
                                    <a:pt x="3328987" y="176365"/>
                                  </a:cubicBezTo>
                                  <a:cubicBezTo>
                                    <a:pt x="3352799" y="190652"/>
                                    <a:pt x="3368675" y="216846"/>
                                    <a:pt x="3386137" y="233515"/>
                                  </a:cubicBezTo>
                                  <a:cubicBezTo>
                                    <a:pt x="3403600" y="250184"/>
                                    <a:pt x="3419475" y="261297"/>
                                    <a:pt x="3433762" y="276378"/>
                                  </a:cubicBezTo>
                                  <a:cubicBezTo>
                                    <a:pt x="3448050" y="291459"/>
                                    <a:pt x="3460750" y="309715"/>
                                    <a:pt x="3471862" y="324003"/>
                                  </a:cubicBezTo>
                                  <a:cubicBezTo>
                                    <a:pt x="3482975" y="338290"/>
                                    <a:pt x="3488531" y="345434"/>
                                    <a:pt x="3500437" y="362103"/>
                                  </a:cubicBezTo>
                                  <a:cubicBezTo>
                                    <a:pt x="3512343" y="378772"/>
                                    <a:pt x="3527425" y="394646"/>
                                    <a:pt x="3543300" y="424015"/>
                                  </a:cubicBezTo>
                                  <a:cubicBezTo>
                                    <a:pt x="3559175" y="453384"/>
                                    <a:pt x="3580606" y="507359"/>
                                    <a:pt x="3595687" y="538315"/>
                                  </a:cubicBezTo>
                                  <a:cubicBezTo>
                                    <a:pt x="3610768" y="569271"/>
                                    <a:pt x="3623468" y="587528"/>
                                    <a:pt x="3633787" y="609753"/>
                                  </a:cubicBezTo>
                                  <a:cubicBezTo>
                                    <a:pt x="3644106" y="631978"/>
                                    <a:pt x="3648075" y="654996"/>
                                    <a:pt x="3657600" y="671665"/>
                                  </a:cubicBezTo>
                                  <a:cubicBezTo>
                                    <a:pt x="3667125" y="688334"/>
                                    <a:pt x="3680618" y="697065"/>
                                    <a:pt x="3690937" y="709765"/>
                                  </a:cubicBezTo>
                                  <a:cubicBezTo>
                                    <a:pt x="3701256" y="722465"/>
                                    <a:pt x="3708400" y="738340"/>
                                    <a:pt x="3719512" y="747865"/>
                                  </a:cubicBezTo>
                                  <a:cubicBezTo>
                                    <a:pt x="3730625" y="757390"/>
                                    <a:pt x="3742531" y="767709"/>
                                    <a:pt x="3757612" y="766915"/>
                                  </a:cubicBezTo>
                                  <a:cubicBezTo>
                                    <a:pt x="3772693" y="766121"/>
                                    <a:pt x="3793331" y="759772"/>
                                    <a:pt x="3810000" y="743103"/>
                                  </a:cubicBezTo>
                                  <a:cubicBezTo>
                                    <a:pt x="3826669" y="726434"/>
                                    <a:pt x="3841750" y="699447"/>
                                    <a:pt x="3857625" y="666903"/>
                                  </a:cubicBezTo>
                                  <a:cubicBezTo>
                                    <a:pt x="3873500" y="634359"/>
                                    <a:pt x="3905250" y="547840"/>
                                    <a:pt x="3905250" y="547840"/>
                                  </a:cubicBezTo>
                                  <a:cubicBezTo>
                                    <a:pt x="3916362" y="520059"/>
                                    <a:pt x="3910806" y="530377"/>
                                    <a:pt x="3924300" y="500215"/>
                                  </a:cubicBezTo>
                                  <a:cubicBezTo>
                                    <a:pt x="3937794" y="470053"/>
                                    <a:pt x="3971131" y="406553"/>
                                    <a:pt x="3986212" y="366865"/>
                                  </a:cubicBezTo>
                                  <a:cubicBezTo>
                                    <a:pt x="4001293" y="327177"/>
                                    <a:pt x="4003675" y="297809"/>
                                    <a:pt x="4014787" y="262090"/>
                                  </a:cubicBezTo>
                                  <a:cubicBezTo>
                                    <a:pt x="4025900" y="226371"/>
                                    <a:pt x="4043362" y="181922"/>
                                    <a:pt x="4052887" y="152553"/>
                                  </a:cubicBezTo>
                                  <a:cubicBezTo>
                                    <a:pt x="4062412" y="123184"/>
                                    <a:pt x="4063206" y="105722"/>
                                    <a:pt x="4071937" y="85878"/>
                                  </a:cubicBezTo>
                                  <a:cubicBezTo>
                                    <a:pt x="4080668" y="66034"/>
                                    <a:pt x="4093369" y="46190"/>
                                    <a:pt x="4105275" y="33490"/>
                                  </a:cubicBezTo>
                                  <a:cubicBezTo>
                                    <a:pt x="4117181" y="20790"/>
                                    <a:pt x="4133056" y="15234"/>
                                    <a:pt x="4143375" y="9678"/>
                                  </a:cubicBezTo>
                                  <a:cubicBezTo>
                                    <a:pt x="4153694" y="4122"/>
                                    <a:pt x="4153693" y="947"/>
                                    <a:pt x="4167187" y="153"/>
                                  </a:cubicBezTo>
                                  <a:cubicBezTo>
                                    <a:pt x="4180681" y="-641"/>
                                    <a:pt x="4207668" y="1740"/>
                                    <a:pt x="4224337" y="4915"/>
                                  </a:cubicBezTo>
                                  <a:cubicBezTo>
                                    <a:pt x="4241006" y="8090"/>
                                    <a:pt x="4253706" y="14441"/>
                                    <a:pt x="4267200" y="19203"/>
                                  </a:cubicBezTo>
                                  <a:cubicBezTo>
                                    <a:pt x="4280694" y="23965"/>
                                    <a:pt x="4291013" y="27934"/>
                                    <a:pt x="4305300" y="33490"/>
                                  </a:cubicBezTo>
                                  <a:cubicBezTo>
                                    <a:pt x="4319588" y="39046"/>
                                    <a:pt x="4343400" y="48571"/>
                                    <a:pt x="4352925" y="52540"/>
                                  </a:cubicBezTo>
                                  <a:cubicBezTo>
                                    <a:pt x="4362450" y="56509"/>
                                    <a:pt x="4362450" y="56906"/>
                                    <a:pt x="4362450" y="57303"/>
                                  </a:cubicBezTo>
                                </a:path>
                              </a:pathLst>
                            </a:custGeom>
                            <a:noFill/>
                            <a:ln w="9525" algn="ctr">
                              <a:solidFill>
                                <a:srgbClr val="000001"/>
                              </a:solidFill>
                              <a:miter lim="800000"/>
                            </a:ln>
                          </wps:spPr>
                          <wps:txbx>
                            <w:txbxContent>
                              <w:p/>
                            </w:txbxContent>
                          </wps:txbx>
                          <wps:bodyPr rot="0" vert="horz" wrap="square" lIns="91440" tIns="45720" rIns="91440" bIns="45720" anchor="t" anchorCtr="0" upright="1">
                            <a:noAutofit/>
                          </wps:bodyPr>
                        </wps:wsp>
                        <wpg:grpSp>
                          <wpg:cNvPr id="1126" name="组合 15239"/>
                          <wpg:cNvGrpSpPr/>
                          <wpg:grpSpPr>
                            <a:xfrm>
                              <a:off x="1151998" y="3303392"/>
                              <a:ext cx="3910159" cy="66804"/>
                              <a:chOff x="1074327" y="3278701"/>
                              <a:chExt cx="4214321" cy="72001"/>
                            </a:xfrm>
                          </wpg:grpSpPr>
                          <wps:wsp>
                            <wps:cNvPr id="1127" name="直接连接符 15240"/>
                            <wps:cNvCnPr/>
                            <wps:spPr bwMode="auto">
                              <a:xfrm rot="5400000">
                                <a:off x="5252648" y="3314701"/>
                                <a:ext cx="72000" cy="0"/>
                              </a:xfrm>
                              <a:prstGeom prst="line">
                                <a:avLst/>
                              </a:prstGeom>
                              <a:noFill/>
                              <a:ln w="9525" algn="ctr">
                                <a:solidFill>
                                  <a:srgbClr val="000001"/>
                                </a:solidFill>
                                <a:round/>
                              </a:ln>
                            </wps:spPr>
                            <wps:bodyPr/>
                          </wps:wsp>
                          <wps:wsp>
                            <wps:cNvPr id="1128" name="直接连接符 15241"/>
                            <wps:cNvCnPr/>
                            <wps:spPr bwMode="auto">
                              <a:xfrm rot="5400000">
                                <a:off x="5096562" y="3314701"/>
                                <a:ext cx="72001" cy="0"/>
                              </a:xfrm>
                              <a:prstGeom prst="line">
                                <a:avLst/>
                              </a:prstGeom>
                              <a:noFill/>
                              <a:ln w="9525" algn="ctr">
                                <a:solidFill>
                                  <a:srgbClr val="000001"/>
                                </a:solidFill>
                                <a:round/>
                              </a:ln>
                            </wps:spPr>
                            <wps:bodyPr/>
                          </wps:wsp>
                          <wps:wsp>
                            <wps:cNvPr id="1129" name="直接连接符 15242"/>
                            <wps:cNvCnPr/>
                            <wps:spPr bwMode="auto">
                              <a:xfrm rot="5400000">
                                <a:off x="4940476" y="3314701"/>
                                <a:ext cx="72001" cy="0"/>
                              </a:xfrm>
                              <a:prstGeom prst="line">
                                <a:avLst/>
                              </a:prstGeom>
                              <a:noFill/>
                              <a:ln w="9525" algn="ctr">
                                <a:solidFill>
                                  <a:srgbClr val="000001"/>
                                </a:solidFill>
                                <a:round/>
                              </a:ln>
                            </wps:spPr>
                            <wps:bodyPr/>
                          </wps:wsp>
                          <wps:wsp>
                            <wps:cNvPr id="1130" name="直接连接符 15243"/>
                            <wps:cNvCnPr/>
                            <wps:spPr bwMode="auto">
                              <a:xfrm rot="5400000">
                                <a:off x="4784391" y="3314702"/>
                                <a:ext cx="72000" cy="0"/>
                              </a:xfrm>
                              <a:prstGeom prst="line">
                                <a:avLst/>
                              </a:prstGeom>
                              <a:noFill/>
                              <a:ln w="9525" algn="ctr">
                                <a:solidFill>
                                  <a:srgbClr val="000001"/>
                                </a:solidFill>
                                <a:round/>
                              </a:ln>
                            </wps:spPr>
                            <wps:bodyPr/>
                          </wps:wsp>
                          <wps:wsp>
                            <wps:cNvPr id="1131" name="直接连接符 15244"/>
                            <wps:cNvCnPr/>
                            <wps:spPr bwMode="auto">
                              <a:xfrm rot="5400000">
                                <a:off x="4628305" y="3314701"/>
                                <a:ext cx="72001" cy="0"/>
                              </a:xfrm>
                              <a:prstGeom prst="line">
                                <a:avLst/>
                              </a:prstGeom>
                              <a:noFill/>
                              <a:ln w="9525" algn="ctr">
                                <a:solidFill>
                                  <a:srgbClr val="000001"/>
                                </a:solidFill>
                                <a:round/>
                              </a:ln>
                            </wps:spPr>
                            <wps:bodyPr/>
                          </wps:wsp>
                          <wps:wsp>
                            <wps:cNvPr id="1133" name="直接连接符 15245"/>
                            <wps:cNvCnPr/>
                            <wps:spPr bwMode="auto">
                              <a:xfrm rot="5400000">
                                <a:off x="4472218" y="3314701"/>
                                <a:ext cx="72001" cy="0"/>
                              </a:xfrm>
                              <a:prstGeom prst="line">
                                <a:avLst/>
                              </a:prstGeom>
                              <a:noFill/>
                              <a:ln w="9525" algn="ctr">
                                <a:solidFill>
                                  <a:srgbClr val="000001"/>
                                </a:solidFill>
                                <a:round/>
                              </a:ln>
                            </wps:spPr>
                            <wps:bodyPr/>
                          </wps:wsp>
                          <wps:wsp>
                            <wps:cNvPr id="1134" name="直接连接符 15246"/>
                            <wps:cNvCnPr/>
                            <wps:spPr bwMode="auto">
                              <a:xfrm rot="5400000">
                                <a:off x="4316133" y="3314702"/>
                                <a:ext cx="72000" cy="0"/>
                              </a:xfrm>
                              <a:prstGeom prst="line">
                                <a:avLst/>
                              </a:prstGeom>
                              <a:noFill/>
                              <a:ln w="9525" algn="ctr">
                                <a:solidFill>
                                  <a:srgbClr val="000001"/>
                                </a:solidFill>
                                <a:round/>
                              </a:ln>
                            </wps:spPr>
                            <wps:bodyPr/>
                          </wps:wsp>
                          <wps:wsp>
                            <wps:cNvPr id="1135" name="直接连接符 15247"/>
                            <wps:cNvCnPr/>
                            <wps:spPr bwMode="auto">
                              <a:xfrm rot="5400000">
                                <a:off x="4160047" y="3314702"/>
                                <a:ext cx="72000" cy="0"/>
                              </a:xfrm>
                              <a:prstGeom prst="line">
                                <a:avLst/>
                              </a:prstGeom>
                              <a:noFill/>
                              <a:ln w="9525" algn="ctr">
                                <a:solidFill>
                                  <a:srgbClr val="000001"/>
                                </a:solidFill>
                                <a:round/>
                              </a:ln>
                            </wps:spPr>
                            <wps:bodyPr/>
                          </wps:wsp>
                          <wps:wsp>
                            <wps:cNvPr id="1136" name="直接连接符 15248"/>
                            <wps:cNvCnPr/>
                            <wps:spPr bwMode="auto">
                              <a:xfrm rot="5400000">
                                <a:off x="4003960" y="3314701"/>
                                <a:ext cx="72001" cy="0"/>
                              </a:xfrm>
                              <a:prstGeom prst="line">
                                <a:avLst/>
                              </a:prstGeom>
                              <a:noFill/>
                              <a:ln w="9525" algn="ctr">
                                <a:solidFill>
                                  <a:srgbClr val="000001"/>
                                </a:solidFill>
                                <a:round/>
                              </a:ln>
                            </wps:spPr>
                            <wps:bodyPr/>
                          </wps:wsp>
                          <wps:wsp>
                            <wps:cNvPr id="1137" name="直接连接符 15249"/>
                            <wps:cNvCnPr/>
                            <wps:spPr bwMode="auto">
                              <a:xfrm rot="5400000">
                                <a:off x="3847874" y="3314701"/>
                                <a:ext cx="72001" cy="0"/>
                              </a:xfrm>
                              <a:prstGeom prst="line">
                                <a:avLst/>
                              </a:prstGeom>
                              <a:noFill/>
                              <a:ln w="9525" algn="ctr">
                                <a:solidFill>
                                  <a:srgbClr val="000001"/>
                                </a:solidFill>
                                <a:round/>
                              </a:ln>
                            </wps:spPr>
                            <wps:bodyPr/>
                          </wps:wsp>
                          <wps:wsp>
                            <wps:cNvPr id="1138" name="直接连接符 15250"/>
                            <wps:cNvCnPr/>
                            <wps:spPr bwMode="auto">
                              <a:xfrm rot="5400000">
                                <a:off x="3691789" y="3314702"/>
                                <a:ext cx="72000" cy="0"/>
                              </a:xfrm>
                              <a:prstGeom prst="line">
                                <a:avLst/>
                              </a:prstGeom>
                              <a:noFill/>
                              <a:ln w="9525" algn="ctr">
                                <a:solidFill>
                                  <a:srgbClr val="000001"/>
                                </a:solidFill>
                                <a:round/>
                              </a:ln>
                            </wps:spPr>
                            <wps:bodyPr/>
                          </wps:wsp>
                          <wps:wsp>
                            <wps:cNvPr id="1139" name="直接连接符 15251"/>
                            <wps:cNvCnPr/>
                            <wps:spPr bwMode="auto">
                              <a:xfrm rot="5400000">
                                <a:off x="3535703" y="3314702"/>
                                <a:ext cx="72000" cy="0"/>
                              </a:xfrm>
                              <a:prstGeom prst="line">
                                <a:avLst/>
                              </a:prstGeom>
                              <a:noFill/>
                              <a:ln w="9525" algn="ctr">
                                <a:solidFill>
                                  <a:srgbClr val="000001"/>
                                </a:solidFill>
                                <a:round/>
                              </a:ln>
                            </wps:spPr>
                            <wps:bodyPr/>
                          </wps:wsp>
                          <wps:wsp>
                            <wps:cNvPr id="1140" name="直接连接符 15252"/>
                            <wps:cNvCnPr/>
                            <wps:spPr bwMode="auto">
                              <a:xfrm rot="5400000">
                                <a:off x="3379616" y="3314701"/>
                                <a:ext cx="72001" cy="0"/>
                              </a:xfrm>
                              <a:prstGeom prst="line">
                                <a:avLst/>
                              </a:prstGeom>
                              <a:noFill/>
                              <a:ln w="9525" algn="ctr">
                                <a:solidFill>
                                  <a:srgbClr val="000001"/>
                                </a:solidFill>
                                <a:round/>
                              </a:ln>
                            </wps:spPr>
                            <wps:bodyPr/>
                          </wps:wsp>
                          <wps:wsp>
                            <wps:cNvPr id="1141" name="直接连接符 15253"/>
                            <wps:cNvCnPr/>
                            <wps:spPr bwMode="auto">
                              <a:xfrm rot="5400000">
                                <a:off x="3223530" y="3314701"/>
                                <a:ext cx="72001" cy="0"/>
                              </a:xfrm>
                              <a:prstGeom prst="line">
                                <a:avLst/>
                              </a:prstGeom>
                              <a:noFill/>
                              <a:ln w="9525" algn="ctr">
                                <a:solidFill>
                                  <a:srgbClr val="000001"/>
                                </a:solidFill>
                                <a:round/>
                              </a:ln>
                            </wps:spPr>
                            <wps:bodyPr/>
                          </wps:wsp>
                          <wps:wsp>
                            <wps:cNvPr id="1142" name="直接连接符 15254"/>
                            <wps:cNvCnPr/>
                            <wps:spPr bwMode="auto">
                              <a:xfrm rot="5400000">
                                <a:off x="3067445" y="3314702"/>
                                <a:ext cx="72000" cy="0"/>
                              </a:xfrm>
                              <a:prstGeom prst="line">
                                <a:avLst/>
                              </a:prstGeom>
                              <a:noFill/>
                              <a:ln w="9525" algn="ctr">
                                <a:solidFill>
                                  <a:srgbClr val="000001"/>
                                </a:solidFill>
                                <a:round/>
                              </a:ln>
                            </wps:spPr>
                            <wps:bodyPr/>
                          </wps:wsp>
                          <wps:wsp>
                            <wps:cNvPr id="1143" name="直接连接符 15255"/>
                            <wps:cNvCnPr/>
                            <wps:spPr bwMode="auto">
                              <a:xfrm rot="5400000">
                                <a:off x="2911359" y="3314701"/>
                                <a:ext cx="72001" cy="0"/>
                              </a:xfrm>
                              <a:prstGeom prst="line">
                                <a:avLst/>
                              </a:prstGeom>
                              <a:noFill/>
                              <a:ln w="9525" algn="ctr">
                                <a:solidFill>
                                  <a:srgbClr val="000001"/>
                                </a:solidFill>
                                <a:round/>
                              </a:ln>
                            </wps:spPr>
                            <wps:bodyPr/>
                          </wps:wsp>
                          <wps:wsp>
                            <wps:cNvPr id="1144" name="直接连接符 15256"/>
                            <wps:cNvCnPr/>
                            <wps:spPr bwMode="auto">
                              <a:xfrm rot="5400000">
                                <a:off x="2755272" y="3314701"/>
                                <a:ext cx="72001" cy="0"/>
                              </a:xfrm>
                              <a:prstGeom prst="line">
                                <a:avLst/>
                              </a:prstGeom>
                              <a:noFill/>
                              <a:ln w="9525" algn="ctr">
                                <a:solidFill>
                                  <a:srgbClr val="000001"/>
                                </a:solidFill>
                                <a:round/>
                              </a:ln>
                            </wps:spPr>
                            <wps:bodyPr/>
                          </wps:wsp>
                          <wps:wsp>
                            <wps:cNvPr id="1145" name="直接连接符 15257"/>
                            <wps:cNvCnPr/>
                            <wps:spPr bwMode="auto">
                              <a:xfrm rot="5400000">
                                <a:off x="2599187" y="3314702"/>
                                <a:ext cx="72000" cy="0"/>
                              </a:xfrm>
                              <a:prstGeom prst="line">
                                <a:avLst/>
                              </a:prstGeom>
                              <a:noFill/>
                              <a:ln w="9525" algn="ctr">
                                <a:solidFill>
                                  <a:srgbClr val="000001"/>
                                </a:solidFill>
                                <a:round/>
                              </a:ln>
                            </wps:spPr>
                            <wps:bodyPr/>
                          </wps:wsp>
                          <wps:wsp>
                            <wps:cNvPr id="1146" name="直接连接符 15258"/>
                            <wps:cNvCnPr/>
                            <wps:spPr bwMode="auto">
                              <a:xfrm rot="5400000">
                                <a:off x="2443101" y="3314702"/>
                                <a:ext cx="72000" cy="0"/>
                              </a:xfrm>
                              <a:prstGeom prst="line">
                                <a:avLst/>
                              </a:prstGeom>
                              <a:noFill/>
                              <a:ln w="9525" algn="ctr">
                                <a:solidFill>
                                  <a:srgbClr val="000001"/>
                                </a:solidFill>
                                <a:round/>
                              </a:ln>
                            </wps:spPr>
                            <wps:bodyPr/>
                          </wps:wsp>
                          <wps:wsp>
                            <wps:cNvPr id="1147" name="直接连接符 15259"/>
                            <wps:cNvCnPr/>
                            <wps:spPr bwMode="auto">
                              <a:xfrm rot="5400000">
                                <a:off x="2287015" y="3314701"/>
                                <a:ext cx="72001" cy="0"/>
                              </a:xfrm>
                              <a:prstGeom prst="line">
                                <a:avLst/>
                              </a:prstGeom>
                              <a:noFill/>
                              <a:ln w="9525" algn="ctr">
                                <a:solidFill>
                                  <a:srgbClr val="000001"/>
                                </a:solidFill>
                                <a:round/>
                              </a:ln>
                            </wps:spPr>
                            <wps:bodyPr/>
                          </wps:wsp>
                          <wps:wsp>
                            <wps:cNvPr id="1148" name="直接连接符 15260"/>
                            <wps:cNvCnPr/>
                            <wps:spPr bwMode="auto">
                              <a:xfrm rot="5400000">
                                <a:off x="2130928" y="3314701"/>
                                <a:ext cx="72001" cy="0"/>
                              </a:xfrm>
                              <a:prstGeom prst="line">
                                <a:avLst/>
                              </a:prstGeom>
                              <a:noFill/>
                              <a:ln w="9525" algn="ctr">
                                <a:solidFill>
                                  <a:srgbClr val="000001"/>
                                </a:solidFill>
                                <a:round/>
                              </a:ln>
                            </wps:spPr>
                            <wps:bodyPr/>
                          </wps:wsp>
                          <wps:wsp>
                            <wps:cNvPr id="1149" name="直接连接符 15261"/>
                            <wps:cNvCnPr/>
                            <wps:spPr bwMode="auto">
                              <a:xfrm rot="5400000">
                                <a:off x="1974843" y="3314702"/>
                                <a:ext cx="72000" cy="0"/>
                              </a:xfrm>
                              <a:prstGeom prst="line">
                                <a:avLst/>
                              </a:prstGeom>
                              <a:noFill/>
                              <a:ln w="9525" algn="ctr">
                                <a:solidFill>
                                  <a:srgbClr val="000001"/>
                                </a:solidFill>
                                <a:round/>
                              </a:ln>
                            </wps:spPr>
                            <wps:bodyPr/>
                          </wps:wsp>
                          <wps:wsp>
                            <wps:cNvPr id="1150" name="直接连接符 15262"/>
                            <wps:cNvCnPr/>
                            <wps:spPr bwMode="auto">
                              <a:xfrm rot="5400000">
                                <a:off x="1818757" y="3314702"/>
                                <a:ext cx="72000" cy="0"/>
                              </a:xfrm>
                              <a:prstGeom prst="line">
                                <a:avLst/>
                              </a:prstGeom>
                              <a:noFill/>
                              <a:ln w="9525" algn="ctr">
                                <a:solidFill>
                                  <a:srgbClr val="000001"/>
                                </a:solidFill>
                                <a:round/>
                              </a:ln>
                            </wps:spPr>
                            <wps:bodyPr/>
                          </wps:wsp>
                          <wps:wsp>
                            <wps:cNvPr id="1151" name="直接连接符 15263"/>
                            <wps:cNvCnPr/>
                            <wps:spPr bwMode="auto">
                              <a:xfrm rot="5400000">
                                <a:off x="1662671" y="3314701"/>
                                <a:ext cx="72001" cy="0"/>
                              </a:xfrm>
                              <a:prstGeom prst="line">
                                <a:avLst/>
                              </a:prstGeom>
                              <a:noFill/>
                              <a:ln w="9525" algn="ctr">
                                <a:solidFill>
                                  <a:srgbClr val="000001"/>
                                </a:solidFill>
                                <a:round/>
                              </a:ln>
                            </wps:spPr>
                            <wps:bodyPr/>
                          </wps:wsp>
                          <wps:wsp>
                            <wps:cNvPr id="1152" name="直接连接符 15264"/>
                            <wps:cNvCnPr/>
                            <wps:spPr bwMode="auto">
                              <a:xfrm rot="5400000">
                                <a:off x="1506584" y="3314701"/>
                                <a:ext cx="72001" cy="0"/>
                              </a:xfrm>
                              <a:prstGeom prst="line">
                                <a:avLst/>
                              </a:prstGeom>
                              <a:noFill/>
                              <a:ln w="9525" algn="ctr">
                                <a:solidFill>
                                  <a:srgbClr val="000001"/>
                                </a:solidFill>
                                <a:round/>
                              </a:ln>
                            </wps:spPr>
                            <wps:bodyPr/>
                          </wps:wsp>
                          <wps:wsp>
                            <wps:cNvPr id="1153" name="直接连接符 15265"/>
                            <wps:cNvCnPr/>
                            <wps:spPr bwMode="auto">
                              <a:xfrm rot="5400000">
                                <a:off x="1350499" y="3314702"/>
                                <a:ext cx="72000" cy="0"/>
                              </a:xfrm>
                              <a:prstGeom prst="line">
                                <a:avLst/>
                              </a:prstGeom>
                              <a:noFill/>
                              <a:ln w="9525" algn="ctr">
                                <a:solidFill>
                                  <a:srgbClr val="000001"/>
                                </a:solidFill>
                                <a:round/>
                              </a:ln>
                            </wps:spPr>
                            <wps:bodyPr/>
                          </wps:wsp>
                          <wps:wsp>
                            <wps:cNvPr id="1154" name="直接连接符 15266"/>
                            <wps:cNvCnPr/>
                            <wps:spPr bwMode="auto">
                              <a:xfrm rot="5400000">
                                <a:off x="1194413" y="3314701"/>
                                <a:ext cx="72001" cy="0"/>
                              </a:xfrm>
                              <a:prstGeom prst="line">
                                <a:avLst/>
                              </a:prstGeom>
                              <a:noFill/>
                              <a:ln w="9525" algn="ctr">
                                <a:solidFill>
                                  <a:srgbClr val="000001"/>
                                </a:solidFill>
                                <a:round/>
                              </a:ln>
                            </wps:spPr>
                            <wps:bodyPr/>
                          </wps:wsp>
                          <wps:wsp>
                            <wps:cNvPr id="1155" name="直接连接符 15267"/>
                            <wps:cNvCnPr/>
                            <wps:spPr bwMode="auto">
                              <a:xfrm rot="5400000">
                                <a:off x="1039914" y="3316288"/>
                                <a:ext cx="68825" cy="0"/>
                              </a:xfrm>
                              <a:prstGeom prst="line">
                                <a:avLst/>
                              </a:prstGeom>
                              <a:noFill/>
                              <a:ln w="9525" algn="ctr">
                                <a:solidFill>
                                  <a:srgbClr val="4A7EBB"/>
                                </a:solidFill>
                                <a:round/>
                              </a:ln>
                            </wps:spPr>
                            <wps:bodyPr/>
                          </wps:wsp>
                        </wpg:grpSp>
                        <wps:wsp>
                          <wps:cNvPr id="1156" name="直接连接符 15268"/>
                          <wps:cNvCnPr/>
                          <wps:spPr bwMode="auto">
                            <a:xfrm>
                              <a:off x="3900178" y="2017737"/>
                              <a:ext cx="0" cy="835044"/>
                            </a:xfrm>
                            <a:prstGeom prst="line">
                              <a:avLst/>
                            </a:prstGeom>
                            <a:noFill/>
                            <a:ln w="9525" algn="ctr">
                              <a:solidFill>
                                <a:srgbClr val="000001"/>
                              </a:solidFill>
                              <a:round/>
                              <a:tailEnd type="stealth" w="sm" len="med"/>
                            </a:ln>
                          </wps:spPr>
                          <wps:bodyPr/>
                        </wps:wsp>
                        <wps:wsp>
                          <wps:cNvPr id="1157" name="直接连接符 15269"/>
                          <wps:cNvCnPr/>
                          <wps:spPr bwMode="auto">
                            <a:xfrm flipV="1">
                              <a:off x="1728117" y="1868003"/>
                              <a:ext cx="0" cy="567830"/>
                            </a:xfrm>
                            <a:prstGeom prst="line">
                              <a:avLst/>
                            </a:prstGeom>
                            <a:noFill/>
                            <a:ln w="9525" algn="ctr">
                              <a:solidFill>
                                <a:srgbClr val="000001"/>
                              </a:solidFill>
                              <a:round/>
                              <a:headEnd type="none" w="sm" len="med"/>
                              <a:tailEnd type="stealth" w="sm" len="med"/>
                            </a:ln>
                          </wps:spPr>
                          <wps:bodyPr/>
                        </wps:wsp>
                        <wps:wsp>
                          <wps:cNvPr id="1158" name="直接连接符 15270"/>
                          <wps:cNvCnPr/>
                          <wps:spPr bwMode="auto">
                            <a:xfrm rot="-5400000">
                              <a:off x="2813406" y="1203365"/>
                              <a:ext cx="0" cy="2173772"/>
                            </a:xfrm>
                            <a:prstGeom prst="line">
                              <a:avLst/>
                            </a:prstGeom>
                            <a:noFill/>
                            <a:ln w="9525" algn="ctr">
                              <a:solidFill>
                                <a:srgbClr val="000001"/>
                              </a:solidFill>
                              <a:round/>
                              <a:headEnd type="stealth" w="sm" len="med"/>
                              <a:tailEnd type="stealth" w="sm" len="med"/>
                            </a:ln>
                          </wps:spPr>
                          <wps:bodyPr/>
                        </wps:wsp>
                      </wpg:wgp>
                      <wpg:wgp>
                        <wpg:cNvPr id="1159" name="组合 15271"/>
                        <wpg:cNvGrpSpPr/>
                        <wpg:grpSpPr>
                          <a:xfrm>
                            <a:off x="523875" y="197485"/>
                            <a:ext cx="53975" cy="1390015"/>
                            <a:chOff x="0" y="600892"/>
                            <a:chExt cx="66675" cy="2410097"/>
                          </a:xfrm>
                        </wpg:grpSpPr>
                        <wps:wsp>
                          <wps:cNvPr id="1160" name="直接连接符 15278"/>
                          <wps:cNvCnPr/>
                          <wps:spPr bwMode="auto">
                            <a:xfrm>
                              <a:off x="0" y="600892"/>
                              <a:ext cx="66675" cy="0"/>
                            </a:xfrm>
                            <a:prstGeom prst="line">
                              <a:avLst/>
                            </a:prstGeom>
                            <a:noFill/>
                            <a:ln w="9525" algn="ctr">
                              <a:solidFill>
                                <a:srgbClr val="000001"/>
                              </a:solidFill>
                              <a:round/>
                            </a:ln>
                          </wps:spPr>
                          <wps:bodyPr/>
                        </wps:wsp>
                        <wps:wsp>
                          <wps:cNvPr id="1161" name="直接连接符 15279"/>
                          <wps:cNvCnPr/>
                          <wps:spPr bwMode="auto">
                            <a:xfrm>
                              <a:off x="0" y="698863"/>
                              <a:ext cx="66675" cy="0"/>
                            </a:xfrm>
                            <a:prstGeom prst="line">
                              <a:avLst/>
                            </a:prstGeom>
                            <a:noFill/>
                            <a:ln w="9525" algn="ctr">
                              <a:solidFill>
                                <a:srgbClr val="000001"/>
                              </a:solidFill>
                              <a:round/>
                            </a:ln>
                          </wps:spPr>
                          <wps:bodyPr/>
                        </wps:wsp>
                        <wps:wsp>
                          <wps:cNvPr id="1162" name="直接连接符 15280"/>
                          <wps:cNvCnPr/>
                          <wps:spPr bwMode="auto">
                            <a:xfrm>
                              <a:off x="0" y="803366"/>
                              <a:ext cx="66675" cy="0"/>
                            </a:xfrm>
                            <a:prstGeom prst="line">
                              <a:avLst/>
                            </a:prstGeom>
                            <a:noFill/>
                            <a:ln w="9525" algn="ctr">
                              <a:solidFill>
                                <a:srgbClr val="000001"/>
                              </a:solidFill>
                              <a:round/>
                            </a:ln>
                          </wps:spPr>
                          <wps:bodyPr/>
                        </wps:wsp>
                        <wps:wsp>
                          <wps:cNvPr id="1163" name="直接连接符 15281"/>
                          <wps:cNvCnPr/>
                          <wps:spPr bwMode="auto">
                            <a:xfrm>
                              <a:off x="0" y="901338"/>
                              <a:ext cx="66675" cy="0"/>
                            </a:xfrm>
                            <a:prstGeom prst="line">
                              <a:avLst/>
                            </a:prstGeom>
                            <a:noFill/>
                            <a:ln w="9525" algn="ctr">
                              <a:solidFill>
                                <a:srgbClr val="000001"/>
                              </a:solidFill>
                              <a:round/>
                            </a:ln>
                          </wps:spPr>
                          <wps:bodyPr/>
                        </wps:wsp>
                        <wps:wsp>
                          <wps:cNvPr id="1164" name="直接连接符 15282"/>
                          <wps:cNvCnPr/>
                          <wps:spPr bwMode="auto">
                            <a:xfrm>
                              <a:off x="0" y="1005840"/>
                              <a:ext cx="66675" cy="0"/>
                            </a:xfrm>
                            <a:prstGeom prst="line">
                              <a:avLst/>
                            </a:prstGeom>
                            <a:noFill/>
                            <a:ln w="9525" algn="ctr">
                              <a:solidFill>
                                <a:srgbClr val="000001"/>
                              </a:solidFill>
                              <a:round/>
                            </a:ln>
                          </wps:spPr>
                          <wps:bodyPr/>
                        </wps:wsp>
                        <wps:wsp>
                          <wps:cNvPr id="1165" name="直接连接符 15283"/>
                          <wps:cNvCnPr/>
                          <wps:spPr bwMode="auto">
                            <a:xfrm>
                              <a:off x="0" y="1103812"/>
                              <a:ext cx="66675" cy="0"/>
                            </a:xfrm>
                            <a:prstGeom prst="line">
                              <a:avLst/>
                            </a:prstGeom>
                            <a:noFill/>
                            <a:ln w="9525" algn="ctr">
                              <a:solidFill>
                                <a:srgbClr val="000001"/>
                              </a:solidFill>
                              <a:round/>
                            </a:ln>
                          </wps:spPr>
                          <wps:bodyPr/>
                        </wps:wsp>
                        <wps:wsp>
                          <wps:cNvPr id="1166" name="直接连接符 15284"/>
                          <wps:cNvCnPr/>
                          <wps:spPr bwMode="auto">
                            <a:xfrm>
                              <a:off x="0" y="1201783"/>
                              <a:ext cx="66675" cy="0"/>
                            </a:xfrm>
                            <a:prstGeom prst="line">
                              <a:avLst/>
                            </a:prstGeom>
                            <a:noFill/>
                            <a:ln w="9525" algn="ctr">
                              <a:solidFill>
                                <a:srgbClr val="000001"/>
                              </a:solidFill>
                              <a:round/>
                            </a:ln>
                          </wps:spPr>
                          <wps:bodyPr/>
                        </wps:wsp>
                        <wps:wsp>
                          <wps:cNvPr id="1167" name="直接连接符 15285"/>
                          <wps:cNvCnPr/>
                          <wps:spPr bwMode="auto">
                            <a:xfrm>
                              <a:off x="0" y="1306286"/>
                              <a:ext cx="66675" cy="0"/>
                            </a:xfrm>
                            <a:prstGeom prst="line">
                              <a:avLst/>
                            </a:prstGeom>
                            <a:noFill/>
                            <a:ln w="9525" algn="ctr">
                              <a:solidFill>
                                <a:srgbClr val="000001"/>
                              </a:solidFill>
                              <a:round/>
                            </a:ln>
                          </wps:spPr>
                          <wps:bodyPr/>
                        </wps:wsp>
                        <wps:wsp>
                          <wps:cNvPr id="1168" name="直接连接符 15286"/>
                          <wps:cNvCnPr/>
                          <wps:spPr bwMode="auto">
                            <a:xfrm>
                              <a:off x="0" y="1404258"/>
                              <a:ext cx="66675" cy="0"/>
                            </a:xfrm>
                            <a:prstGeom prst="line">
                              <a:avLst/>
                            </a:prstGeom>
                            <a:noFill/>
                            <a:ln w="9525" algn="ctr">
                              <a:solidFill>
                                <a:srgbClr val="000001"/>
                              </a:solidFill>
                              <a:round/>
                            </a:ln>
                          </wps:spPr>
                          <wps:bodyPr/>
                        </wps:wsp>
                        <wps:wsp>
                          <wps:cNvPr id="1169" name="直接连接符 15287"/>
                          <wps:cNvCnPr/>
                          <wps:spPr bwMode="auto">
                            <a:xfrm>
                              <a:off x="0" y="1502229"/>
                              <a:ext cx="66675" cy="0"/>
                            </a:xfrm>
                            <a:prstGeom prst="line">
                              <a:avLst/>
                            </a:prstGeom>
                            <a:noFill/>
                            <a:ln w="9525" algn="ctr">
                              <a:solidFill>
                                <a:srgbClr val="000001"/>
                              </a:solidFill>
                              <a:round/>
                            </a:ln>
                          </wps:spPr>
                          <wps:bodyPr/>
                        </wps:wsp>
                        <wps:wsp>
                          <wps:cNvPr id="1170" name="直接连接符 15288"/>
                          <wps:cNvCnPr/>
                          <wps:spPr bwMode="auto">
                            <a:xfrm>
                              <a:off x="0" y="1606732"/>
                              <a:ext cx="66675" cy="0"/>
                            </a:xfrm>
                            <a:prstGeom prst="line">
                              <a:avLst/>
                            </a:prstGeom>
                            <a:noFill/>
                            <a:ln w="9525" algn="ctr">
                              <a:solidFill>
                                <a:srgbClr val="000001"/>
                              </a:solidFill>
                              <a:round/>
                            </a:ln>
                          </wps:spPr>
                          <wps:bodyPr/>
                        </wps:wsp>
                        <wps:wsp>
                          <wps:cNvPr id="1171" name="直接连接符 15289"/>
                          <wps:cNvCnPr/>
                          <wps:spPr bwMode="auto">
                            <a:xfrm>
                              <a:off x="0" y="1704703"/>
                              <a:ext cx="66675" cy="0"/>
                            </a:xfrm>
                            <a:prstGeom prst="line">
                              <a:avLst/>
                            </a:prstGeom>
                            <a:noFill/>
                            <a:ln w="9525" algn="ctr">
                              <a:solidFill>
                                <a:srgbClr val="000001"/>
                              </a:solidFill>
                              <a:round/>
                            </a:ln>
                          </wps:spPr>
                          <wps:bodyPr/>
                        </wps:wsp>
                        <wps:wsp>
                          <wps:cNvPr id="1172" name="直接连接符 15290"/>
                          <wps:cNvCnPr/>
                          <wps:spPr bwMode="auto">
                            <a:xfrm>
                              <a:off x="0" y="1802675"/>
                              <a:ext cx="66675" cy="0"/>
                            </a:xfrm>
                            <a:prstGeom prst="line">
                              <a:avLst/>
                            </a:prstGeom>
                            <a:noFill/>
                            <a:ln w="9525" algn="ctr">
                              <a:solidFill>
                                <a:srgbClr val="000001"/>
                              </a:solidFill>
                              <a:round/>
                            </a:ln>
                          </wps:spPr>
                          <wps:bodyPr/>
                        </wps:wsp>
                        <wps:wsp>
                          <wps:cNvPr id="1173" name="直接连接符 15291"/>
                          <wps:cNvCnPr/>
                          <wps:spPr bwMode="auto">
                            <a:xfrm>
                              <a:off x="0" y="1907178"/>
                              <a:ext cx="66675" cy="0"/>
                            </a:xfrm>
                            <a:prstGeom prst="line">
                              <a:avLst/>
                            </a:prstGeom>
                            <a:noFill/>
                            <a:ln w="9525" algn="ctr">
                              <a:solidFill>
                                <a:srgbClr val="000001"/>
                              </a:solidFill>
                              <a:round/>
                            </a:ln>
                          </wps:spPr>
                          <wps:bodyPr/>
                        </wps:wsp>
                        <wps:wsp>
                          <wps:cNvPr id="1174" name="直接连接符 15292"/>
                          <wps:cNvCnPr/>
                          <wps:spPr bwMode="auto">
                            <a:xfrm>
                              <a:off x="0" y="2005149"/>
                              <a:ext cx="66675" cy="0"/>
                            </a:xfrm>
                            <a:prstGeom prst="line">
                              <a:avLst/>
                            </a:prstGeom>
                            <a:noFill/>
                            <a:ln w="9525" algn="ctr">
                              <a:solidFill>
                                <a:srgbClr val="000001"/>
                              </a:solidFill>
                              <a:round/>
                            </a:ln>
                          </wps:spPr>
                          <wps:bodyPr/>
                        </wps:wsp>
                        <wps:wsp>
                          <wps:cNvPr id="1175" name="直接连接符 15293"/>
                          <wps:cNvCnPr/>
                          <wps:spPr bwMode="auto">
                            <a:xfrm>
                              <a:off x="0" y="2109652"/>
                              <a:ext cx="66675" cy="0"/>
                            </a:xfrm>
                            <a:prstGeom prst="line">
                              <a:avLst/>
                            </a:prstGeom>
                            <a:noFill/>
                            <a:ln w="9525" algn="ctr">
                              <a:solidFill>
                                <a:srgbClr val="000001"/>
                              </a:solidFill>
                              <a:round/>
                            </a:ln>
                          </wps:spPr>
                          <wps:bodyPr/>
                        </wps:wsp>
                        <wps:wsp>
                          <wps:cNvPr id="1176" name="直接连接符 15294"/>
                          <wps:cNvCnPr/>
                          <wps:spPr bwMode="auto">
                            <a:xfrm>
                              <a:off x="0" y="2207623"/>
                              <a:ext cx="66675" cy="0"/>
                            </a:xfrm>
                            <a:prstGeom prst="line">
                              <a:avLst/>
                            </a:prstGeom>
                            <a:noFill/>
                            <a:ln w="9525" algn="ctr">
                              <a:solidFill>
                                <a:srgbClr val="000001"/>
                              </a:solidFill>
                              <a:round/>
                            </a:ln>
                          </wps:spPr>
                          <wps:bodyPr/>
                        </wps:wsp>
                        <wps:wsp>
                          <wps:cNvPr id="1177" name="直接连接符 15295"/>
                          <wps:cNvCnPr/>
                          <wps:spPr bwMode="auto">
                            <a:xfrm>
                              <a:off x="0" y="2305595"/>
                              <a:ext cx="66675" cy="0"/>
                            </a:xfrm>
                            <a:prstGeom prst="line">
                              <a:avLst/>
                            </a:prstGeom>
                            <a:noFill/>
                            <a:ln w="9525" algn="ctr">
                              <a:solidFill>
                                <a:srgbClr val="000001"/>
                              </a:solidFill>
                              <a:round/>
                            </a:ln>
                          </wps:spPr>
                          <wps:bodyPr/>
                        </wps:wsp>
                        <wps:wsp>
                          <wps:cNvPr id="1178" name="直接连接符 15296"/>
                          <wps:cNvCnPr/>
                          <wps:spPr bwMode="auto">
                            <a:xfrm>
                              <a:off x="0" y="2410098"/>
                              <a:ext cx="66675" cy="0"/>
                            </a:xfrm>
                            <a:prstGeom prst="line">
                              <a:avLst/>
                            </a:prstGeom>
                            <a:noFill/>
                            <a:ln w="9525" algn="ctr">
                              <a:solidFill>
                                <a:srgbClr val="000001"/>
                              </a:solidFill>
                              <a:round/>
                            </a:ln>
                          </wps:spPr>
                          <wps:bodyPr/>
                        </wps:wsp>
                        <wps:wsp>
                          <wps:cNvPr id="1179" name="直接连接符 15297"/>
                          <wps:cNvCnPr/>
                          <wps:spPr bwMode="auto">
                            <a:xfrm>
                              <a:off x="0" y="2508069"/>
                              <a:ext cx="66675" cy="0"/>
                            </a:xfrm>
                            <a:prstGeom prst="line">
                              <a:avLst/>
                            </a:prstGeom>
                            <a:noFill/>
                            <a:ln w="9525" algn="ctr">
                              <a:solidFill>
                                <a:srgbClr val="000001"/>
                              </a:solidFill>
                              <a:round/>
                            </a:ln>
                          </wps:spPr>
                          <wps:bodyPr/>
                        </wps:wsp>
                        <wps:wsp>
                          <wps:cNvPr id="1180" name="直接连接符 15298"/>
                          <wps:cNvCnPr/>
                          <wps:spPr bwMode="auto">
                            <a:xfrm>
                              <a:off x="0" y="2606040"/>
                              <a:ext cx="66675" cy="0"/>
                            </a:xfrm>
                            <a:prstGeom prst="line">
                              <a:avLst/>
                            </a:prstGeom>
                            <a:noFill/>
                            <a:ln w="9525" algn="ctr">
                              <a:solidFill>
                                <a:srgbClr val="000001"/>
                              </a:solidFill>
                              <a:round/>
                            </a:ln>
                          </wps:spPr>
                          <wps:bodyPr/>
                        </wps:wsp>
                        <wps:wsp>
                          <wps:cNvPr id="1181" name="直接连接符 15299"/>
                          <wps:cNvCnPr/>
                          <wps:spPr bwMode="auto">
                            <a:xfrm>
                              <a:off x="0" y="2710543"/>
                              <a:ext cx="66675" cy="0"/>
                            </a:xfrm>
                            <a:prstGeom prst="line">
                              <a:avLst/>
                            </a:prstGeom>
                            <a:noFill/>
                            <a:ln w="9525" algn="ctr">
                              <a:solidFill>
                                <a:srgbClr val="000001"/>
                              </a:solidFill>
                              <a:round/>
                            </a:ln>
                          </wps:spPr>
                          <wps:bodyPr/>
                        </wps:wsp>
                        <wps:wsp>
                          <wps:cNvPr id="1182" name="直接连接符 15300"/>
                          <wps:cNvCnPr/>
                          <wps:spPr bwMode="auto">
                            <a:xfrm>
                              <a:off x="0" y="2808515"/>
                              <a:ext cx="66675" cy="0"/>
                            </a:xfrm>
                            <a:prstGeom prst="line">
                              <a:avLst/>
                            </a:prstGeom>
                            <a:noFill/>
                            <a:ln w="9525" algn="ctr">
                              <a:solidFill>
                                <a:srgbClr val="000001"/>
                              </a:solidFill>
                              <a:round/>
                            </a:ln>
                          </wps:spPr>
                          <wps:bodyPr/>
                        </wps:wsp>
                        <wps:wsp>
                          <wps:cNvPr id="1183" name="直接连接符 15301"/>
                          <wps:cNvCnPr/>
                          <wps:spPr bwMode="auto">
                            <a:xfrm>
                              <a:off x="0" y="2906486"/>
                              <a:ext cx="66675" cy="0"/>
                            </a:xfrm>
                            <a:prstGeom prst="line">
                              <a:avLst/>
                            </a:prstGeom>
                            <a:noFill/>
                            <a:ln w="9525" algn="ctr">
                              <a:solidFill>
                                <a:srgbClr val="000001"/>
                              </a:solidFill>
                              <a:round/>
                            </a:ln>
                          </wps:spPr>
                          <wps:bodyPr/>
                        </wps:wsp>
                        <wps:wsp>
                          <wps:cNvPr id="1184" name="直接连接符 15302"/>
                          <wps:cNvCnPr/>
                          <wps:spPr bwMode="auto">
                            <a:xfrm>
                              <a:off x="0" y="3010989"/>
                              <a:ext cx="66040" cy="0"/>
                            </a:xfrm>
                            <a:prstGeom prst="line">
                              <a:avLst/>
                            </a:prstGeom>
                            <a:noFill/>
                            <a:ln w="9525" algn="ctr">
                              <a:solidFill>
                                <a:srgbClr val="000001"/>
                              </a:solidFill>
                              <a:round/>
                            </a:ln>
                          </wps:spPr>
                          <wps:bodyPr/>
                        </wps:wsp>
                      </wpg:wgp>
                      <wps:wsp>
                        <wps:cNvPr id="1185" name="TextBox 115"/>
                        <wps:cNvSpPr txBox="1">
                          <a:spLocks noChangeArrowheads="1"/>
                        </wps:cNvSpPr>
                        <wps:spPr bwMode="auto">
                          <a:xfrm>
                            <a:off x="951230" y="170815"/>
                            <a:ext cx="735965" cy="283845"/>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sz w:val="15"/>
                                  <w:szCs w:val="15"/>
                                  <w:shd w:val="clear" w:color="auto" w:fill="FFFFFF"/>
                                </w:rPr>
                              </w:pPr>
                            </w:p>
                          </w:txbxContent>
                        </wps:txbx>
                        <wps:bodyPr rot="0" vert="horz" wrap="square" lIns="91440" tIns="45720" rIns="91440" bIns="45720" anchor="t" anchorCtr="0" upright="1">
                          <a:noAutofit/>
                        </wps:bodyPr>
                      </wps:wsp>
                      <wps:wsp>
                        <wps:cNvPr id="1186" name="TextBox 108"/>
                        <wps:cNvSpPr txBox="1">
                          <a:spLocks noChangeArrowheads="1"/>
                        </wps:cNvSpPr>
                        <wps:spPr bwMode="auto">
                          <a:xfrm>
                            <a:off x="2066290" y="1012190"/>
                            <a:ext cx="711835" cy="210820"/>
                          </a:xfrm>
                          <a:prstGeom prst="rect">
                            <a:avLst/>
                          </a:prstGeom>
                          <a:noFill/>
                          <a:ln>
                            <a:noFill/>
                          </a:ln>
                        </wps:spPr>
                        <wps:txbx>
                          <w:txbxContent>
                            <w:p>
                              <w:pPr>
                                <w:pStyle w:val="18"/>
                                <w:adjustRightInd w:val="0"/>
                                <w:snapToGrid w:val="0"/>
                                <w:spacing w:before="0" w:beforeAutospacing="0" w:after="0" w:afterAutospacing="0"/>
                                <w:jc w:val="center"/>
                                <w:rPr>
                                  <w:rFonts w:ascii="Cambria Math" w:hAnsi="Cambria Math" w:cs="Cambria Math"/>
                                  <w:color w:val="000000"/>
                                  <w:sz w:val="15"/>
                                  <w:szCs w:val="15"/>
                                  <w:shd w:val="clear" w:color="auto" w:fill="FFFFFF"/>
                                </w:rPr>
                              </w:pPr>
                            </w:p>
                          </w:txbxContent>
                        </wps:txbx>
                        <wps:bodyPr rot="0" vert="horz" wrap="square" lIns="91440" tIns="45720" rIns="91440" bIns="45720" anchor="t" anchorCtr="0" upright="1">
                          <a:noAutofit/>
                        </wps:bodyPr>
                      </wps:wsp>
                      <wps:wsp>
                        <wps:cNvPr id="1187" name="TextBox 113"/>
                        <wps:cNvSpPr txBox="1">
                          <a:spLocks noChangeArrowheads="1"/>
                        </wps:cNvSpPr>
                        <wps:spPr bwMode="auto">
                          <a:xfrm>
                            <a:off x="1855470" y="598805"/>
                            <a:ext cx="608330" cy="291465"/>
                          </a:xfrm>
                          <a:prstGeom prst="rect">
                            <a:avLst/>
                          </a:prstGeom>
                          <a:noFill/>
                          <a:ln>
                            <a:noFill/>
                          </a:ln>
                        </wps:spPr>
                        <wps:txbx>
                          <w:txbxContent>
                            <w:p>
                              <w:pPr>
                                <w:pStyle w:val="18"/>
                                <w:spacing w:before="0" w:beforeAutospacing="0" w:after="0" w:afterAutospacing="0"/>
                                <w:jc w:val="center"/>
                                <w:rPr>
                                  <w:rFonts w:ascii="Times New Roman" w:hAnsi="Times New Roman" w:cs="Times New Roman"/>
                                  <w:sz w:val="15"/>
                                  <w:szCs w:val="15"/>
                                  <w:shd w:val="clear" w:color="auto" w:fill="FFFFFF"/>
                                </w:rPr>
                              </w:pPr>
                            </w:p>
                          </w:txbxContent>
                        </wps:txbx>
                        <wps:bodyPr rot="0" vert="horz" wrap="square" lIns="91440" tIns="45720" rIns="91440" bIns="45720" anchor="t" anchorCtr="0" upright="1">
                          <a:noAutofit/>
                        </wps:bodyPr>
                      </wps:wsp>
                      <wps:wsp>
                        <wps:cNvPr id="1188" name="TextBox 114"/>
                        <wps:cNvSpPr txBox="1">
                          <a:spLocks noChangeArrowheads="1"/>
                        </wps:cNvSpPr>
                        <wps:spPr bwMode="auto">
                          <a:xfrm>
                            <a:off x="1167765" y="757555"/>
                            <a:ext cx="624205" cy="193040"/>
                          </a:xfrm>
                          <a:prstGeom prst="rect">
                            <a:avLst/>
                          </a:prstGeom>
                          <a:noFill/>
                          <a:ln>
                            <a:noFill/>
                          </a:ln>
                        </wps:spPr>
                        <wps:txbx>
                          <w:txbxContent>
                            <w:p>
                              <w:pPr>
                                <w:pStyle w:val="18"/>
                                <w:adjustRightInd w:val="0"/>
                                <w:snapToGrid w:val="0"/>
                                <w:spacing w:before="0" w:beforeAutospacing="0" w:after="0" w:afterAutospacing="0"/>
                                <w:jc w:val="center"/>
                                <w:rPr>
                                  <w:rFonts w:ascii="Times New Roman" w:hAnsi="Times New Roman" w:cs="Times New Roman"/>
                                  <w:color w:val="000000"/>
                                  <w:sz w:val="15"/>
                                  <w:szCs w:val="15"/>
                                  <w:shd w:val="clear" w:color="auto" w:fill="FFFFFF"/>
                                </w:rPr>
                              </w:pPr>
                            </w:p>
                          </w:txbxContent>
                        </wps:txbx>
                        <wps:bodyPr rot="0" vert="horz" wrap="square" lIns="91440" tIns="45720" rIns="91440" bIns="45720" anchor="t" anchorCtr="0" upright="1">
                          <a:noAutofit/>
                        </wps:bodyPr>
                      </wps:wsp>
                      <wps:wsp>
                        <wps:cNvPr id="1189" name="TextBox 112"/>
                        <wps:cNvSpPr txBox="1">
                          <a:spLocks noChangeArrowheads="1"/>
                        </wps:cNvSpPr>
                        <wps:spPr bwMode="auto">
                          <a:xfrm>
                            <a:off x="669925" y="973455"/>
                            <a:ext cx="535940" cy="253365"/>
                          </a:xfrm>
                          <a:prstGeom prst="rect">
                            <a:avLst/>
                          </a:prstGeom>
                          <a:noFill/>
                          <a:ln>
                            <a:noFill/>
                          </a:ln>
                        </wps:spPr>
                        <wps:txbx>
                          <w:txbxContent>
                            <w:p>
                              <w:pPr>
                                <w:pStyle w:val="18"/>
                                <w:spacing w:before="0" w:beforeAutospacing="0" w:after="0" w:afterAutospacing="0"/>
                                <w:jc w:val="center"/>
                                <w:rPr>
                                  <w:rFonts w:ascii="Times New Roman" w:hAnsi="Times New Roman" w:cs="Times New Roman"/>
                                  <w:sz w:val="15"/>
                                  <w:szCs w:val="15"/>
                                  <w:shd w:val="clear" w:color="auto" w:fill="FFFFFF"/>
                                </w:rPr>
                              </w:pPr>
                            </w:p>
                          </w:txbxContent>
                        </wps:txbx>
                        <wps:bodyPr rot="0" vert="horz" wrap="square" lIns="91440" tIns="45720" rIns="91440" bIns="45720" anchor="t" anchorCtr="0" upright="1">
                          <a:noAutofit/>
                        </wps:bodyPr>
                      </wps:wsp>
                      <wps:wsp>
                        <wps:cNvPr id="1190" name="Text Box 1005"/>
                        <wps:cNvSpPr txBox="1">
                          <a:spLocks noChangeArrowheads="1"/>
                        </wps:cNvSpPr>
                        <wps:spPr bwMode="auto">
                          <a:xfrm>
                            <a:off x="50800" y="180340"/>
                            <a:ext cx="196850" cy="718185"/>
                          </a:xfrm>
                          <a:prstGeom prst="rect">
                            <a:avLst/>
                          </a:prstGeom>
                          <a:noFill/>
                          <a:ln>
                            <a:noFill/>
                          </a:ln>
                        </wps:spPr>
                        <wps:txbx>
                          <w:txbxContent>
                            <w:p>
                              <w:pPr>
                                <w:pStyle w:val="6"/>
                                <w:rPr>
                                  <w:rFonts w:ascii="Times New Roman" w:hAnsi="Times New Roman"/>
                                </w:rPr>
                              </w:pPr>
                            </w:p>
                          </w:txbxContent>
                        </wps:txbx>
                        <wps:bodyPr rot="0" vert="vert270" wrap="square" lIns="0" tIns="0" rIns="0" bIns="0" anchor="t" anchorCtr="0" upright="1">
                          <a:noAutofit/>
                        </wps:bodyPr>
                      </wps:wsp>
                    </wpc:wpc>
                  </a:graphicData>
                </a:graphic>
              </wp:anchor>
            </w:drawing>
          </mc:Choice>
          <mc:Fallback>
            <w:pict>
              <v:group id="画布 15309" o:spid="_x0000_s1026" o:spt="203" style="position:absolute;left:0pt;margin-left:-0.8pt;margin-top:8pt;height:175.25pt;width:242.35pt;mso-wrap-distance-bottom:0pt;mso-wrap-distance-left:9pt;mso-wrap-distance-right:9pt;mso-wrap-distance-top:0pt;z-index:251665408;mso-width-relative:page;mso-height-relative:page;" coordsize="3077845,2225675" editas="canvas" o:gfxdata="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">
                <o:lock v:ext="edit" aspectratio="f"/>
                <v:shape id="画布 15309" o:spid="_x0000_s1026" style="position:absolute;left:0;top:0;height:2225675;width:3077845;" filled="f" stroked="f" coordsize="21600,21600" o:gfxdata="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">
                  <v:fill on="f" focussize="0,0"/>
                  <v:stroke on="f"/>
                  <v:imagedata o:title=""/>
                  <o:lock v:ext="edit" aspectratio="f"/>
                </v:shape>
                <v:group id="组合 15228" o:spid="_x0000_s1026" o:spt="203" style="position:absolute;left:112395;top:63500;height:1694815;width:503555;" coordorigin="567096,761276" coordsize="825101,2942943" o:gfxdata="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">
                  <o:lock v:ext="edit" aspectratio="f"/>
                  <v:shape id="TextBox 118" o:spid="_x0000_s1026" o:spt="202" type="#_x0000_t202" style="position:absolute;left:687025;top:761276;height:435233;width:609790;" filled="f" stroked="f" coordsize="21600,21600" o:gfxdata="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Zmgdr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ascii="Times New Roman" w:hAnsi="Times New Roman" w:cs="Times New Roman"/>
                              <w:color w:val="000000"/>
                              <w:sz w:val="15"/>
                              <w:szCs w:val="15"/>
                            </w:rPr>
                            <w:t>0.10</w:t>
                          </w:r>
                        </w:p>
                      </w:txbxContent>
                    </v:textbox>
                  </v:shape>
                  <v:shape id="TextBox 119" o:spid="_x0000_s1026" o:spt="202" type="#_x0000_t202" style="position:absolute;left:687025;top:1260596;height:334865;width:609790;" filled="f" stroked="f" coordsize="21600,21600" o:gfxdata="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i1QXtvQAA&#10;ANwAAAAPAAAAAAAAAAEAIAAAACIAAABkcnMvZG93bnJldi54bWxQSwECFAAUAAAACACHTuJAMy8F&#10;njsAAAA5AAAAEAAAAAAAAAABACAAAAAMAQAAZHJzL3NoYXBleG1sLnhtbFBLBQYAAAAABgAGAFsB&#10;AAC2Aw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ascii="Times New Roman" w:hAnsi="Times New Roman" w:cs="Times New Roman"/>
                              <w:color w:val="000000"/>
                              <w:sz w:val="15"/>
                              <w:szCs w:val="15"/>
                            </w:rPr>
                            <w:t>0.05</w:t>
                          </w:r>
                        </w:p>
                      </w:txbxContent>
                    </v:textbox>
                  </v:shape>
                  <v:shape id="TextBox 120" o:spid="_x0000_s1026" o:spt="202" type="#_x0000_t202" style="position:absolute;left:782407;top:1739544;height:339141;width:609790;" filled="f" stroked="f" coordsize="21600,21600" o:gfxdata="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SB5uavQAA&#10;ANwAAAAPAAAAAAAAAAEAIAAAACIAAABkcnMvZG93bnJldi54bWxQSwECFAAUAAAACACHTuJAMy8F&#10;njsAAAA5AAAAEAAAAAAAAAABACAAAAAMAQAAZHJzL3NoYXBleG1sLnhtbFBLBQYAAAAABgAGAFsB&#10;AAC2Aw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ascii="Times New Roman" w:hAnsi="Times New Roman" w:cs="Times New Roman"/>
                              <w:color w:val="000000"/>
                              <w:sz w:val="15"/>
                              <w:szCs w:val="15"/>
                            </w:rPr>
                            <w:t>0</w:t>
                          </w:r>
                        </w:p>
                      </w:txbxContent>
                    </v:textbox>
                  </v:shape>
                  <v:shape id="TextBox 121" o:spid="_x0000_s1026" o:spt="202" type="#_x0000_t202" style="position:absolute;left:567096;top:2271940;height:343416;width:719306;" filled="f" stroked="f" coordsize="21600,21600" o:gfxdata="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Us+Ab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ascii="Times New Roman" w:hAnsi="Times New Roman" w:cs="Times New Roman"/>
                              <w:color w:val="000000"/>
                              <w:sz w:val="15"/>
                              <w:szCs w:val="15"/>
                            </w:rPr>
                            <w:t>-0.0</w:t>
                          </w:r>
                          <w:r>
                            <w:rPr>
                              <w:rFonts w:hint="eastAsia" w:ascii="Times New Roman" w:hAnsi="Times New Roman" w:cs="Times New Roman"/>
                              <w:color w:val="000000"/>
                              <w:sz w:val="15"/>
                              <w:szCs w:val="15"/>
                            </w:rPr>
                            <w:t>5</w:t>
                          </w:r>
                        </w:p>
                      </w:txbxContent>
                    </v:textbox>
                  </v:shape>
                  <v:shape id="TextBox 122" o:spid="_x0000_s1026" o:spt="202" type="#_x0000_t202" style="position:absolute;left:573175;top:2758560;height:445794;width:723642;" filled="f" stroked="f" coordsize="21600,21600" o:gfxdata="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M1KpzugAAANwA&#10;AAAPAAAAAAAAAAEAIAAAACIAAABkcnMvZG93bnJldi54bWxQSwECFAAUAAAACACHTuJAMy8FnjsA&#10;AAA5AAAAEAAAAAAAAAABACAAAAAJAQAAZHJzL3NoYXBleG1sLnhtbFBLBQYAAAAABgAGAFsBAACz&#10;Aw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ascii="Times New Roman" w:hAnsi="Times New Roman" w:cs="Times New Roman"/>
                              <w:color w:val="000000"/>
                              <w:sz w:val="15"/>
                              <w:szCs w:val="15"/>
                            </w:rPr>
                            <w:t>-0.10</w:t>
                          </w:r>
                        </w:p>
                      </w:txbxContent>
                    </v:textbox>
                  </v:shape>
                  <v:shape id="TextBox 123" o:spid="_x0000_s1026" o:spt="202" type="#_x0000_t202" style="position:absolute;left:573175;top:3257885;height:446334;width:723642;" filled="f" stroked="f" coordsize="21600,21600" o:gfxdata="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5gP6L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ascii="Times New Roman" w:hAnsi="Times New Roman" w:cs="Times New Roman"/>
                              <w:color w:val="000000"/>
                              <w:sz w:val="15"/>
                              <w:szCs w:val="15"/>
                            </w:rPr>
                            <w:t>-0.15</w:t>
                          </w:r>
                        </w:p>
                      </w:txbxContent>
                    </v:textbox>
                  </v:shape>
                </v:group>
                <v:group id="组合 4132" o:spid="_x0000_s1026" o:spt="203" style="position:absolute;left:337185;top:1599565;height:260985;width:2694305;" coordorigin="890124,3531869" coordsize="4663158,409653" o:gfxdata="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">
                  <o:lock v:ext="edit" aspectratio="f"/>
                  <v:line id="直接连接符 4133" o:spid="_x0000_s1026" o:spt="20" style="position:absolute;left:1469471;top:3805834;height:0;width:66803;" filled="f" stroked="f" coordsize="21600,21600" o:gfxdata="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35AW74A&#10;AADcAAAADwAAAAAAAAABACAAAAAiAAAAZHJzL2Rvd25yZXYueG1sUEsBAhQAFAAAAAgAh07iQDMv&#10;BZ47AAAAOQAAABAAAAAAAAAAAQAgAAAADQEAAGRycy9zaGFwZXhtbC54bWxQSwUGAAAAAAYABgBb&#10;AQAAtwMAAAAA&#10;">
                    <v:fill on="f" focussize="0,0"/>
                    <v:stroke on="f"/>
                    <v:imagedata o:title=""/>
                    <o:lock v:ext="edit" aspectratio="f"/>
                  </v:line>
                  <v:shape id="TextBox 117" o:spid="_x0000_s1026" o:spt="202" type="#_x0000_t202" style="position:absolute;left:4943491;top:3531869;height:409653;width:609791;" filled="f" stroked="f" coordsize="21600,21600" o:gfxdata="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Ontvr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ascii="Times New Roman" w:hAnsi="Times New Roman" w:cs="Times New Roman"/>
                              <w:color w:val="000000"/>
                              <w:sz w:val="15"/>
                              <w:szCs w:val="15"/>
                            </w:rPr>
                            <w:t>200</w:t>
                          </w:r>
                        </w:p>
                      </w:txbxContent>
                    </v:textbox>
                  </v:shape>
                  <v:shape id="TextBox 125" o:spid="_x0000_s1026" o:spt="202" type="#_x0000_t202" style="position:absolute;left:3243869;top:3531871;height:347759;width:609791;" filled="f" stroked="f" coordsize="21600,21600" o:gfxdata="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elSCW8AAAA&#10;3AAAAA8AAAAAAAAAAQAgAAAAIgAAAGRycy9kb3ducmV2LnhtbFBLAQIUABQAAAAIAIdO4kAzLwWe&#10;OwAAADkAAAAQAAAAAAAAAAEAIAAAAAsBAABkcnMvc2hhcGV4bWwueG1sUEsFBgAAAAAGAAYAWwEA&#10;ALUDA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ascii="Times New Roman" w:hAnsi="Times New Roman" w:cs="Times New Roman"/>
                              <w:color w:val="000000"/>
                              <w:sz w:val="15"/>
                              <w:szCs w:val="15"/>
                            </w:rPr>
                            <w:t>140</w:t>
                          </w:r>
                        </w:p>
                      </w:txbxContent>
                    </v:textbox>
                  </v:shape>
                  <v:shape id="TextBox 126" o:spid="_x0000_s1026" o:spt="202" type="#_x0000_t202" style="position:absolute;left:3823217;top:3531871;height:347759;width:609791;" filled="f" stroked="f" coordsize="21600,21600" o:gfxdata="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zQUb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ascii="Times New Roman" w:hAnsi="Times New Roman" w:cs="Times New Roman"/>
                              <w:color w:val="000000"/>
                              <w:sz w:val="15"/>
                              <w:szCs w:val="15"/>
                            </w:rPr>
                            <w:t>160</w:t>
                          </w:r>
                        </w:p>
                      </w:txbxContent>
                    </v:textbox>
                  </v:shape>
                  <v:shape id="TextBox 127" o:spid="_x0000_s1026" o:spt="202" type="#_x0000_t202" style="position:absolute;left:4402563;top:3531871;height:347759;width:609791;" filled="f" stroked="f" coordsize="21600,21600" o:gfxdata="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wB1yr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ascii="Times New Roman" w:hAnsi="Times New Roman" w:cs="Times New Roman"/>
                              <w:color w:val="000000"/>
                              <w:sz w:val="15"/>
                              <w:szCs w:val="15"/>
                            </w:rPr>
                            <w:t>180</w:t>
                          </w:r>
                        </w:p>
                      </w:txbxContent>
                    </v:textbox>
                  </v:shape>
                  <v:shape id="TextBox 128" o:spid="_x0000_s1026" o:spt="202" type="#_x0000_t202" style="position:absolute;left:890124;top:3531869;height:347761;width:609791;" filled="f" stroked="f" coordsize="21600,21600" o:gfxdata="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9Lrvb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rPr>
                          </w:pPr>
                          <w:r>
                            <w:rPr>
                              <w:rFonts w:ascii="Times New Roman" w:hAnsi="Times New Roman" w:cs="Times New Roman"/>
                              <w:color w:val="000000"/>
                              <w:sz w:val="15"/>
                              <w:szCs w:val="15"/>
                            </w:rPr>
                            <w:t>60</w:t>
                          </w:r>
                        </w:p>
                      </w:txbxContent>
                    </v:textbox>
                  </v:shape>
                  <v:shape id="TextBox 129" o:spid="_x0000_s1026" o:spt="202" type="#_x0000_t202" style="position:absolute;left:1505830;top:3531871;height:347759;width:609791;" filled="f" stroked="f" coordsize="21600,21600" o:gfxdata="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J5OJr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rPr>
                          </w:pPr>
                        </w:p>
                      </w:txbxContent>
                    </v:textbox>
                  </v:shape>
                  <v:shape id="TextBox 130" o:spid="_x0000_s1026" o:spt="202" type="#_x0000_t202" style="position:absolute;left:2085176;top:3531871;height:347759;width:609791;" filled="f" stroked="f" coordsize="21600,21600" o:gfxdata="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kB2lS5AAAA3AAA&#10;AA8AAAAAAAAAAQAgAAAAIgAAAGRycy9kb3ducmV2LnhtbFBLAQIUABQAAAAIAIdO4kAzLwWeOwAA&#10;ADkAAAAQAAAAAAAAAAEAIAAAAAgBAABkcnMvc2hhcGV4bWwueG1sUEsFBgAAAAAGAAYAWwEAALID&#10;A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rPr>
                          </w:pPr>
                        </w:p>
                      </w:txbxContent>
                    </v:textbox>
                  </v:shape>
                  <v:shape id="TextBox 131" o:spid="_x0000_s1026" o:spt="202" type="#_x0000_t202" style="position:absolute;left:2664523;top:3531871;height:347759;width:609791;" filled="f" stroked="f" coordsize="21600,21600" o:gfxdata="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k1/z7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rPr>
                          </w:pPr>
                        </w:p>
                      </w:txbxContent>
                    </v:textbox>
                  </v:shape>
                </v:group>
                <v:shape id="TextBox 124" o:spid="_x0000_s1026" o:spt="202" type="#_x0000_t202" style="position:absolute;left:2216785;top:1758315;height:222885;width:693420;" filled="f" stroked="f" coordsize="21600,21600" o:gfxdata="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7PRux1wAAAAkBAAAPAAAAAAAA&#10;AAEAIAAAACIAAABkcnMvZG93bnJldi54bWxQSwECFAAUAAAACACHTuJA16x+MhMCAAAiBAAADgAA&#10;AAAAAAABACAAAAAmAQAAZHJzL2Uyb0RvYy54bWxQSwUGAAAAAAYABgBZAQAAqwU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rPr>
                        </w:pPr>
                      </w:p>
                    </w:txbxContent>
                  </v:textbox>
                </v:shape>
                <v:shape id="TextBox 124" o:spid="_x0000_s1026" o:spt="202" type="#_x0000_t202" style="position:absolute;left:623570;top:1915795;height:290830;width:2014220;" filled="f" stroked="f" coordsize="21600,21600" o:gfxdata="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Ls9G7HXAAAACQEAAA8AAAAA&#10;AAAAAQAgAAAAIgAAAGRycy9kb3ducmV2LnhtbFBLAQIUABQAAAAIAIdO4kBa9DQqFQIAACIEAAAO&#10;AAAAAAAAAAEAIAAAACYBAABkcnMvZTJvRG9jLnhtbFBLBQYAAAAABgAGAFkBAACtBQAAAAA=&#10;">
                  <v:fill on="f" focussize="0,0"/>
                  <v:stroke on="f"/>
                  <v:imagedata o:title=""/>
                  <o:lock v:ext="edit" aspectratio="f"/>
                  <v:textbox>
                    <w:txbxContent>
                      <w:p>
                        <w:pPr>
                          <w:pStyle w:val="18"/>
                          <w:spacing w:before="0" w:beforeAutospacing="0" w:after="0" w:afterAutospacing="0"/>
                          <w:jc w:val="center"/>
                          <w:rPr>
                            <w:rFonts w:ascii="Times New Roman" w:hAnsi="Times New Roman" w:eastAsia="黑体" w:cs="Times New Roman"/>
                            <w:sz w:val="18"/>
                            <w:szCs w:val="18"/>
                          </w:rPr>
                        </w:pPr>
                      </w:p>
                    </w:txbxContent>
                  </v:textbox>
                </v:shape>
                <v:group id="组合 4145" o:spid="_x0000_s1026" o:spt="203" style="position:absolute;left:521335;top:138430;height:1452245;width:2363470;" coordorigin="1143224,855863" coordsize="4056345,2514333" o:gfxdata="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">
                  <o:lock v:ext="edit" aspectratio="f"/>
                  <v:line id="直接连接符 4146" o:spid="_x0000_s1026" o:spt="20" style="position:absolute;left:1151997;top:3367704;height:0;width:4038694;" filled="f" stroked="t" coordsize="21600,21600" o:gfxdata="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QsfAa8AAAA&#10;3AAAAA8AAAAAAAAAAQAgAAAAIgAAAGRycy9kb3ducmV2LnhtbFBLAQIUABQAAAAIAIdO4kAzLwWe&#10;OwAAADkAAAAQAAAAAAAAAAEAIAAAAAsBAABkcnMvc2hhcGV4bWwueG1sUEsFBgAAAAAGAAYAWwEA&#10;ALUDAAAAAA==&#10;">
                    <v:fill on="f" focussize="0,0"/>
                    <v:stroke color="#000001" joinstyle="round"/>
                    <v:imagedata o:title=""/>
                    <o:lock v:ext="edit" aspectratio="f"/>
                  </v:line>
                  <v:line id="直接连接符 4147" o:spid="_x0000_s1026" o:spt="20" style="position:absolute;left:1149464;top:861417;height:0;width:4046582;" filled="f" stroked="t" coordsize="21600,21600" o:gfxdata="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8Xkcr4A&#10;AADcAAAADwAAAAAAAAABACAAAAAiAAAAZHJzL2Rvd25yZXYueG1sUEsBAhQAFAAAAAgAh07iQDMv&#10;BZ47AAAAOQAAABAAAAAAAAAAAQAgAAAADQEAAGRycy9zaGFwZXhtbC54bWxQSwUGAAAAAAYABgBb&#10;AQAAtwMAAAAA&#10;">
                    <v:fill on="f" focussize="0,0"/>
                    <v:stroke color="#000001" joinstyle="round"/>
                    <v:imagedata o:title=""/>
                    <o:lock v:ext="edit" aspectratio="f"/>
                  </v:line>
                  <v:line id="直接连接符 4149" o:spid="_x0000_s1026" o:spt="20" style="position:absolute;left:1152003;top:2867289;height:0;width:4038694;" filled="f" stroked="t" coordsize="21600,21600" o:gfxdata="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FOOxai2AAAA3AAAAA8A&#10;AAAAAAAAAQAgAAAAIgAAAGRycy9kb3ducmV2LnhtbFBLAQIUABQAAAAIAIdO4kAzLwWeOwAAADkA&#10;AAAQAAAAAAAAAAEAIAAAAAUBAABkcnMvc2hhcGV4bWwueG1sUEsFBgAAAAAGAAYAWwEAAK8DAAAA&#10;AA==&#10;">
                    <v:fill on="f" focussize="0,0"/>
                    <v:stroke color="#000001" joinstyle="round" dashstyle="1 1"/>
                    <v:imagedata o:title=""/>
                    <o:lock v:ext="edit" aspectratio="f"/>
                  </v:line>
                  <v:line id="直接连接符 4150" o:spid="_x0000_s1026" o:spt="20" style="position:absolute;left:1160875;top:1368283;height:0;width:4038694;" filled="f" stroked="t" coordsize="21600,21600" o:gfxdata="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KNcW9+2AAAA3AAAAA8A&#10;AAAAAAAAAQAgAAAAIgAAAGRycy9kb3ducmV2LnhtbFBLAQIUABQAAAAIAIdO4kAzLwWeOwAAADkA&#10;AAAQAAAAAAAAAAEAIAAAAAUBAABkcnMvc2hhcGV4bWwueG1sUEsFBgAAAAAGAAYAWwEAAK8DAAAA&#10;AA==&#10;">
                    <v:fill on="f" focussize="0,0"/>
                    <v:stroke color="#000001" joinstyle="round" dashstyle="1 1"/>
                    <v:imagedata o:title=""/>
                    <o:lock v:ext="edit" aspectratio="f"/>
                  </v:line>
                  <v:line id="直接连接符 4151" o:spid="_x0000_s1026" o:spt="20" style="position:absolute;left:1151996;top:1868003;height:0;width:4038694;" filled="f" stroked="t" coordsize="21600,21600" o:gfxdata="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MwQ/kS2AAAA3AAAAA8A&#10;AAAAAAAAAQAgAAAAIgAAAGRycy9kb3ducmV2LnhtbFBLAQIUABQAAAAIAIdO4kAzLwWeOwAAADkA&#10;AAAQAAAAAAAAAAEAIAAAAAUBAABkcnMvc2hhcGV4bWwueG1sUEsFBgAAAAAGAAYAWwEAAK8DAAAA&#10;AA==&#10;">
                    <v:fill on="f" focussize="0,0"/>
                    <v:stroke color="#000001" joinstyle="round" dashstyle="1 1"/>
                    <v:imagedata o:title=""/>
                    <o:lock v:ext="edit" aspectratio="f"/>
                  </v:line>
                  <v:line id="直接连接符 4152" o:spid="_x0000_s1026" o:spt="20" style="position:absolute;left:1151997;top:2364376;height:0;width:4038694;" filled="f" stroked="t" coordsize="21600,21600" o:gfxdata="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">
                    <v:fill on="f" focussize="0,0"/>
                    <v:stroke color="#000001" joinstyle="round" dashstyle="1 1"/>
                    <v:imagedata o:title=""/>
                    <o:lock v:ext="edit" aspectratio="f"/>
                  </v:line>
                  <v:group id="组合 4153" o:spid="_x0000_s1026" o:spt="203" style="position:absolute;left:1149076;top:855863;height:2511131;width:4039485;" coordorigin="923924,662271" coordsize="4334724,2706465" o:gfxdata="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0AGyuvwAAANwAAAAPAAAAAAAAAAEAIAAAACIAAABkcnMvZG93bnJldi54&#10;bWxQSwECFAAUAAAACACHTuJAMy8FnjsAAAA5AAAAFQAAAAAAAAABACAAAAAOAQAAZHJzL2dyb3Vw&#10;c2hhcGV4bWwueG1sUEsFBgAAAAAGAAYAYAEAAMsDAAAAAA==&#10;">
                    <o:lock v:ext="edit" aspectratio="f"/>
                    <v:line id="直接连接符 4154" o:spid="_x0000_s1026" o:spt="20" style="position:absolute;left:923924;top:666546;height:2686978;width:0;" filled="f" stroked="t" coordsize="21600,21600" o:gfxdata="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KFXhrugAAANwA&#10;AAAPAAAAAAAAAAEAIAAAACIAAABkcnMvZG93bnJldi54bWxQSwECFAAUAAAACACHTuJAMy8FnjsA&#10;AAA5AAAAEAAAAAAAAAABACAAAAAJAQAAZHJzL3NoYXBleG1sLnhtbFBLBQYAAAAABgAGAFsBAACz&#10;AwAAAAA=&#10;">
                      <v:fill on="f" focussize="0,0"/>
                      <v:stroke color="#000001" joinstyle="round"/>
                      <v:imagedata o:title=""/>
                      <o:lock v:ext="edit" aspectratio="f"/>
                    </v:line>
                    <v:line id="直接连接符 4158" o:spid="_x0000_s1026" o:spt="20" style="position:absolute;left:5258648;top:674418;height:2686976;width:0;" filled="f" stroked="t" coordsize="21600,21600" o:gfxdata="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5Vnd8LsAAADc&#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4159" o:spid="_x0000_s1026" o:spt="20" style="position:absolute;left:4656790;top:664987;height:2686979;width:0;" filled="f" stroked="t" coordsize="21600,21600" o:gfxdata="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EKMx8a2AAAA3AAAAA8A&#10;AAAAAAAAAQAgAAAAIgAAAGRycy9kb3ducmV2LnhtbFBLAQIUABQAAAAIAIdO4kAzLwWeOwAAADkA&#10;AAAQAAAAAAAAAAEAIAAAAAUBAABkcnMvc2hhcGV4bWwueG1sUEsFBgAAAAAGAAYAWwEAAK8DAAAA&#10;AA==&#10;">
                      <v:fill on="f" focussize="0,0"/>
                      <v:stroke color="#000001" joinstyle="round" dashstyle="1 1"/>
                      <v:imagedata o:title=""/>
                      <o:lock v:ext="edit" aspectratio="f"/>
                    </v:line>
                    <v:line id="直接连接符 15232" o:spid="_x0000_s1026" o:spt="20" style="position:absolute;left:4036071;top:662271;height:2686979;width:0;" filled="f" stroked="t" coordsize="21600,21600" o:gfxdata="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C3AYl22AAAA3AAAAA8A&#10;AAAAAAAAAQAgAAAAIgAAAGRycy9kb3ducmV2LnhtbFBLAQIUABQAAAAIAIdO4kAzLwWeOwAAADkA&#10;AAAQAAAAAAAAAAEAIAAAAAUBAABkcnMvc2hhcGV4bWwueG1sUEsFBgAAAAAGAAYAWwEAAK8DAAAA&#10;AA==&#10;">
                      <v:fill on="f" focussize="0,0"/>
                      <v:stroke color="#000001" joinstyle="round" dashstyle="1 1"/>
                      <v:imagedata o:title=""/>
                      <o:lock v:ext="edit" aspectratio="f"/>
                    </v:line>
                    <v:line id="直接连接符 15233" o:spid="_x0000_s1026" o:spt="20" style="position:absolute;left:3419173;top:681757;height:2686979;width:0;" filled="f" stroked="t" coordsize="21600,21600" o:gfxdata="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HStqlugAAAN0A&#10;AAAPAAAAAAAAAAEAIAAAACIAAABkcnMvZG93bnJldi54bWxQSwECFAAUAAAACACHTuJAMy8FnjsA&#10;AAA5AAAAEAAAAAAAAAABACAAAAAJAQAAZHJzL3NoYXBleG1sLnhtbFBLBQYAAAAABgAGAFsBAACz&#10;AwAAAAA=&#10;">
                      <v:fill on="f" focussize="0,0"/>
                      <v:stroke color="#000001" joinstyle="round" dashstyle="1 1"/>
                      <v:imagedata o:title=""/>
                      <o:lock v:ext="edit" aspectratio="f"/>
                    </v:line>
                    <v:line id="直接连接符 15234" o:spid="_x0000_s1026" o:spt="20" style="position:absolute;left:2791924;top:672162;height:2686979;width:0;" filled="f" stroked="t" coordsize="21600,21600" o:gfxdata="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BoBn8+tAAAAN0AAAAPAAAA&#10;AAAAAAEAIAAAACIAAABkcnMvZG93bnJldi54bWxQSwECFAAUAAAACACHTuJAMy8FnjsAAAA5AAAA&#10;EAAAAAAAAAABACAAAAADAQAAZHJzL3NoYXBleG1sLnhtbFBLBQYAAAAABgAGAFsBAACtAwAAAAA=&#10;">
                      <v:fill on="f" focussize="0,0"/>
                      <v:stroke color="#000001" joinstyle="round" dashstyle="1 1"/>
                      <v:imagedata o:title=""/>
                      <o:lock v:ext="edit" aspectratio="f"/>
                    </v:line>
                    <v:line id="直接连接符 15235" o:spid="_x0000_s1026" o:spt="20" style="position:absolute;left:2170338;top:666214;height:2686979;width:0;" filled="f" stroked="t" coordsize="21600,21600" o:gfxdata="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CY1OFJtAAAAN0AAAAPAAAA&#10;AAAAAAEAIAAAACIAAABkcnMvZG93bnJldi54bWxQSwECFAAUAAAACACHTuJAMy8FnjsAAAA5AAAA&#10;EAAAAAAAAAABACAAAAADAQAAZHJzL3NoYXBleG1sLnhtbFBLBQYAAAAABgAGAFsBAACtAwAAAAA=&#10;">
                      <v:fill on="f" focussize="0,0"/>
                      <v:stroke color="#000001" joinstyle="round" dashstyle="1 1"/>
                      <v:imagedata o:title=""/>
                      <o:lock v:ext="edit" aspectratio="f"/>
                    </v:line>
                    <v:line id="直接连接符 15236" o:spid="_x0000_s1026" o:spt="20" style="position:absolute;left:1547131;top:666547;height:2686977;width:0;" filled="f" stroked="t" coordsize="21600,21600" o:gfxdata="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D3mETStAAAAN0AAAAPAAAA&#10;AAAAAAEAIAAAACIAAABkcnMvZG93bnJldi54bWxQSwECFAAUAAAACACHTuJAMy8FnjsAAAA5AAAA&#10;EAAAAAAAAAABACAAAAADAQAAZHJzL3NoYXBleG1sLnhtbFBLBQYAAAAABgAGAFsBAACtAwAAAAA=&#10;">
                      <v:fill on="f" focussize="0,0"/>
                      <v:stroke color="#000001" joinstyle="round" dashstyle="1 1"/>
                      <v:imagedata o:title=""/>
                      <o:lock v:ext="edit" aspectratio="f"/>
                    </v:line>
                  </v:group>
                  <v:shape id="任意多边形 15237" o:spid="_x0000_s1026" o:spt="100" style="position:absolute;left:1143224;top:864627;height:1035289;width:902009;" filled="f" stroked="t" coordsize="971002,1106819" o:gfxdata="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D0L/L4A&#10;AADdAAAADwAAAAAAAAABACAAAAAiAAAAZHJzL2Rvd25yZXYueG1sUEsBAhQAFAAAAAgAh07iQDMv&#10;BZ47AAAAOQAAABAAAAAAAAAAAQAgAAAADQEAAGRycy9zaGFwZXhtbC54bWxQSwUGAAAAAAYABgBb&#10;AQAAtwMAAAAA&#10;" path="m0,1077707c30163,1092391,60326,1107076,80963,1106282c101600,1105488,103981,1072944,123825,1072944c143669,1072944,178594,1104694,200025,1106282c221456,1107870,234951,1083263,252413,1082469c269875,1081675,284956,1098344,304800,1101519c324644,1104694,349250,1102313,371475,1101519c393700,1100725,421481,1095963,438150,1096757c454819,1097551,450851,1109457,471488,1106282c492126,1103107,535781,1084851,561975,1077707c588169,1070563,609600,1076913,628650,1063419c647700,1049925,662781,1026906,676275,996744c689769,966581,697707,924513,709613,882444c721519,840375,741363,768938,747713,744332c754063,719726,739776,730044,747713,734807c755651,739569,785813,763382,795338,772907c804863,782432,797719,776082,804863,791957c812007,807832,827881,842757,838200,868157c848519,893557,860425,922926,866775,944357c873125,965788,874713,987219,876300,996744c877888,1006269,873125,1011826,876300,1001507c879475,991188,889794,957851,895350,934832c900906,911813,900907,923719,909638,863394c918369,803069,938213,675276,947738,572882c957263,470488,963128,337806,966788,249032c970448,160258,966521,102946,969696,40240c972871,-22466,970557,-39578,959445,198944e">
                    <v:path textboxrect="0,0,971002,1106819" o:connectlocs="0,1008058;75210,1034786;115026,1003603;185812,1034786;234478,1012512;283142,1030331;345080,1030331;407017,1025877;437987,1034786;522044,1008058;583982,994693;628223,932327;659192,825414;694585,696228;694585,687318;738826,722956;747674,740775;778643,812050;805187,883326;814035,932327;814035,936782;831732,874416;845005,807595;880397,535858;898094,232937;900795,37639;891273,186086" o:connectangles="0,0,0,0,0,0,0,0,0,0,0,0,0,0,0,0,0,0,0,0,0,0,0,0,0,0,0"/>
                    <v:fill on="f" focussize="0,0"/>
                    <v:stroke color="#000001" miterlimit="8" joinstyle="miter"/>
                    <v:imagedata o:title=""/>
                    <o:lock v:ext="edit" aspectratio="f"/>
                    <v:textbox>
                      <w:txbxContent>
                        <w:p/>
                      </w:txbxContent>
                    </v:textbox>
                  </v:shape>
                  <v:shape id="任意多边形 15238" o:spid="_x0000_s1026" o:spt="100" style="position:absolute;left:1149076;top:2561255;height:713052;width:4035776;" filled="f" stroked="t" coordsize="4362450,766958" o:gfxdata="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92wqm/&#10;AAAA3QAAAA8AAAAAAAAAAQAgAAAAIgAAAGRycy9kb3ducmV2LnhtbFBLAQIUABQAAAAIAIdO4kAz&#10;LwWeOwAAADkAAAAQAAAAAAAAAAEAIAAAAA4BAABkcnMvc2hhcGV4bWwueG1sUEsFBgAAAAAGAAYA&#10;WwEAALgDAAAAAA==&#10;" path="m0,371628c25797,360118,51594,348609,76200,347815c100806,347021,126206,362896,147637,366865c169068,370834,188118,374009,204787,371628c221456,369247,225425,353372,247650,352578c269875,351784,306387,364484,338137,366865c369887,369246,409575,367659,438150,366865c466725,366071,484187,364484,509587,362103c534987,359722,561181,354165,590550,352578c619919,350991,654050,350197,685800,352578c717550,354959,751681,366865,781050,366865c810419,366865,831850,354165,862012,352578l962025,357340c989806,358927,1010444,362897,1028700,362103c1046956,361309,1053306,353372,1071562,352578c1089818,351784,1116806,360515,1138237,357340c1159668,354165,1173956,333528,1200150,333528c1226344,333528,1258888,354165,1295400,357340c1331912,360515,1374775,350990,1419225,352578c1463675,354165,1524000,365277,1562100,366865c1600200,368453,1620838,362897,1647825,362103c1674812,361309,1698625,364484,1724025,362103c1749425,359722,1778794,348609,1800225,347815c1821656,347021,1831181,358134,1852612,357340c1874043,356546,1907381,344641,1928812,343053c1950243,341465,1958181,343846,1981200,347815c2004219,351784,2035175,363690,2066925,366865c2098675,370040,2138363,369246,2171700,366865c2205037,364484,2233613,355753,2266950,352578c2300287,349403,2335213,347021,2371725,347815c2408238,348609,2452688,357340,2486025,357340c2519362,357340,2540000,346227,2571750,347815c2603500,349403,2640806,363690,2676525,366865c2712244,370040,2751931,368452,2786062,366865c2820193,365278,2859087,358927,2881312,357340c2903537,355753,2907506,360515,2919412,357340c2931318,354165,2940050,346227,2952750,338290c2965450,330353,2979737,322415,2995612,309715c3011487,297015,3035300,275584,3048000,262090c3060700,248596,3059906,242247,3071812,228753c3083718,215259,3103562,193828,3119437,181128c3135312,168428,3151981,158109,3167062,152553c3182143,146997,3197225,148584,3209925,147790c3222625,146996,3223418,143028,3243262,147790c3263106,152552,3305175,162078,3328987,176365c3352799,190652,3368675,216846,3386137,233515c3403600,250184,3419475,261297,3433762,276378c3448050,291459,3460750,309715,3471862,324003c3482975,338290,3488531,345434,3500437,362103c3512343,378772,3527425,394646,3543300,424015c3559175,453384,3580606,507359,3595687,538315c3610768,569271,3623468,587528,3633787,609753c3644106,631978,3648075,654996,3657600,671665c3667125,688334,3680618,697065,3690937,709765c3701256,722465,3708400,738340,3719512,747865c3730625,757390,3742531,767709,3757612,766915c3772693,766121,3793331,759772,3810000,743103c3826669,726434,3841750,699447,3857625,666903c3873500,634359,3905250,547840,3905250,547840c3916362,520059,3910806,530377,3924300,500215c3937794,470053,3971131,406553,3986212,366865c4001293,327177,4003675,297809,4014787,262090c4025900,226371,4043362,181922,4052887,152553c4062412,123184,4063206,105722,4071937,85878c4080668,66034,4093369,46190,4105275,33490c4117181,20790,4133056,15234,4143375,9678c4153694,4122,4153693,947,4167187,153c4180681,-641,4207668,1740,4224337,4915c4241006,8090,4253706,14441,4267200,19203c4280694,23965,4291013,27934,4305300,33490c4319588,39046,4343400,48571,4352925,52540c4362450,56509,4362450,56906,4362450,57303e">
                    <v:path textboxrect="0,0,4362450,766958" o:connectlocs="70493,323368;189451,345507;312816,341079;471427,336652;634445,327796;797461,327796;951667,336652;1053002,332224;1198396,332224;1445125,341079;1594924,336652;1713882,332224;1832841,323368;2009076,341079;2194122,323368;2379169,323368;2577432,341079;2700797,332224;2771291,287946;2841785,212674;2929902,141830;3000396,137402;3132572,217102;3211878,301230;3277966,394212;3361677,566896;3414548,659878;3476230,713012;3568753,620029;3630436,465057;3714147,243668;3767017,79842;3833106,8997;3908005,4569;3982905,31136;4035776,53275" o:connectangles="0,0,0,0,0,0,0,0,0,0,0,0,0,0,0,0,0,0,0,0,0,0,0,0,0,0,0,0,0,0,0,0,0,0,0,0"/>
                    <v:fill on="f" focussize="0,0"/>
                    <v:stroke color="#000001" miterlimit="8" joinstyle="miter"/>
                    <v:imagedata o:title=""/>
                    <o:lock v:ext="edit" aspectratio="f"/>
                    <v:textbox>
                      <w:txbxContent>
                        <w:p/>
                      </w:txbxContent>
                    </v:textbox>
                  </v:shape>
                  <v:group id="组合 15239" o:spid="_x0000_s1026" o:spt="203" style="position:absolute;left:1151998;top:3303392;height:66804;width:3910159;" coordorigin="1074327,3278701" coordsize="4214321,72001" o:gfxdata="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GkLjQO+AAAA3QAAAA8AAAAAAAAAAQAgAAAAIgAAAGRycy9kb3ducmV2Lnht&#10;bFBLAQIUABQAAAAIAIdO4kAzLwWeOwAAADkAAAAVAAAAAAAAAAEAIAAAAA0BAABkcnMvZ3JvdXBz&#10;aGFwZXhtbC54bWxQSwUGAAAAAAYABgBgAQAAygMAAAAA&#10;">
                    <o:lock v:ext="edit" aspectratio="f"/>
                    <v:line id="直接连接符 15240" o:spid="_x0000_s1026" o:spt="20" style="position:absolute;left:5252648;top:3314701;height:0;width:72000;rotation:5898240f;" filled="f" stroked="t" coordsize="21600,21600" o:gfxdata="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N2YsrS5AAAA3QAA&#10;AA8AAAAAAAAAAQAgAAAAIgAAAGRycy9kb3ducmV2LnhtbFBLAQIUABQAAAAIAIdO4kAzLwWeOwAA&#10;ADkAAAAQAAAAAAAAAAEAIAAAAAgBAABkcnMvc2hhcGV4bWwueG1sUEsFBgAAAAAGAAYAWwEAALID&#10;AAAAAA==&#10;">
                      <v:fill on="f" focussize="0,0"/>
                      <v:stroke color="#000001" joinstyle="round"/>
                      <v:imagedata o:title=""/>
                      <o:lock v:ext="edit" aspectratio="f"/>
                    </v:line>
                    <v:line id="直接连接符 15241" o:spid="_x0000_s1026" o:spt="20" style="position:absolute;left:5096562;top:3314701;height:0;width:72001;rotation:5898240f;" filled="f" stroked="t" coordsize="21600,21600" o:gfxdata="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wHJsa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line id="直接连接符 15242" o:spid="_x0000_s1026" o:spt="20" style="position:absolute;left:4940476;top:3314701;height:0;width:72001;rotation:5898240f;" filled="f" stroked="t" coordsize="21600,21600" o:gfxdata="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w0uDXbgAAADdAAAA&#10;DwAAAAAAAAABACAAAAAiAAAAZHJzL2Rvd25yZXYueG1sUEsBAhQAFAAAAAgAh07iQDMvBZ47AAAA&#10;OQAAABAAAAAAAAAAAQAgAAAABwEAAGRycy9zaGFwZXhtbC54bWxQSwUGAAAAAAYABgBbAQAAsQMA&#10;AAAA&#10;">
                      <v:fill on="f" focussize="0,0"/>
                      <v:stroke color="#000001" joinstyle="round"/>
                      <v:imagedata o:title=""/>
                      <o:lock v:ext="edit" aspectratio="f"/>
                    </v:line>
                    <v:line id="直接连接符 15243" o:spid="_x0000_s1026" o:spt="20" style="position:absolute;left:4784391;top:3314702;height:0;width:72000;rotation:5898240f;" filled="f" stroked="t" coordsize="21600,21600" o:gfxdata="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XqLwdvQAA&#10;AN0AAAAPAAAAAAAAAAEAIAAAACIAAABkcnMvZG93bnJldi54bWxQSwECFAAUAAAACACHTuJAMy8F&#10;njsAAAA5AAAAEAAAAAAAAAABACAAAAAMAQAAZHJzL3NoYXBleG1sLnhtbFBLBQYAAAAABgAGAFsB&#10;AAC2AwAAAAA=&#10;">
                      <v:fill on="f" focussize="0,0"/>
                      <v:stroke color="#000001" joinstyle="round"/>
                      <v:imagedata o:title=""/>
                      <o:lock v:ext="edit" aspectratio="f"/>
                    </v:line>
                    <v:line id="直接连接符 15244" o:spid="_x0000_s1026" o:spt="20" style="position:absolute;left:4628305;top:3314701;height:0;width:72001;rotation:5898240f;" filled="f" stroked="t" coordsize="21600,21600" o:gfxdata="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OQZhrsAAADd&#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15245" o:spid="_x0000_s1026" o:spt="20" style="position:absolute;left:4472218;top:3314701;height:0;width:72001;rotation:5898240f;" filled="f" stroked="t" coordsize="21600,21600" o:gfxdata="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neiJqugAAAN0A&#10;AAAPAAAAAAAAAAEAIAAAACIAAABkcnMvZG93bnJldi54bWxQSwECFAAUAAAACACHTuJAMy8FnjsA&#10;AAA5AAAAEAAAAAAAAAABACAAAAAJAQAAZHJzL3NoYXBleG1sLnhtbFBLBQYAAAAABgAGAFsBAACz&#10;AwAAAAA=&#10;">
                      <v:fill on="f" focussize="0,0"/>
                      <v:stroke color="#000001" joinstyle="round"/>
                      <v:imagedata o:title=""/>
                      <o:lock v:ext="edit" aspectratio="f"/>
                    </v:line>
                    <v:line id="直接连接符 15246" o:spid="_x0000_s1026" o:spt="20" style="position:absolute;left:4316133;top:3314702;height:0;width:72000;rotation:5898240f;" filled="f" stroked="t" coordsize="21600,21600" o:gfxdata="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JO6HrsAAADd&#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15247" o:spid="_x0000_s1026" o:spt="20" style="position:absolute;left:4160047;top:3314702;height:0;width:72000;rotation:5898240f;" filled="f" stroked="t" coordsize="21600,21600" o:gfxdata="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98fhbsAAADd&#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15248" o:spid="_x0000_s1026" o:spt="20" style="position:absolute;left:4003960;top:3314701;height:0;width:72001;rotation:5898240f;" filled="f" stroked="t" coordsize="21600,21600" o:gfxdata="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w2B8rsAAADd&#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15249" o:spid="_x0000_s1026" o:spt="20" style="position:absolute;left:3847874;top:3314701;height:0;width:72001;rotation:5898240f;" filled="f" stroked="t" coordsize="21600,21600" o:gfxdata="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YQSRpugAAAN0A&#10;AAAPAAAAAAAAAAEAIAAAACIAAABkcnMvZG93bnJldi54bWxQSwECFAAUAAAACACHTuJAMy8FnjsA&#10;AAA5AAAAEAAAAAAAAAABACAAAAAJAQAAZHJzL3NoYXBleG1sLnhtbFBLBQYAAAAABgAGAFsBAACz&#10;AwAAAAA=&#10;">
                      <v:fill on="f" focussize="0,0"/>
                      <v:stroke color="#000001" joinstyle="round"/>
                      <v:imagedata o:title=""/>
                      <o:lock v:ext="edit" aspectratio="f"/>
                    </v:line>
                    <v:line id="直接连接符 15250" o:spid="_x0000_s1026" o:spt="20" style="position:absolute;left:3691789;top:3314702;height:0;width:72000;rotation:5898240f;" filled="f" stroked="t" coordsize="21600,21600" o:gfxdata="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p3rAbvQAA&#10;AN0AAAAPAAAAAAAAAAEAIAAAACIAAABkcnMvZG93bnJldi54bWxQSwECFAAUAAAACACHTuJAMy8F&#10;njsAAAA5AAAAEAAAAAAAAAABACAAAAAMAQAAZHJzL3NoYXBleG1sLnhtbFBLBQYAAAAABgAGAFsB&#10;AAC2AwAAAAA=&#10;">
                      <v:fill on="f" focussize="0,0"/>
                      <v:stroke color="#000001" joinstyle="round"/>
                      <v:imagedata o:title=""/>
                      <o:lock v:ext="edit" aspectratio="f"/>
                    </v:line>
                    <v:line id="直接连接符 15251" o:spid="_x0000_s1026" o:spt="20" style="position:absolute;left:3535703;top:3314702;height:0;width:72000;rotation:5898240f;" filled="f" stroked="t" coordsize="21600,21600" o:gfxdata="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GkhWAugAAAN0A&#10;AAAPAAAAAAAAAAEAIAAAACIAAABkcnMvZG93bnJldi54bWxQSwECFAAUAAAACACHTuJAMy8FnjsA&#10;AAA5AAAAEAAAAAAAAAABACAAAAAJAQAAZHJzL3NoYXBleG1sLnhtbFBLBQYAAAAABgAGAFsBAACz&#10;AwAAAAA=&#10;">
                      <v:fill on="f" focussize="0,0"/>
                      <v:stroke color="#000001" joinstyle="round"/>
                      <v:imagedata o:title=""/>
                      <o:lock v:ext="edit" aspectratio="f"/>
                    </v:line>
                    <v:line id="直接连接符 15252" o:spid="_x0000_s1026" o:spt="20" style="position:absolute;left:3379616;top:3314701;height:0;width:72001;rotation:5898240f;" filled="f" stroked="t" coordsize="21600,21600" o:gfxdata="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Prs9gvQAA&#10;AN0AAAAPAAAAAAAAAAEAIAAAACIAAABkcnMvZG93bnJldi54bWxQSwECFAAUAAAACACHTuJAMy8F&#10;njsAAAA5AAAAEAAAAAAAAAABACAAAAAMAQAAZHJzL3NoYXBleG1sLnhtbFBLBQYAAAAABgAGAFsB&#10;AAC2AwAAAAA=&#10;">
                      <v:fill on="f" focussize="0,0"/>
                      <v:stroke color="#000001" joinstyle="round"/>
                      <v:imagedata o:title=""/>
                      <o:lock v:ext="edit" aspectratio="f"/>
                    </v:line>
                    <v:line id="直接连接符 15253" o:spid="_x0000_s1026" o:spt="20" style="position:absolute;left:3223530;top:3314701;height:0;width:72001;rotation:5898240f;" filled="f" stroked="t" coordsize="21600,21600" o:gfxdata="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4OJq+7sAAADd&#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15254" o:spid="_x0000_s1026" o:spt="20" style="position:absolute;left:3067445;top:3314702;height:0;width:72000;rotation:5898240f;" filled="f" stroked="t" coordsize="21600,21600" o:gfxdata="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BAw9Iy5AAAA3QAA&#10;AA8AAAAAAAAAAQAgAAAAIgAAAGRycy9kb3ducmV2LnhtbFBLAQIUABQAAAAIAIdO4kAzLwWeOwAA&#10;ADkAAAAQAAAAAAAAAAEAIAAAAAgBAABkcnMvc2hhcGV4bWwueG1sUEsFBgAAAAAGAAYAWwEAALID&#10;AAAAAA==&#10;">
                      <v:fill on="f" focussize="0,0"/>
                      <v:stroke color="#000001" joinstyle="round"/>
                      <v:imagedata o:title=""/>
                      <o:lock v:ext="edit" aspectratio="f"/>
                    </v:line>
                    <v:line id="直接连接符 15255" o:spid="_x0000_s1026" o:spt="20" style="position:absolute;left:2911359;top:3314701;height:0;width:72001;rotation:5898240f;" filled="f" stroked="t" coordsize="21600,21600" o:gfxdata="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3xRF7sAAADd&#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15256" o:spid="_x0000_s1026" o:spt="20" style="position:absolute;left:2755272;top:3314701;height:0;width:72001;rotation:5898240f;" filled="f" stroked="t" coordsize="21600,21600" o:gfxdata="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PCVyWO5AAAA3QAA&#10;AA8AAAAAAAAAAQAgAAAAIgAAAGRycy9kb3ducmV2LnhtbFBLAQIUABQAAAAIAIdO4kAzLwWeOwAA&#10;ADkAAAAQAAAAAAAAAAEAIAAAAAgBAABkcnMvc2hhcGV4bWwueG1sUEsFBgAAAAAGAAYAWwEAALID&#10;AAAAAA==&#10;">
                      <v:fill on="f" focussize="0,0"/>
                      <v:stroke color="#000001" joinstyle="round"/>
                      <v:imagedata o:title=""/>
                      <o:lock v:ext="edit" aspectratio="f"/>
                    </v:line>
                    <v:line id="直接连接符 15257" o:spid="_x0000_s1026" o:spt="20" style="position:absolute;left:2599187;top:3314702;height:0;width:72000;rotation:5898240f;" filled="f" stroked="t" coordsize="21600,21600" o:gfxdata="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9ls+LsAAADd&#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15258" o:spid="_x0000_s1026" o:spt="20" style="position:absolute;left:2443101;top:3314702;height:0;width:72000;rotation:5898240f;" filled="f" stroked="t" coordsize="21600,21600" o:gfxdata="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wvyj7sAAADd&#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15259" o:spid="_x0000_s1026" o:spt="20" style="position:absolute;left:2287015;top:3314701;height:0;width:72001;rotation:5898240f;" filled="f" stroked="t" coordsize="21600,21600" o:gfxdata="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AR1cUugAAAN0A&#10;AAAPAAAAAAAAAAEAIAAAACIAAABkcnMvZG93bnJldi54bWxQSwECFAAUAAAACACHTuJAMy8FnjsA&#10;AAA5AAAAEAAAAAAAAAABACAAAAAJAQAAZHJzL3NoYXBleG1sLnhtbFBLBQYAAAAABgAGAFsBAACz&#10;AwAAAAA=&#10;">
                      <v:fill on="f" focussize="0,0"/>
                      <v:stroke color="#000001" joinstyle="round"/>
                      <v:imagedata o:title=""/>
                      <o:lock v:ext="edit" aspectratio="f"/>
                    </v:line>
                    <v:line id="直接连接符 15260" o:spid="_x0000_s1026" o:spt="20" style="position:absolute;left:2130928;top:3314701;height:0;width:72001;rotation:5898240f;" filled="f" stroked="t" coordsize="21600,21600" o:gfxdata="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x2MNmvQAA&#10;AN0AAAAPAAAAAAAAAAEAIAAAACIAAABkcnMvZG93bnJldi54bWxQSwECFAAUAAAACACHTuJAMy8F&#10;njsAAAA5AAAAEAAAAAAAAAABACAAAAAMAQAAZHJzL3NoYXBleG1sLnhtbFBLBQYAAAAABgAGAFsB&#10;AAC2AwAAAAA=&#10;">
                      <v:fill on="f" focussize="0,0"/>
                      <v:stroke color="#000001" joinstyle="round"/>
                      <v:imagedata o:title=""/>
                      <o:lock v:ext="edit" aspectratio="f"/>
                    </v:line>
                    <v:line id="直接连接符 15261" o:spid="_x0000_s1026" o:spt="20" style="position:absolute;left:1974843;top:3314702;height:0;width:72000;rotation:5898240f;" filled="f" stroked="t" coordsize="21600,21600" o:gfxdata="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elGb9ugAAAN0A&#10;AAAPAAAAAAAAAAEAIAAAACIAAABkcnMvZG93bnJldi54bWxQSwECFAAUAAAACACHTuJAMy8FnjsA&#10;AAA5AAAAEAAAAAAAAAABACAAAAAJAQAAZHJzL3NoYXBleG1sLnhtbFBLBQYAAAAABgAGAFsBAACz&#10;AwAAAAA=&#10;">
                      <v:fill on="f" focussize="0,0"/>
                      <v:stroke color="#000001" joinstyle="round"/>
                      <v:imagedata o:title=""/>
                      <o:lock v:ext="edit" aspectratio="f"/>
                    </v:line>
                    <v:line id="直接连接符 15262" o:spid="_x0000_s1026" o:spt="20" style="position:absolute;left:1818757;top:3314702;height:0;width:72000;rotation:5898240f;" filled="f" stroked="t" coordsize="21600,21600" o:gfxdata="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ndZvbsAAADd&#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15263" o:spid="_x0000_s1026" o:spt="20" style="position:absolute;left:1662671;top:3314701;height:0;width:72001;rotation:5898240f;" filled="f" stroked="t" coordsize="21600,21600" o:gfxdata="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GU7/Ca2AAAA3QAAAA8A&#10;AAAAAAAAAQAgAAAAIgAAAGRycy9kb3ducmV2LnhtbFBLAQIUABQAAAAIAIdO4kAzLwWeOwAAADkA&#10;AAAQAAAAAAAAAAEAIAAAAAUBAABkcnMvc2hhcGV4bWwueG1sUEsFBgAAAAAGAAYAWwEAAK8DAAAA&#10;AA==&#10;">
                      <v:fill on="f" focussize="0,0"/>
                      <v:stroke color="#000001" joinstyle="round"/>
                      <v:imagedata o:title=""/>
                      <o:lock v:ext="edit" aspectratio="f"/>
                    </v:line>
                    <v:line id="直接连接符 15264" o:spid="_x0000_s1026" o:spt="20" style="position:absolute;left:1506584;top:3314701;height:0;width:72001;rotation:5898240f;" filled="f" stroked="t" coordsize="21600,21600" o:gfxdata="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JXpYlG2AAAA3QAAAA8A&#10;AAAAAAAAAQAgAAAAIgAAAGRycy9kb3ducmV2LnhtbFBLAQIUABQAAAAIAIdO4kAzLwWeOwAAADkA&#10;AAAQAAAAAAAAAAEAIAAAAAUBAABkcnMvc2hhcGV4bWwueG1sUEsFBgAAAAAGAAYAWwEAAK8DAAAA&#10;AA==&#10;">
                      <v:fill on="f" focussize="0,0"/>
                      <v:stroke color="#000001" joinstyle="round"/>
                      <v:imagedata o:title=""/>
                      <o:lock v:ext="edit" aspectratio="f"/>
                    </v:line>
                    <v:line id="直接连接符 15265" o:spid="_x0000_s1026" o:spt="20" style="position:absolute;left:1350499;top:3314702;height:0;width:72000;rotation:5898240f;" filled="f" stroked="t" coordsize="21600,21600" o:gfxdata="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XHyrsAAADd&#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15266" o:spid="_x0000_s1026" o:spt="20" style="position:absolute;left:1194413;top:3314701;height:0;width:72001;rotation:5898240f;" filled="f" stroked="t" coordsize="21600,21600" o:gfxdata="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UxfvrsAAADd&#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15267" o:spid="_x0000_s1026" o:spt="20" style="position:absolute;left:1039914;top:3316288;height:0;width:68825;rotation:5898240f;" filled="f" stroked="t" coordsize="21600,21600" o:gfxdata="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p2w3a8AAAA&#10;3QAAAA8AAAAAAAAAAQAgAAAAIgAAAGRycy9kb3ducmV2LnhtbFBLAQIUABQAAAAIAIdO4kAzLwWe&#10;OwAAADkAAAAQAAAAAAAAAAEAIAAAAAsBAABkcnMvc2hhcGV4bWwueG1sUEsFBgAAAAAGAAYAWwEA&#10;ALUDAAAAAA==&#10;">
                      <v:fill on="f" focussize="0,0"/>
                      <v:stroke color="#4A7EBB" joinstyle="round"/>
                      <v:imagedata o:title=""/>
                      <o:lock v:ext="edit" aspectratio="f"/>
                    </v:line>
                  </v:group>
                  <v:line id="直接连接符 15268" o:spid="_x0000_s1026" o:spt="20" style="position:absolute;left:3900178;top:2017737;height:835044;width:0;" filled="f" stroked="t" coordsize="21600,21600" o:gfxdata="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9//b4A&#10;AADdAAAADwAAAAAAAAABACAAAAAiAAAAZHJzL2Rvd25yZXYueG1sUEsBAhQAFAAAAAgAh07iQDMv&#10;BZ47AAAAOQAAABAAAAAAAAAAAQAgAAAADQEAAGRycy9zaGFwZXhtbC54bWxQSwUGAAAAAAYABgBb&#10;AQAAtwMAAAAA&#10;">
                    <v:fill on="f" focussize="0,0"/>
                    <v:stroke color="#000001" joinstyle="round" endarrow="classic" endarrowwidth="narrow"/>
                    <v:imagedata o:title=""/>
                    <o:lock v:ext="edit" aspectratio="f"/>
                  </v:line>
                  <v:line id="直接连接符 15269" o:spid="_x0000_s1026" o:spt="20" style="position:absolute;left:1728117;top:1868003;flip:y;height:567830;width:0;" filled="f" stroked="t" coordsize="21600,21600" o:gfxdata="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of6BtvQAA&#10;AN0AAAAPAAAAAAAAAAEAIAAAACIAAABkcnMvZG93bnJldi54bWxQSwECFAAUAAAACACHTuJAMy8F&#10;njsAAAA5AAAAEAAAAAAAAAABACAAAAAMAQAAZHJzL3NoYXBleG1sLnhtbFBLBQYAAAAABgAGAFsB&#10;AAC2AwAAAAA=&#10;">
                    <v:fill on="f" focussize="0,0"/>
                    <v:stroke color="#000001" joinstyle="round" startarrowwidth="narrow" endarrow="classic" endarrowwidth="narrow"/>
                    <v:imagedata o:title=""/>
                    <o:lock v:ext="edit" aspectratio="f"/>
                  </v:line>
                  <v:line id="直接连接符 15270" o:spid="_x0000_s1026" o:spt="20" style="position:absolute;left:2813406;top:1203365;height:2173772;width:0;rotation:-5898240f;" filled="f" stroked="t" coordsize="21600,21600" o:gfxdata="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aYmb&#10;isEAAADdAAAADwAAAAAAAAABACAAAAAiAAAAZHJzL2Rvd25yZXYueG1sUEsBAhQAFAAAAAgAh07i&#10;QDMvBZ47AAAAOQAAABAAAAAAAAAAAQAgAAAAEAEAAGRycy9zaGFwZXhtbC54bWxQSwUGAAAAAAYA&#10;BgBbAQAAugMAAAAA&#10;">
                    <v:fill on="f" focussize="0,0"/>
                    <v:stroke color="#000001" joinstyle="round" startarrow="classic" startarrowwidth="narrow" endarrow="classic" endarrowwidth="narrow"/>
                    <v:imagedata o:title=""/>
                    <o:lock v:ext="edit" aspectratio="f"/>
                  </v:line>
                </v:group>
                <v:group id="组合 15271" o:spid="_x0000_s1026" o:spt="203" style="position:absolute;left:523875;top:197485;height:1390015;width:53975;" coordorigin="0,600892" coordsize="66675,2410097" o:gfxdata="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">
                  <o:lock v:ext="edit" aspectratio="f"/>
                  <v:line id="直接连接符 15278" o:spid="_x0000_s1026" o:spt="20" style="position:absolute;left:0;top:600892;height:0;width:66675;" filled="f" stroked="t" coordsize="21600,21600" o:gfxdata="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YC2QvQAA&#10;AN0AAAAPAAAAAAAAAAEAIAAAACIAAABkcnMvZG93bnJldi54bWxQSwECFAAUAAAACACHTuJAMy8F&#10;njsAAAA5AAAAEAAAAAAAAAABACAAAAAMAQAAZHJzL3NoYXBleG1sLnhtbFBLBQYAAAAABgAGAFsB&#10;AAC2AwAAAAA=&#10;">
                    <v:fill on="f" focussize="0,0"/>
                    <v:stroke color="#000001" joinstyle="round"/>
                    <v:imagedata o:title=""/>
                    <o:lock v:ext="edit" aspectratio="f"/>
                  </v:line>
                  <v:line id="直接连接符 15279" o:spid="_x0000_s1026" o:spt="20" style="position:absolute;left:0;top:698863;height:0;width:66675;" filled="f" stroked="t" coordsize="21600,21600" o:gfxdata="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riyIC7gAAADdAAAA&#10;DwAAAAAAAAABACAAAAAiAAAAZHJzL2Rvd25yZXYueG1sUEsBAhQAFAAAAAgAh07iQDMvBZ47AAAA&#10;OQAAABAAAAAAAAAAAQAgAAAABwEAAGRycy9zaGFwZXhtbC54bWxQSwUGAAAAAAYABgBbAQAAsQMA&#10;AAAA&#10;">
                    <v:fill on="f" focussize="0,0"/>
                    <v:stroke color="#000001" joinstyle="round"/>
                    <v:imagedata o:title=""/>
                    <o:lock v:ext="edit" aspectratio="f"/>
                  </v:line>
                  <v:line id="直接连接符 15280" o:spid="_x0000_s1026" o:spt="20" style="position:absolute;left:0;top:803366;height:0;width:66675;" filled="f" stroked="t" coordsize="21600,21600" o:gfxdata="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v4WfLsAAADd&#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15281" o:spid="_x0000_s1026" o:spt="20" style="position:absolute;left:0;top:901338;height:0;width:66675;" filled="f" stroked="t" coordsize="21600,21600" o:gfxdata="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xsrPnugAAAN0A&#10;AAAPAAAAAAAAAAEAIAAAACIAAABkcnMvZG93bnJldi54bWxQSwECFAAUAAAACACHTuJAMy8FnjsA&#10;AAA5AAAAEAAAAAAAAAABACAAAAAJAQAAZHJzL3NoYXBleG1sLnhtbFBLBQYAAAAABgAGAFsBAACz&#10;AwAAAAA=&#10;">
                    <v:fill on="f" focussize="0,0"/>
                    <v:stroke color="#000001" joinstyle="round"/>
                    <v:imagedata o:title=""/>
                    <o:lock v:ext="edit" aspectratio="f"/>
                  </v:line>
                  <v:line id="直接连接符 15282" o:spid="_x0000_s1026" o:spt="20" style="position:absolute;left:0;top:1005840;height:0;width:66675;" filled="f" stroked="t" coordsize="21600,21600" o:gfxdata="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5bK5O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line id="直接连接符 15283" o:spid="_x0000_s1026" o:spt="20" style="position:absolute;left:0;top:1103812;height:0;width:66675;" filled="f" stroked="t" coordsize="21600,21600" o:gfxdata="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EXjgi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line id="直接连接符 15284" o:spid="_x0000_s1026" o:spt="20" style="position:absolute;left:0;top:1201783;height:0;width:66675;" filled="f" stroked="t" coordsize="21600,21600" o:gfxdata="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cUQf7sAAADd&#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15285" o:spid="_x0000_s1026" o:spt="20" style="position:absolute;left:0;top:1306286;height:0;width:66675;" filled="f" stroked="t" coordsize="21600,21600" o:gfxdata="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6JteS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line id="直接连接符 15286" o:spid="_x0000_s1026" o:spt="20" style="position:absolute;left:0;top:1404258;height:0;width:66675;" filled="f" stroked="t" coordsize="21600,21600" o:gfxdata="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FiGWvQAA&#10;AN0AAAAPAAAAAAAAAAEAIAAAACIAAABkcnMvZG93bnJldi54bWxQSwECFAAUAAAACACHTuJAMy8F&#10;njsAAAA5AAAAEAAAAAAAAAABACAAAAAMAQAAZHJzL3NoYXBleG1sLnhtbFBLBQYAAAAABgAGAFsB&#10;AAC2AwAAAAA=&#10;">
                    <v:fill on="f" focussize="0,0"/>
                    <v:stroke color="#000001" joinstyle="round"/>
                    <v:imagedata o:title=""/>
                    <o:lock v:ext="edit" aspectratio="f"/>
                  </v:line>
                  <v:line id="直接连接符 15287" o:spid="_x0000_s1026" o:spt="20" style="position:absolute;left:0;top:1502229;height:0;width:66675;" filled="f" stroked="t" coordsize="21600,21600" o:gfxdata="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BahA2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line id="直接连接符 15288" o:spid="_x0000_s1026" o:spt="20" style="position:absolute;left:0;top:1606732;height:0;width:66675;" filled="f" stroked="t" coordsize="21600,21600" o:gfxdata="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EubtNvQAA&#10;AN0AAAAPAAAAAAAAAAEAIAAAACIAAABkcnMvZG93bnJldi54bWxQSwECFAAUAAAACACHTuJAMy8F&#10;njsAAAA5AAAAEAAAAAAAAAABACAAAAAMAQAAZHJzL3NoYXBleG1sLnhtbFBLBQYAAAAABgAGAFsB&#10;AAC2AwAAAAA=&#10;">
                    <v:fill on="f" focussize="0,0"/>
                    <v:stroke color="#000001" joinstyle="round"/>
                    <v:imagedata o:title=""/>
                    <o:lock v:ext="edit" aspectratio="f"/>
                  </v:line>
                  <v:line id="直接连接符 15289" o:spid="_x0000_s1026" o:spt="20" style="position:absolute;left:0;top:1704703;height:0;width:66675;" filled="f" stroked="t" coordsize="21600,21600" o:gfxdata="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Cv1Hta5AAAA3QAA&#10;AA8AAAAAAAAAAQAgAAAAIgAAAGRycy9kb3ducmV2LnhtbFBLAQIUABQAAAAIAIdO4kAzLwWeOwAA&#10;ADkAAAAQAAAAAAAAAAEAIAAAAAgBAABkcnMvc2hhcGV4bWwueG1sUEsFBgAAAAAGAAYAWwEAALID&#10;AAAAAA==&#10;">
                    <v:fill on="f" focussize="0,0"/>
                    <v:stroke color="#000001" joinstyle="round"/>
                    <v:imagedata o:title=""/>
                    <o:lock v:ext="edit" aspectratio="f"/>
                  </v:line>
                  <v:line id="直接连接符 15290" o:spid="_x0000_s1026" o:spt="20" style="position:absolute;left:0;top:1802675;height:0;width:66675;" filled="f" stroked="t" coordsize="21600,21600" o:gfxdata="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bJ4ChugAAAN0A&#10;AAAPAAAAAAAAAAEAIAAAACIAAABkcnMvZG93bnJldi54bWxQSwECFAAUAAAACACHTuJAMy8FnjsA&#10;AAA5AAAAEAAAAAAAAAABACAAAAAJAQAAZHJzL3NoYXBleG1sLnhtbFBLBQYAAAAABgAGAFsBAACz&#10;AwAAAAA=&#10;">
                    <v:fill on="f" focussize="0,0"/>
                    <v:stroke color="#000001" joinstyle="round"/>
                    <v:imagedata o:title=""/>
                    <o:lock v:ext="edit" aspectratio="f"/>
                  </v:line>
                  <v:line id="直接连接符 15291" o:spid="_x0000_s1026" o:spt="20" style="position:absolute;left:0;top:1907178;height:0;width:66675;" filled="f" stroked="t" coordsize="21600,21600" o:gfxdata="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GslOrsAAADd&#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15292" o:spid="_x0000_s1026" o:spt="20" style="position:absolute;left:0;top:2005149;height:0;width:66675;" filled="f" stroked="t" coordsize="21600,21600" o:gfxdata="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uCvU6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line id="直接连接符 15293" o:spid="_x0000_s1026" o:spt="20" style="position:absolute;left:0;top:2109652;height:0;width:66675;" filled="f" stroked="t" coordsize="21600,21600" o:gfxdata="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TOGNW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line id="直接连接符 15294" o:spid="_x0000_s1026" o:spt="20" style="position:absolute;left:0;top:2207623;height:0;width:66675;" filled="f" stroked="t" coordsize="21600,21600" o:gfxdata="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QchqK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line id="直接连接符 15295" o:spid="_x0000_s1026" o:spt="20" style="position:absolute;left:0;top:2305595;height:0;width:66675;" filled="f" stroked="t" coordsize="21600,21600" o:gfxdata="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tQIzm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line id="直接连接符 15296" o:spid="_x0000_s1026" o:spt="20" style="position:absolute;left:0;top:2410098;height:0;width:66675;" filled="f" stroked="t" coordsize="21600,21600" o:gfxdata="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6z7dLvQAA&#10;AN0AAAAPAAAAAAAAAAEAIAAAACIAAABkcnMvZG93bnJldi54bWxQSwECFAAUAAAACACHTuJAMy8F&#10;njsAAAA5AAAAEAAAAAAAAAABACAAAAAMAQAAZHJzL3NoYXBleG1sLnhtbFBLBQYAAAAABgAGAFsB&#10;AAC2AwAAAAA=&#10;">
                    <v:fill on="f" focussize="0,0"/>
                    <v:stroke color="#000001" joinstyle="round"/>
                    <v:imagedata o:title=""/>
                    <o:lock v:ext="edit" aspectratio="f"/>
                  </v:line>
                  <v:line id="直接连接符 15297" o:spid="_x0000_s1026" o:spt="20" style="position:absolute;left:0;top:2508069;height:0;width:66675;" filled="f" stroked="t" coordsize="21600,21600" o:gfxdata="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WDEtC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line id="直接连接符 15298" o:spid="_x0000_s1026" o:spt="20" style="position:absolute;left:0;top:2606040;height:0;width:66675;" filled="f" stroked="t" coordsize="21600,21600" o:gfxdata="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xbMtqvQAA&#10;AN0AAAAPAAAAAAAAAAEAIAAAACIAAABkcnMvZG93bnJldi54bWxQSwECFAAUAAAACACHTuJAMy8F&#10;njsAAAA5AAAAEAAAAAAAAAABACAAAAAMAQAAZHJzL3NoYXBleG1sLnhtbFBLBQYAAAAABgAGAFsB&#10;AAC2AwAAAAA=&#10;">
                    <v:fill on="f" focussize="0,0"/>
                    <v:stroke color="#000001" joinstyle="round"/>
                    <v:imagedata o:title=""/>
                    <o:lock v:ext="edit" aspectratio="f"/>
                  </v:line>
                  <v:line id="直接连接符 15299" o:spid="_x0000_s1026" o:spt="20" style="position:absolute;left:0;top:2710543;height:0;width:66675;" filled="f" stroked="t" coordsize="21600,21600" o:gfxdata="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HiBu8bgAAADdAAAA&#10;DwAAAAAAAAABACAAAAAiAAAAZHJzL2Rvd25yZXYueG1sUEsBAhQAFAAAAAgAh07iQDMvBZ47AAAA&#10;OQAAABAAAAAAAAAAAQAgAAAABwEAAGRycy9zaGFwZXhtbC54bWxQSwUGAAAAAAYABgBbAQAAsQMA&#10;AAAA&#10;">
                    <v:fill on="f" focussize="0,0"/>
                    <v:stroke color="#000001" joinstyle="round"/>
                    <v:imagedata o:title=""/>
                    <o:lock v:ext="edit" aspectratio="f"/>
                  </v:line>
                  <v:line id="直接连接符 15300" o:spid="_x0000_s1026" o:spt="20" style="position:absolute;left:0;top:2808515;height:0;width:66675;" filled="f" stroked="t" coordsize="21600,21600" o:gfxdata="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7vLwhrsAAADd&#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15301" o:spid="_x0000_s1026" o:spt="20" style="position:absolute;left:0;top:2906486;height:0;width:66675;" filled="f" stroked="t" coordsize="21600,21600" o:gfxdata="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b5VHbsAAADd&#10;AAAADwAAAAAAAAABACAAAAAiAAAAZHJzL2Rvd25yZXYueG1sUEsBAhQAFAAAAAgAh07iQDMvBZ47&#10;AAAAOQAAABAAAAAAAAAAAQAgAAAACgEAAGRycy9zaGFwZXhtbC54bWxQSwUGAAAAAAYABgBbAQAA&#10;tAMAAAAA&#10;">
                    <v:fill on="f" focussize="0,0"/>
                    <v:stroke color="#000001" joinstyle="round"/>
                    <v:imagedata o:title=""/>
                    <o:lock v:ext="edit" aspectratio="f"/>
                  </v:line>
                  <v:line id="直接连接符 15302" o:spid="_x0000_s1026" o:spt="20" style="position:absolute;left:0;top:3010989;height:0;width:66040;" filled="f" stroked="t" coordsize="21600,21600" o:gfxdata="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5XzWm8AAAA&#10;3QAAAA8AAAAAAAAAAQAgAAAAIgAAAGRycy9kb3ducmV2LnhtbFBLAQIUABQAAAAIAIdO4kAzLwWe&#10;OwAAADkAAAAQAAAAAAAAAAEAIAAAAAsBAABkcnMvc2hhcGV4bWwueG1sUEsFBgAAAAAGAAYAWwEA&#10;ALUDAAAAAA==&#10;">
                    <v:fill on="f" focussize="0,0"/>
                    <v:stroke color="#000001" joinstyle="round"/>
                    <v:imagedata o:title=""/>
                    <o:lock v:ext="edit" aspectratio="f"/>
                  </v:line>
                </v:group>
                <v:shape id="TextBox 115" o:spid="_x0000_s1026" o:spt="202" type="#_x0000_t202" style="position:absolute;left:951230;top:170815;height:283845;width:735965;" filled="f" stroked="f" coordsize="21600,21600" o:gfxdata="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7PRux1wAAAAkBAAAPAAAAAAAA&#10;AAEAIAAAACIAAABkcnMvZG93bnJldi54bWxQSwECFAAUAAAACACHTuJA8lypxBMCAAAhBAAADgAA&#10;AAAAAAABACAAAAAmAQAAZHJzL2Uyb0RvYy54bWxQSwUGAAAAAAYABgBZAQAAqwU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sz w:val="15"/>
                            <w:szCs w:val="15"/>
                            <w:shd w:val="clear" w:color="auto" w:fill="FFFFFF"/>
                          </w:rPr>
                        </w:pPr>
                      </w:p>
                    </w:txbxContent>
                  </v:textbox>
                </v:shape>
                <v:shape id="TextBox 108" o:spid="_x0000_s1026" o:spt="202" type="#_x0000_t202" style="position:absolute;left:2066290;top:1012190;height:210820;width:711835;" filled="f" stroked="f" coordsize="21600,21600" o:gfxdata="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Ls9G7HXAAAACQEAAA8AAAAAAAAA&#10;AQAgAAAAIgAAAGRycy9kb3ducmV2LnhtbFBLAQIUABQAAAAIAIdO4kD1+cCbEgIAACMEAAAOAAAA&#10;AAAAAAEAIAAAACYBAABkcnMvZTJvRG9jLnhtbFBLBQYAAAAABgAGAFkBAACqBQAAAAA=&#10;">
                  <v:fill on="f" focussize="0,0"/>
                  <v:stroke on="f"/>
                  <v:imagedata o:title=""/>
                  <o:lock v:ext="edit" aspectratio="f"/>
                  <v:textbox>
                    <w:txbxContent>
                      <w:p>
                        <w:pPr>
                          <w:pStyle w:val="18"/>
                          <w:adjustRightInd w:val="0"/>
                          <w:snapToGrid w:val="0"/>
                          <w:spacing w:before="0" w:beforeAutospacing="0" w:after="0" w:afterAutospacing="0"/>
                          <w:jc w:val="center"/>
                          <w:rPr>
                            <w:rFonts w:ascii="Cambria Math" w:hAnsi="Cambria Math" w:cs="Cambria Math"/>
                            <w:color w:val="000000"/>
                            <w:sz w:val="15"/>
                            <w:szCs w:val="15"/>
                            <w:shd w:val="clear" w:color="auto" w:fill="FFFFFF"/>
                          </w:rPr>
                        </w:pPr>
                      </w:p>
                    </w:txbxContent>
                  </v:textbox>
                </v:shape>
                <v:shape id="TextBox 113" o:spid="_x0000_s1026" o:spt="202" type="#_x0000_t202" style="position:absolute;left:1855470;top:598805;height:291465;width:608330;" filled="f" stroked="f" coordsize="21600,21600" o:gfxdata="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7PRux1wAAAAkBAAAPAAAAAAAA&#10;AAEAIAAAACIAAABkcnMvZG93bnJldi54bWxQSwECFAAUAAAACACHTuJAPNP0GBMCAAAiBAAADgAA&#10;AAAAAAABACAAAAAmAQAAZHJzL2Uyb0RvYy54bWxQSwUGAAAAAAYABgBZAQAAqwUAAAAA&#10;">
                  <v:fill on="f" focussize="0,0"/>
                  <v:stroke on="f"/>
                  <v:imagedata o:title=""/>
                  <o:lock v:ext="edit" aspectratio="f"/>
                  <v:textbox>
                    <w:txbxContent>
                      <w:p>
                        <w:pPr>
                          <w:pStyle w:val="18"/>
                          <w:spacing w:before="0" w:beforeAutospacing="0" w:after="0" w:afterAutospacing="0"/>
                          <w:jc w:val="center"/>
                          <w:rPr>
                            <w:rFonts w:ascii="Times New Roman" w:hAnsi="Times New Roman" w:cs="Times New Roman"/>
                            <w:sz w:val="15"/>
                            <w:szCs w:val="15"/>
                            <w:shd w:val="clear" w:color="auto" w:fill="FFFFFF"/>
                          </w:rPr>
                        </w:pPr>
                      </w:p>
                    </w:txbxContent>
                  </v:textbox>
                </v:shape>
                <v:shape id="TextBox 114" o:spid="_x0000_s1026" o:spt="202" type="#_x0000_t202" style="position:absolute;left:1167765;top:757555;height:193040;width:624205;" filled="f" stroked="f" coordsize="21600,21600" o:gfxdata="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Ls9G7HXAAAACQEAAA8AAAAA&#10;AAAAAQAgAAAAIgAAAGRycy9kb3ducmV2LnhtbFBLAQIUABQAAAAIAIdO4kDlMEtFFQIAACIEAAAO&#10;AAAAAAAAAAEAIAAAACYBAABkcnMvZTJvRG9jLnhtbFBLBQYAAAAABgAGAFkBAACtBQAAAAA=&#10;">
                  <v:fill on="f" focussize="0,0"/>
                  <v:stroke on="f"/>
                  <v:imagedata o:title=""/>
                  <o:lock v:ext="edit" aspectratio="f"/>
                  <v:textbox>
                    <w:txbxContent>
                      <w:p>
                        <w:pPr>
                          <w:pStyle w:val="18"/>
                          <w:adjustRightInd w:val="0"/>
                          <w:snapToGrid w:val="0"/>
                          <w:spacing w:before="0" w:beforeAutospacing="0" w:after="0" w:afterAutospacing="0"/>
                          <w:jc w:val="center"/>
                          <w:rPr>
                            <w:rFonts w:ascii="Times New Roman" w:hAnsi="Times New Roman" w:cs="Times New Roman"/>
                            <w:color w:val="000000"/>
                            <w:sz w:val="15"/>
                            <w:szCs w:val="15"/>
                            <w:shd w:val="clear" w:color="auto" w:fill="FFFFFF"/>
                          </w:rPr>
                        </w:pPr>
                      </w:p>
                    </w:txbxContent>
                  </v:textbox>
                </v:shape>
                <v:shape id="TextBox 112" o:spid="_x0000_s1026" o:spt="202" type="#_x0000_t202" style="position:absolute;left:669925;top:973455;height:253365;width:535940;" filled="f" stroked="f" coordsize="21600,21600" o:gfxdata="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uz0bsdcAAAAJAQAADwAAAAAA&#10;AAABACAAAAAiAAAAZHJzL2Rvd25yZXYueG1sUEsBAhQAFAAAAAgAh07iQHlFFN0UAgAAIQQAAA4A&#10;AAAAAAAAAQAgAAAAJgEAAGRycy9lMm9Eb2MueG1sUEsFBgAAAAAGAAYAWQEAAKwFAAAAAA==&#10;">
                  <v:fill on="f" focussize="0,0"/>
                  <v:stroke on="f"/>
                  <v:imagedata o:title=""/>
                  <o:lock v:ext="edit" aspectratio="f"/>
                  <v:textbox>
                    <w:txbxContent>
                      <w:p>
                        <w:pPr>
                          <w:pStyle w:val="18"/>
                          <w:spacing w:before="0" w:beforeAutospacing="0" w:after="0" w:afterAutospacing="0"/>
                          <w:jc w:val="center"/>
                          <w:rPr>
                            <w:rFonts w:ascii="Times New Roman" w:hAnsi="Times New Roman" w:cs="Times New Roman"/>
                            <w:sz w:val="15"/>
                            <w:szCs w:val="15"/>
                            <w:shd w:val="clear" w:color="auto" w:fill="FFFFFF"/>
                          </w:rPr>
                        </w:pPr>
                      </w:p>
                    </w:txbxContent>
                  </v:textbox>
                </v:shape>
                <v:shape id="Text Box 1005" o:spid="_x0000_s1026" o:spt="202" type="#_x0000_t202" style="position:absolute;left:50800;top:180340;height:718185;width:196850;" filled="f" stroked="f" coordsize="21600,21600" o:gfxdata="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dMC/d1gAAAAkBAAAPAAAAAAAAAAEAIAAAACIAAABk&#10;cnMvZG93bnJldi54bWxQSwECFAAUAAAACACHTuJALFZvSQgCAAAVBAAADgAAAAAAAAABACAAAAAl&#10;AQAAZHJzL2Uyb0RvYy54bWxQSwUGAAAAAAYABgBZAQAAnwUAAAAA&#10;">
                  <v:fill on="f" focussize="0,0"/>
                  <v:stroke on="f"/>
                  <v:imagedata o:title=""/>
                  <o:lock v:ext="edit" aspectratio="f"/>
                  <v:textbox inset="0mm,0mm,0mm,0mm" style="layout-flow:vertical;mso-layout-flow-alt:bottom-to-top;">
                    <w:txbxContent>
                      <w:p>
                        <w:pPr>
                          <w:pStyle w:val="6"/>
                          <w:rPr>
                            <w:rFonts w:ascii="Times New Roman" w:hAnsi="Times New Roman"/>
                          </w:rPr>
                        </w:pPr>
                      </w:p>
                    </w:txbxContent>
                  </v:textbox>
                </v:shape>
                <w10:wrap type="square" side="left"/>
              </v:group>
            </w:pict>
          </mc:Fallback>
        </mc:AlternateContent>
      </w:r>
      <w:r>
        <w:rPr>
          <w:rFonts w:hint="eastAsia" w:ascii="黑体" w:hAnsi="黑体" w:eastAsia="黑体" w:cs="黑体"/>
        </w:rPr>
        <w:t>D.2.6</w:t>
      </w:r>
      <w:r>
        <w:rPr>
          <w:rFonts w:ascii="Times New Roman" w:hAnsi="Times New Roman"/>
          <w:bCs/>
          <w:szCs w:val="20"/>
        </w:rPr>
        <w:t xml:space="preserve">  混凝土缺陷检测应符合下列要求：</w:t>
      </w:r>
    </w:p>
    <w:p>
      <w:pPr>
        <w:tabs>
          <w:tab w:val="left" w:pos="712"/>
          <w:tab w:val="left" w:pos="6020"/>
        </w:tabs>
        <w:spacing w:line="360" w:lineRule="auto"/>
        <w:ind w:firstLine="420" w:firstLineChars="200"/>
        <w:rPr>
          <w:rFonts w:ascii="Times New Roman" w:hAnsi="Times New Roman"/>
          <w:bCs/>
          <w:szCs w:val="20"/>
        </w:rPr>
      </w:pPr>
      <w:r>
        <w:rPr>
          <w:rFonts w:hint="eastAsia" w:ascii="黑体" w:hAnsi="黑体" w:eastAsia="黑体" w:cs="黑体"/>
        </w:rPr>
        <w:t>1</w:t>
      </w:r>
      <w:r>
        <w:rPr>
          <w:rFonts w:hint="eastAsia" w:ascii="Times New Roman" w:hAnsi="Times New Roman"/>
          <w:bCs/>
          <w:szCs w:val="20"/>
        </w:rPr>
        <w:t xml:space="preserve">  测点宜呈网状布置，间排距不宜大于</w:t>
      </w:r>
      <w:r>
        <w:rPr>
          <w:rFonts w:ascii="Times New Roman" w:hAnsi="Times New Roman"/>
          <w:bCs/>
          <w:szCs w:val="20"/>
        </w:rPr>
        <w:t>30cm</w:t>
      </w:r>
      <w:r>
        <w:rPr>
          <w:rFonts w:hint="eastAsia" w:ascii="Times New Roman" w:hAnsi="Times New Roman"/>
          <w:bCs/>
          <w:szCs w:val="20"/>
        </w:rPr>
        <w:t>，测试宜按某一方向逐点进行。</w:t>
      </w:r>
    </w:p>
    <w:p>
      <w:pPr>
        <w:tabs>
          <w:tab w:val="left" w:pos="712"/>
          <w:tab w:val="left" w:pos="6020"/>
        </w:tabs>
        <w:spacing w:line="360" w:lineRule="auto"/>
        <w:ind w:firstLine="420" w:firstLineChars="200"/>
        <w:rPr>
          <w:rFonts w:ascii="Times New Roman" w:hAnsi="Times New Roman"/>
          <w:bCs/>
          <w:szCs w:val="20"/>
        </w:rPr>
      </w:pPr>
      <w:r>
        <w:rPr>
          <w:rFonts w:hint="eastAsia" w:ascii="黑体" w:hAnsi="黑体" w:eastAsia="黑体" w:cs="黑体"/>
        </w:rPr>
        <w:t>2</w:t>
      </w:r>
      <w:r>
        <w:rPr>
          <w:rFonts w:hint="eastAsia" w:ascii="Times New Roman" w:hAnsi="Times New Roman"/>
          <w:bCs/>
          <w:szCs w:val="20"/>
        </w:rPr>
        <w:t xml:space="preserve">  冲击点距接收点（测点）不宜大于</w:t>
      </w:r>
      <w:r>
        <w:rPr>
          <w:rFonts w:ascii="Times New Roman" w:hAnsi="Times New Roman"/>
          <w:bCs/>
          <w:szCs w:val="20"/>
        </w:rPr>
        <w:t>0.4</w:t>
      </w:r>
      <w:r>
        <w:rPr>
          <w:rFonts w:hint="eastAsia" w:ascii="Times New Roman" w:hAnsi="Times New Roman"/>
          <w:bCs/>
          <w:szCs w:val="20"/>
        </w:rPr>
        <w:t>倍预估的缺陷深度。</w:t>
      </w:r>
    </w:p>
    <w:p>
      <w:pPr>
        <w:tabs>
          <w:tab w:val="left" w:pos="712"/>
          <w:tab w:val="left" w:pos="6020"/>
        </w:tabs>
        <w:spacing w:line="360" w:lineRule="auto"/>
        <w:ind w:firstLine="420" w:firstLineChars="200"/>
        <w:rPr>
          <w:rFonts w:ascii="Times New Roman" w:hAnsi="Times New Roman"/>
          <w:bCs/>
          <w:szCs w:val="20"/>
        </w:rPr>
      </w:pPr>
      <w:r>
        <w:rPr>
          <w:rFonts w:hint="eastAsia" w:ascii="黑体" w:hAnsi="黑体" w:eastAsia="黑体" w:cs="黑体"/>
        </w:rPr>
        <w:t>3</w:t>
      </w:r>
      <w:r>
        <w:rPr>
          <w:rFonts w:hint="eastAsia" w:ascii="Times New Roman" w:hAnsi="Times New Roman"/>
          <w:bCs/>
          <w:szCs w:val="20"/>
        </w:rPr>
        <w:t xml:space="preserve">  冲击持续时间应小于</w:t>
      </w:r>
      <w:r>
        <w:rPr>
          <w:rFonts w:ascii="Times New Roman" w:hAnsi="Times New Roman"/>
          <w:bCs/>
          <w:szCs w:val="20"/>
        </w:rPr>
        <w:t>P</w:t>
      </w:r>
      <w:r>
        <w:rPr>
          <w:rFonts w:hint="eastAsia" w:ascii="Times New Roman" w:hAnsi="Times New Roman"/>
          <w:bCs/>
          <w:szCs w:val="20"/>
        </w:rPr>
        <w:t>波往返传播时间，可按（D</w:t>
      </w:r>
      <w:r>
        <w:rPr>
          <w:rFonts w:ascii="Times New Roman" w:hAnsi="Times New Roman"/>
          <w:bCs/>
          <w:szCs w:val="20"/>
        </w:rPr>
        <w:t>.2.6</w:t>
      </w:r>
      <w:r>
        <w:rPr>
          <w:rFonts w:hint="eastAsia" w:ascii="Times New Roman" w:hAnsi="Times New Roman"/>
          <w:bCs/>
          <w:szCs w:val="20"/>
        </w:rPr>
        <w:t>）式估算：</w:t>
      </w:r>
    </w:p>
    <w:p>
      <w:pPr>
        <w:tabs>
          <w:tab w:val="left" w:pos="6020"/>
        </w:tabs>
        <w:jc w:val="right"/>
        <w:rPr>
          <w:rFonts w:ascii="Times New Roman" w:hAnsi="Times New Roman"/>
          <w:bCs/>
          <w:szCs w:val="20"/>
        </w:rPr>
      </w:pPr>
      <w:r>
        <w:rPr>
          <w:rFonts w:ascii="Times New Roman" w:hAnsi="Times New Roman"/>
          <w:bCs/>
          <w:position w:val="-28"/>
          <w:szCs w:val="20"/>
        </w:rPr>
        <w:object>
          <v:shape id="_x0000_i1035" o:spt="75" type="#_x0000_t75" style="height:33.25pt;width:38.2pt;" o:ole="t" filled="f" o:preferrelative="t" stroked="f" coordsize="21600,21600">
            <v:path/>
            <v:fill on="f" focussize="0,0"/>
            <v:stroke on="f" joinstyle="miter"/>
            <v:imagedata r:id="rId56" o:title=""/>
            <o:lock v:ext="edit" aspectratio="t"/>
            <w10:wrap type="none"/>
            <w10:anchorlock/>
          </v:shape>
          <o:OLEObject Type="Embed" ProgID="Equation.3" ShapeID="_x0000_i1035" DrawAspect="Content" ObjectID="_1468075739" r:id="rId55">
            <o:LockedField>false</o:LockedField>
          </o:OLEObject>
        </w:object>
      </w:r>
      <w:r>
        <w:rPr>
          <w:rFonts w:ascii="Times New Roman" w:hAnsi="Times New Roman"/>
          <w:bCs/>
          <w:szCs w:val="20"/>
        </w:rPr>
        <w:t xml:space="preserve">                              （</w:t>
      </w:r>
      <w:r>
        <w:rPr>
          <w:rFonts w:hint="eastAsia" w:ascii="Times New Roman" w:hAnsi="Times New Roman"/>
          <w:bCs/>
          <w:szCs w:val="20"/>
        </w:rPr>
        <w:t>D.2</w:t>
      </w:r>
      <w:r>
        <w:rPr>
          <w:rFonts w:ascii="Times New Roman" w:hAnsi="Times New Roman"/>
          <w:bCs/>
          <w:szCs w:val="20"/>
        </w:rPr>
        <w:t>.</w:t>
      </w:r>
      <w:r>
        <w:rPr>
          <w:rFonts w:hint="eastAsia" w:ascii="Times New Roman" w:hAnsi="Times New Roman"/>
          <w:bCs/>
          <w:szCs w:val="20"/>
        </w:rPr>
        <w:t>6</w:t>
      </w:r>
      <w:r>
        <w:rPr>
          <w:rFonts w:ascii="Times New Roman" w:hAnsi="Times New Roman"/>
          <w:bCs/>
          <w:szCs w:val="20"/>
        </w:rPr>
        <w:t>）</w:t>
      </w:r>
    </w:p>
    <w:p>
      <w:pPr>
        <w:tabs>
          <w:tab w:val="left" w:pos="6020"/>
        </w:tabs>
        <w:spacing w:line="360" w:lineRule="auto"/>
        <w:rPr>
          <w:rFonts w:ascii="Times New Roman" w:hAnsi="Times New Roman"/>
          <w:bCs/>
          <w:szCs w:val="20"/>
        </w:rPr>
      </w:pPr>
      <w:r>
        <w:rPr>
          <w:rFonts w:ascii="Times New Roman" w:hAnsi="Times New Roman"/>
          <w:bCs/>
          <w:szCs w:val="20"/>
        </w:rPr>
        <w:t xml:space="preserve">式中  </w:t>
      </w:r>
      <w:r>
        <w:rPr>
          <w:rFonts w:ascii="Times New Roman" w:hAnsi="Times New Roman"/>
          <w:bCs/>
          <w:i/>
          <w:szCs w:val="20"/>
        </w:rPr>
        <w:t>t</w:t>
      </w:r>
      <w:r>
        <w:rPr>
          <w:rFonts w:ascii="Times New Roman" w:hAnsi="Times New Roman"/>
          <w:bCs/>
          <w:i/>
          <w:szCs w:val="20"/>
          <w:vertAlign w:val="subscript"/>
        </w:rPr>
        <w:t>c</w:t>
      </w:r>
      <w:r>
        <w:rPr>
          <w:rFonts w:ascii="Times New Roman" w:hAnsi="Times New Roman"/>
          <w:bCs/>
          <w:szCs w:val="20"/>
        </w:rPr>
        <w:t>——冲击持续时间，s；</w:t>
      </w:r>
    </w:p>
    <w:p>
      <w:pPr>
        <w:tabs>
          <w:tab w:val="left" w:pos="6020"/>
        </w:tabs>
        <w:spacing w:line="360" w:lineRule="auto"/>
        <w:ind w:firstLine="548" w:firstLineChars="261"/>
        <w:rPr>
          <w:rFonts w:ascii="Times New Roman" w:hAnsi="Times New Roman"/>
          <w:bCs/>
          <w:szCs w:val="20"/>
        </w:rPr>
      </w:pPr>
      <w:r>
        <w:rPr>
          <w:rFonts w:ascii="Times New Roman" w:hAnsi="Times New Roman"/>
          <w:bCs/>
          <w:i/>
          <w:szCs w:val="20"/>
        </w:rPr>
        <w:t>C</w:t>
      </w:r>
      <w:r>
        <w:rPr>
          <w:rFonts w:ascii="Times New Roman" w:hAnsi="Times New Roman"/>
          <w:bCs/>
          <w:i/>
          <w:szCs w:val="20"/>
          <w:vertAlign w:val="subscript"/>
        </w:rPr>
        <w:t>p</w:t>
      </w:r>
      <w:r>
        <w:rPr>
          <w:rFonts w:ascii="Times New Roman" w:hAnsi="Times New Roman"/>
          <w:bCs/>
          <w:szCs w:val="20"/>
        </w:rPr>
        <w:t>——混凝土P波波速，m/s；</w:t>
      </w:r>
    </w:p>
    <w:p>
      <w:pPr>
        <w:tabs>
          <w:tab w:val="left" w:pos="6020"/>
        </w:tabs>
        <w:spacing w:line="360" w:lineRule="auto"/>
        <w:ind w:firstLine="590" w:firstLineChars="281"/>
        <w:rPr>
          <w:rFonts w:ascii="Times New Roman" w:hAnsi="Times New Roman"/>
          <w:bCs/>
          <w:szCs w:val="20"/>
        </w:rPr>
      </w:pPr>
      <w:r>
        <w:rPr>
          <w:rFonts w:ascii="Times New Roman" w:hAnsi="Times New Roman"/>
          <w:bCs/>
          <w:i/>
          <w:szCs w:val="20"/>
        </w:rPr>
        <w:t>h</w:t>
      </w:r>
      <w:r>
        <w:rPr>
          <w:rFonts w:ascii="Times New Roman" w:hAnsi="Times New Roman"/>
          <w:bCs/>
          <w:i/>
          <w:szCs w:val="20"/>
          <w:vertAlign w:val="subscript"/>
        </w:rPr>
        <w:t>c</w:t>
      </w:r>
      <w:r>
        <w:rPr>
          <w:rFonts w:ascii="Times New Roman" w:hAnsi="Times New Roman"/>
          <w:bCs/>
          <w:szCs w:val="20"/>
        </w:rPr>
        <w:t>——被测部位混凝土结构缺陷预估深度（m）。</w:t>
      </w:r>
    </w:p>
    <w:p>
      <w:pPr>
        <w:tabs>
          <w:tab w:val="left" w:pos="712"/>
          <w:tab w:val="left" w:pos="6020"/>
        </w:tabs>
        <w:spacing w:line="360" w:lineRule="auto"/>
        <w:ind w:firstLine="420" w:firstLineChars="200"/>
        <w:rPr>
          <w:rFonts w:ascii="Times New Roman" w:hAnsi="Times New Roman"/>
          <w:bCs/>
          <w:szCs w:val="20"/>
        </w:rPr>
      </w:pPr>
      <w:r>
        <w:rPr>
          <w:rFonts w:hint="eastAsia" w:ascii="黑体" w:hAnsi="黑体" w:eastAsia="黑体" w:cs="黑体"/>
        </w:rPr>
        <w:t>4</w:t>
      </w:r>
      <w:r>
        <w:rPr>
          <w:rFonts w:hint="eastAsia" w:ascii="Times New Roman" w:hAnsi="Times New Roman"/>
          <w:bCs/>
          <w:szCs w:val="20"/>
        </w:rPr>
        <w:t xml:space="preserve">  每一测点应测试两次，结果相同进行下一点测试，否则应查明原因后复测。</w:t>
      </w:r>
    </w:p>
    <w:p>
      <w:pPr>
        <w:tabs>
          <w:tab w:val="left" w:pos="712"/>
          <w:tab w:val="left" w:pos="6020"/>
        </w:tabs>
        <w:spacing w:line="360" w:lineRule="auto"/>
        <w:ind w:firstLine="420" w:firstLineChars="200"/>
        <w:rPr>
          <w:rFonts w:ascii="Times New Roman" w:hAnsi="Times New Roman"/>
          <w:bCs/>
          <w:szCs w:val="20"/>
        </w:rPr>
      </w:pPr>
      <w:r>
        <w:rPr>
          <w:rFonts w:hint="eastAsia" w:ascii="黑体" w:hAnsi="黑体" w:eastAsia="黑体" w:cs="黑体"/>
        </w:rPr>
        <w:t>5</w:t>
      </w:r>
      <w:r>
        <w:rPr>
          <w:rFonts w:hint="eastAsia" w:ascii="Times New Roman" w:hAnsi="Times New Roman"/>
          <w:bCs/>
          <w:szCs w:val="20"/>
        </w:rPr>
        <w:t xml:space="preserve">  应对采集的波形进行快速傅里叶变换，当所得的振幅谱无明显峰值时，应查明原因或改变激振球的大小重复测试；当只有一个峰值时应判定混凝土无缺陷；当有两个及以上的峰值时，应判定混凝土存在缺陷，并重复测试进行验证。</w:t>
      </w:r>
    </w:p>
    <w:p>
      <w:pPr>
        <w:tabs>
          <w:tab w:val="left" w:pos="712"/>
          <w:tab w:val="left" w:pos="6020"/>
        </w:tabs>
        <w:spacing w:line="360" w:lineRule="auto"/>
        <w:ind w:firstLine="420" w:firstLineChars="200"/>
        <w:rPr>
          <w:rFonts w:ascii="Times New Roman" w:hAnsi="Times New Roman"/>
          <w:bCs/>
          <w:szCs w:val="20"/>
        </w:rPr>
      </w:pPr>
      <w:r>
        <w:rPr>
          <w:rFonts w:hint="eastAsia" w:ascii="黑体" w:hAnsi="黑体" w:eastAsia="黑体" w:cs="黑体"/>
        </w:rPr>
        <w:t xml:space="preserve">6 </w:t>
      </w:r>
      <w:r>
        <w:rPr>
          <w:rFonts w:hint="eastAsia" w:ascii="Times New Roman" w:hAnsi="Times New Roman"/>
          <w:bCs/>
          <w:szCs w:val="20"/>
        </w:rPr>
        <w:t>存在缺陷的混凝土部位应加密测点，其间距不宜大于原测点间距的</w:t>
      </w:r>
      <w:r>
        <w:rPr>
          <w:rFonts w:ascii="Times New Roman" w:hAnsi="Times New Roman"/>
          <w:bCs/>
          <w:szCs w:val="20"/>
        </w:rPr>
        <w:t>1/2</w:t>
      </w:r>
      <w:r>
        <w:rPr>
          <w:rFonts w:hint="eastAsia" w:ascii="Times New Roman" w:hAnsi="Times New Roman"/>
          <w:bCs/>
          <w:szCs w:val="20"/>
        </w:rPr>
        <w:t>。</w:t>
      </w:r>
    </w:p>
    <w:p>
      <w:pPr>
        <w:tabs>
          <w:tab w:val="left" w:pos="6020"/>
        </w:tabs>
        <w:spacing w:line="360" w:lineRule="auto"/>
        <w:rPr>
          <w:rFonts w:ascii="Times New Roman" w:hAnsi="Times New Roman"/>
          <w:bCs/>
          <w:szCs w:val="20"/>
        </w:rPr>
      </w:pPr>
      <w:r>
        <w:rPr>
          <w:rFonts w:hint="eastAsia" w:ascii="黑体" w:hAnsi="黑体" w:eastAsia="黑体" w:cs="黑体"/>
        </w:rPr>
        <w:t>D.2.7</w:t>
      </w:r>
      <w:r>
        <w:rPr>
          <w:rFonts w:ascii="Times New Roman" w:hAnsi="Times New Roman"/>
          <w:bCs/>
          <w:szCs w:val="20"/>
        </w:rPr>
        <w:t xml:space="preserve">  测试记录应符合下列要求：</w:t>
      </w:r>
    </w:p>
    <w:p>
      <w:pPr>
        <w:tabs>
          <w:tab w:val="left" w:pos="728"/>
          <w:tab w:val="left" w:pos="6020"/>
        </w:tabs>
        <w:spacing w:line="360" w:lineRule="auto"/>
        <w:ind w:firstLine="420" w:firstLineChars="200"/>
        <w:rPr>
          <w:rFonts w:ascii="Times New Roman" w:hAnsi="Times New Roman"/>
          <w:bCs/>
          <w:szCs w:val="20"/>
        </w:rPr>
      </w:pPr>
      <w:r>
        <w:rPr>
          <w:rFonts w:hint="eastAsia" w:ascii="黑体" w:hAnsi="黑体" w:eastAsia="黑体" w:cs="黑体"/>
        </w:rPr>
        <w:t xml:space="preserve">1 </w:t>
      </w:r>
      <w:r>
        <w:rPr>
          <w:rFonts w:hint="eastAsia" w:ascii="Times New Roman" w:hAnsi="Times New Roman"/>
          <w:bCs/>
          <w:szCs w:val="20"/>
        </w:rPr>
        <w:t>接收的波形应全面完整，波幅大小应适宜，不应有削峰现象。</w:t>
      </w:r>
    </w:p>
    <w:p>
      <w:pPr>
        <w:tabs>
          <w:tab w:val="left" w:pos="728"/>
          <w:tab w:val="left" w:pos="6020"/>
        </w:tabs>
        <w:spacing w:line="360" w:lineRule="auto"/>
        <w:ind w:firstLine="420" w:firstLineChars="200"/>
        <w:rPr>
          <w:rFonts w:ascii="Times New Roman" w:hAnsi="Times New Roman"/>
          <w:bCs/>
          <w:szCs w:val="20"/>
        </w:rPr>
      </w:pPr>
      <w:r>
        <w:rPr>
          <w:rFonts w:hint="eastAsia" w:ascii="黑体" w:hAnsi="黑体" w:eastAsia="黑体" w:cs="黑体"/>
        </w:rPr>
        <w:t>2</w:t>
      </w:r>
      <w:r>
        <w:rPr>
          <w:rFonts w:hint="eastAsia" w:ascii="Times New Roman" w:hAnsi="Times New Roman"/>
          <w:bCs/>
          <w:szCs w:val="20"/>
        </w:rPr>
        <w:t xml:space="preserve"> 应记录测试系统所使用的采集参数，包括采样间隔、电压范围、电压解析度，在波形中点的数量，以及在振幅谱中的频率间隔。</w:t>
      </w:r>
    </w:p>
    <w:p>
      <w:pPr>
        <w:tabs>
          <w:tab w:val="left" w:pos="728"/>
          <w:tab w:val="left" w:pos="6020"/>
        </w:tabs>
        <w:spacing w:line="360" w:lineRule="auto"/>
        <w:ind w:firstLine="420" w:firstLineChars="200"/>
        <w:rPr>
          <w:rFonts w:ascii="Times New Roman" w:hAnsi="Times New Roman"/>
          <w:bCs/>
          <w:szCs w:val="20"/>
        </w:rPr>
      </w:pPr>
      <w:r>
        <w:rPr>
          <w:rFonts w:hint="eastAsia" w:ascii="黑体" w:hAnsi="黑体" w:eastAsia="黑体" w:cs="黑体"/>
        </w:rPr>
        <w:t xml:space="preserve">3 </w:t>
      </w:r>
      <w:r>
        <w:rPr>
          <w:rFonts w:hint="eastAsia" w:ascii="Times New Roman" w:hAnsi="Times New Roman"/>
          <w:bCs/>
          <w:szCs w:val="20"/>
        </w:rPr>
        <w:t>应记录每个测点的位置，描述测试表面条件等。</w:t>
      </w:r>
    </w:p>
    <w:p>
      <w:pPr>
        <w:tabs>
          <w:tab w:val="left" w:pos="728"/>
          <w:tab w:val="left" w:pos="884"/>
          <w:tab w:val="left" w:pos="6020"/>
        </w:tabs>
        <w:spacing w:line="360" w:lineRule="auto"/>
        <w:ind w:firstLine="12"/>
        <w:rPr>
          <w:rFonts w:ascii="Times New Roman" w:hAnsi="Times New Roman"/>
          <w:bCs/>
          <w:szCs w:val="20"/>
        </w:rPr>
      </w:pPr>
      <w:r>
        <w:rPr>
          <w:rFonts w:hint="eastAsia" w:ascii="黑体" w:hAnsi="黑体" w:eastAsia="黑体" w:cs="黑体"/>
        </w:rPr>
        <w:t xml:space="preserve">D.2.8 </w:t>
      </w:r>
      <w:r>
        <w:rPr>
          <w:rFonts w:ascii="Times New Roman" w:hAnsi="Times New Roman"/>
          <w:bCs/>
          <w:szCs w:val="20"/>
        </w:rPr>
        <w:t xml:space="preserve"> 测试成果及整理应符合下列要求：</w:t>
      </w:r>
    </w:p>
    <w:p>
      <w:pPr>
        <w:tabs>
          <w:tab w:val="left" w:pos="728"/>
          <w:tab w:val="left" w:pos="6020"/>
        </w:tabs>
        <w:spacing w:line="360" w:lineRule="auto"/>
        <w:ind w:firstLine="420" w:firstLineChars="200"/>
        <w:rPr>
          <w:rFonts w:ascii="Times New Roman" w:hAnsi="Times New Roman"/>
          <w:bCs/>
          <w:szCs w:val="20"/>
        </w:rPr>
      </w:pPr>
      <w:r>
        <w:rPr>
          <w:rFonts w:hint="eastAsia" w:ascii="黑体" w:hAnsi="黑体" w:eastAsia="黑体" w:cs="黑体"/>
        </w:rPr>
        <w:t>1</w:t>
      </w:r>
      <w:r>
        <w:rPr>
          <w:rFonts w:hint="eastAsia" w:ascii="Times New Roman" w:hAnsi="Times New Roman"/>
          <w:bCs/>
          <w:szCs w:val="20"/>
        </w:rPr>
        <w:t xml:space="preserve"> 应给出时间域的波形图和频率域的振幅谱。</w:t>
      </w:r>
    </w:p>
    <w:p>
      <w:pPr>
        <w:tabs>
          <w:tab w:val="left" w:pos="728"/>
          <w:tab w:val="left" w:pos="6020"/>
        </w:tabs>
        <w:spacing w:line="360" w:lineRule="auto"/>
        <w:ind w:firstLine="420" w:firstLineChars="200"/>
        <w:rPr>
          <w:rFonts w:ascii="Times New Roman" w:hAnsi="Times New Roman"/>
          <w:bCs/>
          <w:szCs w:val="20"/>
        </w:rPr>
      </w:pPr>
      <w:r>
        <w:rPr>
          <w:rFonts w:hint="eastAsia" w:ascii="黑体" w:hAnsi="黑体" w:eastAsia="黑体" w:cs="黑体"/>
        </w:rPr>
        <w:t xml:space="preserve">2 </w:t>
      </w:r>
      <w:r>
        <w:rPr>
          <w:rFonts w:hint="eastAsia" w:ascii="Times New Roman" w:hAnsi="Times New Roman"/>
          <w:bCs/>
          <w:szCs w:val="20"/>
        </w:rPr>
        <w:t>应对振幅谱中各峰值进行分析，给出缺陷振幅峰值所对应的频率值。</w:t>
      </w:r>
    </w:p>
    <w:p>
      <w:pPr>
        <w:tabs>
          <w:tab w:val="left" w:pos="728"/>
          <w:tab w:val="left" w:pos="6020"/>
        </w:tabs>
        <w:spacing w:line="360" w:lineRule="auto"/>
        <w:ind w:firstLine="420" w:firstLineChars="200"/>
        <w:rPr>
          <w:rFonts w:ascii="Times New Roman" w:hAnsi="Times New Roman"/>
          <w:bCs/>
          <w:szCs w:val="20"/>
        </w:rPr>
      </w:pPr>
      <w:r>
        <w:rPr>
          <w:rFonts w:hint="eastAsia" w:ascii="黑体" w:hAnsi="黑体" w:eastAsia="黑体" w:cs="黑体"/>
        </w:rPr>
        <w:t>3</w:t>
      </w:r>
      <w:r>
        <w:rPr>
          <w:rFonts w:hint="eastAsia" w:ascii="Times New Roman" w:hAnsi="Times New Roman"/>
          <w:bCs/>
          <w:szCs w:val="20"/>
        </w:rPr>
        <w:t xml:space="preserve"> 混凝土结构缺陷深度应按式D</w:t>
      </w:r>
      <w:r>
        <w:rPr>
          <w:rFonts w:ascii="Times New Roman" w:hAnsi="Times New Roman"/>
          <w:bCs/>
          <w:szCs w:val="20"/>
        </w:rPr>
        <w:t>.2.8</w:t>
      </w:r>
      <w:r>
        <w:rPr>
          <w:rFonts w:hint="eastAsia" w:ascii="Times New Roman" w:hAnsi="Times New Roman"/>
          <w:bCs/>
          <w:szCs w:val="20"/>
        </w:rPr>
        <w:t>计算：</w:t>
      </w:r>
    </w:p>
    <w:p>
      <w:pPr>
        <w:tabs>
          <w:tab w:val="left" w:pos="6020"/>
        </w:tabs>
        <w:jc w:val="right"/>
        <w:rPr>
          <w:rFonts w:ascii="Times New Roman" w:hAnsi="Times New Roman"/>
          <w:bCs/>
          <w:szCs w:val="20"/>
        </w:rPr>
      </w:pPr>
      <w:r>
        <w:rPr>
          <w:rFonts w:ascii="Times New Roman" w:hAnsi="Times New Roman"/>
          <w:bCs/>
          <w:position w:val="-28"/>
          <w:szCs w:val="20"/>
        </w:rPr>
        <w:object>
          <v:shape id="_x0000_i1036" o:spt="75" type="#_x0000_t75" style="height:33.25pt;width:45.25pt;" o:ole="t" filled="f" o:preferrelative="t" stroked="f" coordsize="21600,21600">
            <v:path/>
            <v:fill on="f" focussize="0,0"/>
            <v:stroke on="f" joinstyle="miter"/>
            <v:imagedata r:id="rId58" o:title=""/>
            <o:lock v:ext="edit" aspectratio="t"/>
            <w10:wrap type="none"/>
            <w10:anchorlock/>
          </v:shape>
          <o:OLEObject Type="Embed" ProgID="Equation.3" ShapeID="_x0000_i1036" DrawAspect="Content" ObjectID="_1468075740" r:id="rId57">
            <o:LockedField>false</o:LockedField>
          </o:OLEObject>
        </w:object>
      </w:r>
      <w:r>
        <w:rPr>
          <w:rFonts w:ascii="Times New Roman" w:hAnsi="Times New Roman"/>
          <w:bCs/>
          <w:szCs w:val="20"/>
        </w:rPr>
        <w:t xml:space="preserve">                              （</w:t>
      </w:r>
      <w:r>
        <w:rPr>
          <w:rFonts w:hint="eastAsia" w:ascii="Times New Roman" w:hAnsi="Times New Roman"/>
          <w:bCs/>
          <w:szCs w:val="20"/>
        </w:rPr>
        <w:t>D.2</w:t>
      </w:r>
      <w:r>
        <w:rPr>
          <w:rFonts w:ascii="Times New Roman" w:hAnsi="Times New Roman"/>
          <w:bCs/>
          <w:szCs w:val="20"/>
        </w:rPr>
        <w:t>.</w:t>
      </w:r>
      <w:r>
        <w:rPr>
          <w:rFonts w:hint="eastAsia" w:ascii="Times New Roman" w:hAnsi="Times New Roman"/>
          <w:bCs/>
          <w:szCs w:val="20"/>
        </w:rPr>
        <w:t>8</w:t>
      </w:r>
      <w:r>
        <w:rPr>
          <w:rFonts w:ascii="Times New Roman" w:hAnsi="Times New Roman"/>
          <w:bCs/>
          <w:szCs w:val="20"/>
        </w:rPr>
        <w:t>）</w:t>
      </w:r>
    </w:p>
    <w:p>
      <w:pPr>
        <w:tabs>
          <w:tab w:val="left" w:pos="6020"/>
        </w:tabs>
        <w:spacing w:line="360" w:lineRule="auto"/>
        <w:rPr>
          <w:rFonts w:ascii="Times New Roman" w:hAnsi="Times New Roman"/>
          <w:bCs/>
          <w:szCs w:val="20"/>
        </w:rPr>
      </w:pPr>
      <w:r>
        <w:rPr>
          <w:rFonts w:ascii="Times New Roman" w:hAnsi="Times New Roman"/>
          <w:bCs/>
          <w:szCs w:val="20"/>
        </w:rPr>
        <w:t xml:space="preserve">式中  </w:t>
      </w:r>
      <w:r>
        <w:rPr>
          <w:rFonts w:ascii="Times New Roman" w:hAnsi="Times New Roman"/>
          <w:bCs/>
          <w:i/>
          <w:szCs w:val="20"/>
        </w:rPr>
        <w:t>h</w:t>
      </w:r>
      <w:r>
        <w:rPr>
          <w:rFonts w:ascii="Times New Roman" w:hAnsi="Times New Roman"/>
          <w:bCs/>
          <w:i/>
          <w:szCs w:val="20"/>
          <w:vertAlign w:val="subscript"/>
        </w:rPr>
        <w:t>c</w:t>
      </w:r>
      <w:r>
        <w:rPr>
          <w:rFonts w:ascii="Times New Roman" w:hAnsi="Times New Roman"/>
          <w:bCs/>
          <w:szCs w:val="20"/>
        </w:rPr>
        <w:t>——混凝土结构缺陷顶部深度，m；</w:t>
      </w:r>
    </w:p>
    <w:p>
      <w:pPr>
        <w:tabs>
          <w:tab w:val="left" w:pos="6020"/>
        </w:tabs>
        <w:spacing w:line="360" w:lineRule="auto"/>
        <w:ind w:firstLine="735" w:firstLineChars="350"/>
        <w:rPr>
          <w:rFonts w:ascii="Times New Roman" w:hAnsi="Times New Roman"/>
          <w:bCs/>
          <w:szCs w:val="20"/>
        </w:rPr>
      </w:pPr>
      <w:r>
        <w:rPr>
          <w:rFonts w:ascii="Times New Roman" w:hAnsi="Times New Roman"/>
          <w:bCs/>
          <w:i/>
          <w:szCs w:val="20"/>
        </w:rPr>
        <w:t>f</w:t>
      </w:r>
      <w:r>
        <w:rPr>
          <w:rFonts w:ascii="Times New Roman" w:hAnsi="Times New Roman"/>
          <w:bCs/>
          <w:szCs w:val="20"/>
        </w:rPr>
        <w:t>——缺陷振幅峰值所对应的频率值，Hz；</w:t>
      </w:r>
    </w:p>
    <w:p>
      <w:pPr>
        <w:tabs>
          <w:tab w:val="left" w:pos="6020"/>
        </w:tabs>
        <w:spacing w:line="360" w:lineRule="auto"/>
        <w:ind w:firstLine="577" w:firstLineChars="275"/>
        <w:rPr>
          <w:rFonts w:ascii="Times New Roman" w:hAnsi="Times New Roman"/>
          <w:bCs/>
          <w:szCs w:val="20"/>
        </w:rPr>
      </w:pPr>
      <w:r>
        <w:rPr>
          <w:rFonts w:ascii="Times New Roman" w:hAnsi="Times New Roman"/>
          <w:bCs/>
          <w:i/>
          <w:szCs w:val="20"/>
        </w:rPr>
        <w:t>C</w:t>
      </w:r>
      <w:r>
        <w:rPr>
          <w:rFonts w:ascii="Times New Roman" w:hAnsi="Times New Roman"/>
          <w:bCs/>
          <w:i/>
          <w:szCs w:val="20"/>
          <w:vertAlign w:val="subscript"/>
        </w:rPr>
        <w:t>p</w:t>
      </w:r>
      <w:r>
        <w:rPr>
          <w:rFonts w:ascii="Times New Roman" w:hAnsi="Times New Roman"/>
          <w:bCs/>
          <w:szCs w:val="20"/>
        </w:rPr>
        <w:t>——混凝土P波波速，m/s；</w:t>
      </w:r>
    </w:p>
    <w:p>
      <w:pPr>
        <w:tabs>
          <w:tab w:val="left" w:pos="6020"/>
        </w:tabs>
        <w:spacing w:line="360" w:lineRule="auto"/>
        <w:ind w:firstLine="688" w:firstLineChars="328"/>
        <w:rPr>
          <w:rFonts w:ascii="Times New Roman" w:hAnsi="Times New Roman"/>
          <w:bCs/>
          <w:szCs w:val="20"/>
        </w:rPr>
      </w:pPr>
      <w:r>
        <w:rPr>
          <w:rFonts w:ascii="Times New Roman" w:hAnsi="Times New Roman"/>
          <w:bCs/>
          <w:i/>
          <w:szCs w:val="20"/>
        </w:rPr>
        <w:t>β</w:t>
      </w:r>
      <w:r>
        <w:rPr>
          <w:rFonts w:ascii="Times New Roman" w:hAnsi="Times New Roman"/>
          <w:bCs/>
          <w:szCs w:val="20"/>
        </w:rPr>
        <w:t>——结构截面的几何形状系数，一般取0.96。</w:t>
      </w:r>
    </w:p>
    <w:p>
      <w:pPr>
        <w:tabs>
          <w:tab w:val="left" w:pos="712"/>
          <w:tab w:val="left" w:pos="6020"/>
        </w:tabs>
        <w:spacing w:line="360" w:lineRule="auto"/>
        <w:ind w:firstLine="420" w:firstLineChars="200"/>
        <w:rPr>
          <w:rFonts w:ascii="Times New Roman" w:hAnsi="Times New Roman"/>
          <w:bCs/>
          <w:szCs w:val="20"/>
        </w:rPr>
      </w:pPr>
      <w:r>
        <w:rPr>
          <w:rFonts w:hint="eastAsia" w:ascii="Times New Roman" w:hAnsi="Times New Roman"/>
          <w:bCs/>
          <w:szCs w:val="20"/>
        </w:rPr>
        <w:t>4 应根据测试结果所确定的缺陷位置绘制缺陷平面图。</w:t>
      </w:r>
    </w:p>
    <w:p>
      <w:pPr>
        <w:pStyle w:val="3"/>
        <w:snapToGrid w:val="0"/>
        <w:spacing w:beforeLines="50" w:afterLines="50" w:line="360" w:lineRule="auto"/>
        <w:jc w:val="center"/>
        <w:rPr>
          <w:rFonts w:ascii="黑体" w:hAnsi="黑体" w:cs="黑体"/>
          <w:sz w:val="24"/>
          <w:szCs w:val="24"/>
        </w:rPr>
      </w:pPr>
      <w:bookmarkStart w:id="175" w:name="_Toc395173824"/>
      <w:bookmarkStart w:id="176" w:name="_Toc399308974"/>
      <w:bookmarkStart w:id="177" w:name="_Toc11804"/>
      <w:bookmarkStart w:id="178" w:name="_Toc30476"/>
      <w:bookmarkStart w:id="179" w:name="_Toc25516"/>
      <w:bookmarkStart w:id="180" w:name="_Toc30060"/>
      <w:bookmarkStart w:id="181" w:name="_Toc31163"/>
      <w:r>
        <w:rPr>
          <w:rFonts w:ascii="黑体" w:hAnsi="黑体" w:cs="黑体"/>
          <w:sz w:val="24"/>
          <w:szCs w:val="24"/>
        </w:rPr>
        <w:t>D.3</w:t>
      </w:r>
      <w:bookmarkEnd w:id="175"/>
      <w:bookmarkEnd w:id="176"/>
      <w:r>
        <w:rPr>
          <w:rFonts w:ascii="黑体" w:hAnsi="黑体" w:cs="黑体"/>
          <w:sz w:val="24"/>
          <w:szCs w:val="24"/>
        </w:rPr>
        <w:t xml:space="preserve">  混凝土结构厚度检测</w:t>
      </w:r>
      <w:bookmarkEnd w:id="177"/>
      <w:bookmarkEnd w:id="178"/>
      <w:bookmarkEnd w:id="179"/>
      <w:bookmarkEnd w:id="180"/>
      <w:bookmarkEnd w:id="181"/>
    </w:p>
    <w:p>
      <w:pPr>
        <w:tabs>
          <w:tab w:val="left" w:pos="6020"/>
        </w:tabs>
        <w:spacing w:line="360" w:lineRule="auto"/>
        <w:rPr>
          <w:rFonts w:ascii="Times New Roman" w:hAnsi="Times New Roman"/>
          <w:bCs/>
          <w:szCs w:val="20"/>
        </w:rPr>
      </w:pPr>
      <w:r>
        <w:rPr>
          <w:rFonts w:hint="eastAsia" w:ascii="黑体" w:hAnsi="黑体" w:eastAsia="黑体" w:cs="黑体"/>
        </w:rPr>
        <w:t xml:space="preserve">D.3.1 </w:t>
      </w:r>
      <w:r>
        <w:rPr>
          <w:rFonts w:ascii="Times New Roman" w:hAnsi="Times New Roman" w:eastAsia="黑体"/>
          <w:b/>
          <w:bCs/>
          <w:szCs w:val="20"/>
        </w:rPr>
        <w:t xml:space="preserve"> </w:t>
      </w:r>
      <w:r>
        <w:rPr>
          <w:rFonts w:ascii="Times New Roman" w:hAnsi="Times New Roman"/>
          <w:bCs/>
          <w:szCs w:val="20"/>
        </w:rPr>
        <w:t>冲击-回波法适用于检测混凝土结构厚度。</w:t>
      </w:r>
    </w:p>
    <w:p>
      <w:pPr>
        <w:tabs>
          <w:tab w:val="left" w:pos="6020"/>
        </w:tabs>
        <w:spacing w:line="360" w:lineRule="auto"/>
        <w:rPr>
          <w:rFonts w:ascii="Times New Roman" w:hAnsi="Times New Roman"/>
          <w:bCs/>
          <w:szCs w:val="20"/>
        </w:rPr>
      </w:pPr>
      <w:r>
        <w:rPr>
          <w:rFonts w:hint="eastAsia" w:ascii="黑体" w:hAnsi="黑体" w:eastAsia="黑体" w:cs="黑体"/>
        </w:rPr>
        <w:t xml:space="preserve">D.3.2 </w:t>
      </w:r>
      <w:r>
        <w:rPr>
          <w:rFonts w:ascii="Times New Roman" w:hAnsi="Times New Roman" w:eastAsia="黑体"/>
          <w:b/>
          <w:bCs/>
          <w:szCs w:val="20"/>
        </w:rPr>
        <w:t xml:space="preserve"> </w:t>
      </w:r>
      <w:r>
        <w:rPr>
          <w:rFonts w:ascii="Times New Roman" w:hAnsi="Times New Roman"/>
          <w:bCs/>
          <w:szCs w:val="20"/>
        </w:rPr>
        <w:t>主要检测仪器和设备及其技术要求应符合第</w:t>
      </w:r>
      <w:r>
        <w:rPr>
          <w:rFonts w:hint="eastAsia" w:ascii="Times New Roman" w:hAnsi="Times New Roman"/>
          <w:bCs/>
          <w:szCs w:val="20"/>
        </w:rPr>
        <w:t>D.1</w:t>
      </w:r>
      <w:r>
        <w:rPr>
          <w:rFonts w:ascii="Times New Roman" w:hAnsi="Times New Roman"/>
          <w:bCs/>
          <w:szCs w:val="20"/>
        </w:rPr>
        <w:t>.2和第</w:t>
      </w:r>
      <w:r>
        <w:rPr>
          <w:rFonts w:hint="eastAsia" w:ascii="Times New Roman" w:hAnsi="Times New Roman"/>
          <w:bCs/>
          <w:szCs w:val="20"/>
        </w:rPr>
        <w:t>D.1</w:t>
      </w:r>
      <w:r>
        <w:rPr>
          <w:rFonts w:ascii="Times New Roman" w:hAnsi="Times New Roman"/>
          <w:bCs/>
          <w:szCs w:val="20"/>
        </w:rPr>
        <w:t>.3条规定。</w:t>
      </w:r>
    </w:p>
    <w:p>
      <w:pPr>
        <w:tabs>
          <w:tab w:val="left" w:pos="6020"/>
        </w:tabs>
        <w:spacing w:line="360" w:lineRule="auto"/>
        <w:rPr>
          <w:rFonts w:ascii="Times New Roman" w:hAnsi="Times New Roman"/>
          <w:bCs/>
          <w:szCs w:val="20"/>
        </w:rPr>
      </w:pPr>
      <w:r>
        <w:rPr>
          <w:rFonts w:hint="eastAsia" w:ascii="黑体" w:hAnsi="黑体" w:eastAsia="黑体" w:cs="黑体"/>
        </w:rPr>
        <w:t xml:space="preserve">D.3.3 </w:t>
      </w:r>
      <w:r>
        <w:rPr>
          <w:rFonts w:hint="eastAsia" w:ascii="Times New Roman" w:hAnsi="Times New Roman" w:eastAsia="黑体"/>
          <w:b/>
          <w:bCs/>
          <w:szCs w:val="20"/>
        </w:rPr>
        <w:t xml:space="preserve"> </w:t>
      </w:r>
      <w:r>
        <w:rPr>
          <w:rFonts w:ascii="Times New Roman" w:hAnsi="Times New Roman"/>
          <w:bCs/>
          <w:szCs w:val="20"/>
        </w:rPr>
        <w:t>结构厚度检测应</w:t>
      </w:r>
      <w:r>
        <w:rPr>
          <w:rFonts w:ascii="Times New Roman" w:hAnsi="Times New Roman"/>
          <w:szCs w:val="21"/>
        </w:rPr>
        <w:t>符合下列要求</w:t>
      </w:r>
      <w:r>
        <w:rPr>
          <w:rFonts w:ascii="Times New Roman" w:hAnsi="Times New Roman"/>
          <w:bCs/>
          <w:szCs w:val="20"/>
        </w:rPr>
        <w:t>：</w:t>
      </w:r>
    </w:p>
    <w:p>
      <w:pPr>
        <w:tabs>
          <w:tab w:val="left" w:pos="6020"/>
        </w:tabs>
        <w:spacing w:line="360" w:lineRule="auto"/>
        <w:ind w:firstLine="420" w:firstLineChars="200"/>
        <w:rPr>
          <w:rFonts w:ascii="Times New Roman" w:hAnsi="Times New Roman"/>
        </w:rPr>
      </w:pPr>
      <w:r>
        <w:rPr>
          <w:rFonts w:hint="eastAsia" w:ascii="黑体" w:hAnsi="黑体" w:eastAsia="黑体" w:cs="黑体"/>
        </w:rPr>
        <w:t xml:space="preserve">1 </w:t>
      </w:r>
      <w:r>
        <w:rPr>
          <w:rFonts w:ascii="Times New Roman" w:hAnsi="Times New Roman" w:eastAsia="黑体"/>
          <w:b/>
          <w:bCs/>
        </w:rPr>
        <w:t xml:space="preserve"> </w:t>
      </w:r>
      <w:r>
        <w:rPr>
          <w:rFonts w:ascii="Times New Roman" w:hAnsi="Times New Roman"/>
        </w:rPr>
        <w:t>检测表面应平整干燥。测线宜与纵、横向钢筋成45°布设。</w:t>
      </w:r>
    </w:p>
    <w:p>
      <w:pPr>
        <w:tabs>
          <w:tab w:val="left" w:pos="6020"/>
        </w:tabs>
        <w:spacing w:line="360" w:lineRule="auto"/>
        <w:ind w:firstLine="411" w:firstLineChars="196"/>
        <w:rPr>
          <w:rFonts w:ascii="Times New Roman" w:hAnsi="Times New Roman"/>
        </w:rPr>
      </w:pPr>
      <w:r>
        <w:rPr>
          <w:rFonts w:hint="eastAsia" w:ascii="黑体" w:hAnsi="黑体" w:eastAsia="黑体" w:cs="黑体"/>
        </w:rPr>
        <w:t xml:space="preserve">2 </w:t>
      </w:r>
      <w:r>
        <w:rPr>
          <w:rFonts w:ascii="Times New Roman" w:hAnsi="Times New Roman"/>
          <w:b/>
        </w:rPr>
        <w:t xml:space="preserve"> </w:t>
      </w:r>
      <w:r>
        <w:rPr>
          <w:rFonts w:ascii="Times New Roman" w:hAnsi="Times New Roman"/>
        </w:rPr>
        <w:t>冲击点距传感器的距离应小于0.4倍被测混凝土结构厚度。</w:t>
      </w:r>
    </w:p>
    <w:p>
      <w:pPr>
        <w:tabs>
          <w:tab w:val="left" w:pos="6020"/>
        </w:tabs>
        <w:spacing w:line="360" w:lineRule="auto"/>
        <w:ind w:firstLine="420" w:firstLineChars="200"/>
        <w:rPr>
          <w:rFonts w:ascii="Times New Roman" w:hAnsi="Times New Roman"/>
        </w:rPr>
      </w:pPr>
      <w:r>
        <w:rPr>
          <w:rFonts w:hint="eastAsia" w:ascii="黑体" w:hAnsi="黑体" w:eastAsia="黑体" w:cs="黑体"/>
        </w:rPr>
        <w:t>3</w:t>
      </w:r>
      <w:r>
        <w:rPr>
          <w:rFonts w:ascii="Times New Roman" w:hAnsi="Times New Roman"/>
        </w:rPr>
        <w:t xml:space="preserve">  应重复测试</w:t>
      </w:r>
      <w:r>
        <w:rPr>
          <w:rFonts w:hint="eastAsia" w:ascii="Times New Roman" w:hAnsi="Times New Roman"/>
        </w:rPr>
        <w:t>以</w:t>
      </w:r>
      <w:r>
        <w:rPr>
          <w:rFonts w:ascii="Times New Roman" w:hAnsi="Times New Roman"/>
        </w:rPr>
        <w:t>验证波形的再现性。</w:t>
      </w:r>
    </w:p>
    <w:p>
      <w:pPr>
        <w:tabs>
          <w:tab w:val="left" w:pos="6020"/>
        </w:tabs>
        <w:spacing w:line="360" w:lineRule="auto"/>
        <w:rPr>
          <w:rFonts w:ascii="Times New Roman" w:hAnsi="Times New Roman"/>
        </w:rPr>
      </w:pPr>
      <w:r>
        <w:rPr>
          <w:rFonts w:hint="eastAsia" w:ascii="黑体" w:hAnsi="黑体" w:eastAsia="黑体" w:cs="黑体"/>
        </w:rPr>
        <w:t xml:space="preserve">D.3.4  </w:t>
      </w:r>
      <w:r>
        <w:rPr>
          <w:rFonts w:ascii="Times New Roman" w:hAnsi="Times New Roman"/>
        </w:rPr>
        <w:t>混凝土结构厚度确定应符合下列要求：</w:t>
      </w:r>
    </w:p>
    <w:p>
      <w:pPr>
        <w:tabs>
          <w:tab w:val="left" w:pos="6020"/>
        </w:tabs>
        <w:spacing w:line="360" w:lineRule="auto"/>
        <w:ind w:firstLine="411" w:firstLineChars="196"/>
        <w:rPr>
          <w:rFonts w:ascii="Times New Roman" w:hAnsi="Times New Roman"/>
        </w:rPr>
      </w:pPr>
      <w:r>
        <w:rPr>
          <w:rFonts w:hint="eastAsia" w:ascii="黑体" w:hAnsi="黑体" w:eastAsia="黑体" w:cs="黑体"/>
        </w:rPr>
        <w:t>1</w:t>
      </w:r>
      <w:r>
        <w:rPr>
          <w:rFonts w:ascii="Times New Roman" w:hAnsi="Times New Roman"/>
        </w:rPr>
        <w:t xml:space="preserve">  应通过快速傅立叶变换，确定频谱图中振幅峰值相对应的频率值。</w:t>
      </w:r>
    </w:p>
    <w:p>
      <w:pPr>
        <w:spacing w:line="360" w:lineRule="auto"/>
        <w:ind w:firstLine="420" w:firstLineChars="200"/>
        <w:rPr>
          <w:rFonts w:hint="eastAsia" w:asciiTheme="minorEastAsia" w:hAnsiTheme="minorEastAsia" w:cstheme="minorEastAsia"/>
          <w:color w:val="000000" w:themeColor="text1"/>
          <w14:textFill>
            <w14:solidFill>
              <w14:schemeClr w14:val="tx1"/>
            </w14:solidFill>
          </w14:textFill>
        </w:rPr>
      </w:pPr>
      <w:r>
        <w:rPr>
          <w:rFonts w:hint="eastAsia" w:ascii="黑体" w:hAnsi="黑体" w:eastAsia="黑体" w:cs="黑体"/>
        </w:rPr>
        <w:t xml:space="preserve">2 </w:t>
      </w:r>
      <w:r>
        <w:rPr>
          <w:rFonts w:ascii="Times New Roman" w:hAnsi="Times New Roman"/>
        </w:rPr>
        <w:t xml:space="preserve"> 低频振幅峰值应为结构厚度响应频率，结构厚度应按式（</w:t>
      </w:r>
      <w:r>
        <w:rPr>
          <w:rFonts w:hint="eastAsia" w:ascii="Times New Roman" w:hAnsi="Times New Roman"/>
          <w:bCs/>
          <w:szCs w:val="20"/>
        </w:rPr>
        <w:t>D</w:t>
      </w:r>
      <w:r>
        <w:rPr>
          <w:rFonts w:hint="eastAsia" w:ascii="Times New Roman" w:hAnsi="Times New Roman"/>
        </w:rPr>
        <w:t>.2</w:t>
      </w:r>
      <w:r>
        <w:rPr>
          <w:rFonts w:ascii="Times New Roman" w:hAnsi="Times New Roman"/>
        </w:rPr>
        <w:t>.</w:t>
      </w:r>
      <w:r>
        <w:rPr>
          <w:rFonts w:hint="eastAsia" w:ascii="Times New Roman" w:hAnsi="Times New Roman"/>
        </w:rPr>
        <w:t>8</w:t>
      </w:r>
      <w:r>
        <w:rPr>
          <w:rFonts w:ascii="Times New Roman" w:hAnsi="Times New Roman"/>
        </w:rPr>
        <w:t>）计算。</w:t>
      </w:r>
    </w:p>
    <w:p>
      <w:pPr>
        <w:spacing w:line="360" w:lineRule="auto"/>
        <w:rPr>
          <w:rFonts w:hint="eastAsia" w:ascii="宋体" w:hAnsi="宋体" w:eastAsia="宋体" w:cs="宋体"/>
        </w:rPr>
      </w:pPr>
    </w:p>
    <w:p>
      <w:pPr>
        <w:rPr>
          <w:rFonts w:hint="eastAsia" w:ascii="宋体" w:hAnsi="宋体" w:eastAsia="宋体" w:cs="宋体"/>
        </w:rPr>
      </w:pPr>
    </w:p>
    <w:p>
      <w:pPr>
        <w:rPr>
          <w:rFonts w:hint="eastAsia" w:ascii="宋体" w:hAnsi="宋体" w:eastAsia="宋体" w:cs="宋体"/>
        </w:rPr>
      </w:pPr>
      <w:r>
        <w:rPr>
          <w:rFonts w:hint="eastAsia" w:ascii="宋体" w:hAnsi="宋体" w:eastAsia="宋体" w:cs="宋体"/>
        </w:rPr>
        <w:br w:type="page"/>
      </w:r>
    </w:p>
    <w:p>
      <w:pPr>
        <w:pStyle w:val="2"/>
        <w:rPr>
          <w:rFonts w:hint="eastAsia" w:ascii="黑体" w:hAnsi="黑体" w:eastAsia="黑体" w:cs="黑体"/>
          <w:b w:val="0"/>
          <w:bCs w:val="0"/>
          <w:sz w:val="28"/>
          <w:szCs w:val="28"/>
        </w:rPr>
      </w:pPr>
      <w:bookmarkStart w:id="182" w:name="_Toc28402"/>
      <w:bookmarkStart w:id="183" w:name="_Toc395173809"/>
      <w:bookmarkStart w:id="184" w:name="_Toc2636"/>
      <w:bookmarkStart w:id="185" w:name="_Toc399308960"/>
      <w:bookmarkStart w:id="186" w:name="_Toc11498"/>
      <w:r>
        <w:rPr>
          <w:rFonts w:hint="eastAsia" w:ascii="黑体" w:hAnsi="黑体" w:eastAsia="黑体" w:cs="黑体"/>
          <w:b w:val="0"/>
          <w:bCs w:val="0"/>
          <w:sz w:val="28"/>
          <w:szCs w:val="28"/>
        </w:rPr>
        <w:t>附录E  雷 达 法</w:t>
      </w:r>
      <w:bookmarkEnd w:id="182"/>
      <w:bookmarkEnd w:id="183"/>
      <w:bookmarkEnd w:id="184"/>
      <w:bookmarkEnd w:id="185"/>
      <w:bookmarkEnd w:id="186"/>
    </w:p>
    <w:p>
      <w:pPr>
        <w:pStyle w:val="3"/>
        <w:snapToGrid w:val="0"/>
        <w:spacing w:beforeLines="50" w:afterLines="50" w:line="360" w:lineRule="auto"/>
        <w:jc w:val="center"/>
        <w:rPr>
          <w:rFonts w:ascii="黑体" w:hAnsi="黑体" w:cs="黑体"/>
          <w:sz w:val="24"/>
          <w:szCs w:val="24"/>
        </w:rPr>
      </w:pPr>
      <w:bookmarkStart w:id="187" w:name="_Toc23566"/>
      <w:bookmarkStart w:id="188" w:name="_Toc15399"/>
      <w:bookmarkStart w:id="189" w:name="_Toc15864"/>
      <w:bookmarkStart w:id="190" w:name="_Toc5364"/>
      <w:r>
        <w:rPr>
          <w:rFonts w:ascii="黑体" w:hAnsi="黑体" w:cs="黑体"/>
          <w:sz w:val="24"/>
          <w:szCs w:val="24"/>
        </w:rPr>
        <w:t>E.1  雷达法内部缺陷检测</w:t>
      </w:r>
      <w:bookmarkEnd w:id="187"/>
      <w:bookmarkEnd w:id="188"/>
      <w:bookmarkEnd w:id="189"/>
      <w:bookmarkEnd w:id="190"/>
    </w:p>
    <w:p>
      <w:pPr>
        <w:tabs>
          <w:tab w:val="left" w:pos="6020"/>
        </w:tabs>
        <w:spacing w:line="360" w:lineRule="auto"/>
        <w:rPr>
          <w:rFonts w:ascii="Times New Roman" w:hAnsi="Times New Roman"/>
          <w:bCs/>
          <w:szCs w:val="20"/>
        </w:rPr>
      </w:pPr>
      <w:r>
        <w:rPr>
          <w:rFonts w:hint="eastAsia" w:ascii="黑体" w:hAnsi="黑体" w:eastAsia="黑体" w:cs="黑体"/>
        </w:rPr>
        <w:t xml:space="preserve">E.1.1 </w:t>
      </w:r>
      <w:r>
        <w:rPr>
          <w:rFonts w:ascii="Times New Roman" w:hAnsi="Times New Roman"/>
          <w:bCs/>
          <w:szCs w:val="20"/>
        </w:rPr>
        <w:t xml:space="preserve"> 本方法适用于混凝土结构内部空洞、疏松区、脱空区等缺陷的平面位置和埋深检测。</w:t>
      </w:r>
    </w:p>
    <w:p>
      <w:pPr>
        <w:tabs>
          <w:tab w:val="left" w:pos="6020"/>
        </w:tabs>
        <w:spacing w:line="360" w:lineRule="auto"/>
        <w:rPr>
          <w:rFonts w:ascii="Times New Roman" w:hAnsi="Times New Roman"/>
          <w:b/>
          <w:bCs/>
          <w:szCs w:val="20"/>
        </w:rPr>
      </w:pPr>
      <w:r>
        <w:rPr>
          <w:rFonts w:hint="eastAsia" w:ascii="黑体" w:hAnsi="黑体" w:eastAsia="黑体" w:cs="黑体"/>
        </w:rPr>
        <w:t xml:space="preserve">E.1.2 </w:t>
      </w:r>
      <w:r>
        <w:rPr>
          <w:rFonts w:ascii="Times New Roman" w:hAnsi="Times New Roman"/>
          <w:bCs/>
          <w:szCs w:val="20"/>
        </w:rPr>
        <w:t xml:space="preserve"> 主要检测仪器和设备应包括雷达主机、雷达天线、数据采集分析处理系统等。</w:t>
      </w:r>
    </w:p>
    <w:p>
      <w:pPr>
        <w:tabs>
          <w:tab w:val="left" w:pos="6020"/>
        </w:tabs>
        <w:spacing w:line="360" w:lineRule="auto"/>
        <w:rPr>
          <w:rFonts w:ascii="Times New Roman" w:hAnsi="Times New Roman"/>
          <w:bCs/>
          <w:szCs w:val="20"/>
        </w:rPr>
      </w:pPr>
      <w:r>
        <w:rPr>
          <w:rFonts w:hint="eastAsia" w:ascii="黑体" w:hAnsi="黑体" w:eastAsia="黑体" w:cs="黑体"/>
        </w:rPr>
        <w:t xml:space="preserve">E.1.3 </w:t>
      </w:r>
      <w:r>
        <w:rPr>
          <w:rFonts w:ascii="Times New Roman" w:hAnsi="Times New Roman"/>
          <w:bCs/>
          <w:szCs w:val="20"/>
        </w:rPr>
        <w:t xml:space="preserve"> 雷达系统技术要求应符合《水利水电工程物探规程》（SL 326）有关规定。</w:t>
      </w:r>
    </w:p>
    <w:p>
      <w:pPr>
        <w:tabs>
          <w:tab w:val="left" w:pos="6020"/>
        </w:tabs>
        <w:spacing w:line="360" w:lineRule="auto"/>
        <w:rPr>
          <w:rFonts w:ascii="Times New Roman" w:hAnsi="Times New Roman"/>
          <w:bCs/>
          <w:szCs w:val="20"/>
        </w:rPr>
      </w:pPr>
      <w:r>
        <w:rPr>
          <w:rFonts w:hint="eastAsia" w:ascii="黑体" w:hAnsi="黑体" w:eastAsia="黑体" w:cs="黑体"/>
        </w:rPr>
        <w:t xml:space="preserve">E.1.4 </w:t>
      </w:r>
      <w:r>
        <w:rPr>
          <w:rFonts w:ascii="Times New Roman" w:hAnsi="Times New Roman"/>
          <w:bCs/>
          <w:szCs w:val="20"/>
        </w:rPr>
        <w:t xml:space="preserve"> 雷达天线的选择可采用不同频率或不同频率组合，并应符合下列要求：</w:t>
      </w:r>
    </w:p>
    <w:p>
      <w:pPr>
        <w:tabs>
          <w:tab w:val="left" w:pos="698"/>
          <w:tab w:val="left" w:pos="6020"/>
        </w:tabs>
        <w:spacing w:line="360" w:lineRule="auto"/>
        <w:ind w:firstLine="442"/>
        <w:rPr>
          <w:rFonts w:ascii="Times New Roman" w:hAnsi="Times New Roman"/>
          <w:bCs/>
          <w:szCs w:val="20"/>
        </w:rPr>
      </w:pPr>
      <w:r>
        <w:rPr>
          <w:rFonts w:hint="eastAsia" w:ascii="黑体" w:hAnsi="黑体" w:eastAsia="黑体" w:cs="黑体"/>
        </w:rPr>
        <w:t>1</w:t>
      </w:r>
      <w:r>
        <w:rPr>
          <w:rFonts w:hint="eastAsia" w:ascii="Times New Roman" w:hAnsi="Times New Roman"/>
          <w:b/>
          <w:bCs/>
          <w:szCs w:val="20"/>
        </w:rPr>
        <w:t xml:space="preserve">  </w:t>
      </w:r>
      <w:r>
        <w:rPr>
          <w:rFonts w:ascii="Times New Roman" w:hAnsi="Times New Roman"/>
          <w:bCs/>
          <w:szCs w:val="20"/>
        </w:rPr>
        <w:t>应具有屏蔽功能，探测的最大深度应大于缺陷体埋深，垂直分辨率宜优于2cm。</w:t>
      </w:r>
    </w:p>
    <w:p>
      <w:pPr>
        <w:tabs>
          <w:tab w:val="left" w:pos="698"/>
          <w:tab w:val="left" w:pos="6020"/>
        </w:tabs>
        <w:spacing w:line="360" w:lineRule="auto"/>
        <w:ind w:firstLine="442"/>
        <w:rPr>
          <w:rFonts w:ascii="Times New Roman" w:hAnsi="Times New Roman"/>
          <w:bCs/>
          <w:szCs w:val="20"/>
        </w:rPr>
      </w:pPr>
      <w:r>
        <w:rPr>
          <w:rFonts w:hint="eastAsia" w:ascii="黑体" w:hAnsi="黑体" w:eastAsia="黑体" w:cs="黑体"/>
        </w:rPr>
        <w:t xml:space="preserve">2 </w:t>
      </w:r>
      <w:r>
        <w:rPr>
          <w:rFonts w:hint="eastAsia" w:ascii="Times New Roman" w:hAnsi="Times New Roman"/>
          <w:b/>
          <w:bCs/>
          <w:szCs w:val="20"/>
        </w:rPr>
        <w:t xml:space="preserve"> </w:t>
      </w:r>
      <w:r>
        <w:rPr>
          <w:rFonts w:ascii="Times New Roman" w:hAnsi="Times New Roman"/>
          <w:bCs/>
          <w:szCs w:val="20"/>
        </w:rPr>
        <w:t>应根据检测的缺陷深度和现场具体条件，选择相应频率天线。在满足检测深度要求下，宜使用中心频率较高的天线。</w:t>
      </w:r>
    </w:p>
    <w:p>
      <w:pPr>
        <w:tabs>
          <w:tab w:val="left" w:pos="698"/>
          <w:tab w:val="left" w:pos="6020"/>
        </w:tabs>
        <w:spacing w:line="360" w:lineRule="auto"/>
        <w:ind w:firstLine="442"/>
        <w:rPr>
          <w:rFonts w:ascii="Times New Roman" w:hAnsi="Times New Roman"/>
          <w:bCs/>
          <w:szCs w:val="20"/>
        </w:rPr>
      </w:pPr>
      <w:r>
        <w:rPr>
          <w:rFonts w:hint="eastAsia" w:ascii="黑体" w:hAnsi="黑体" w:eastAsia="黑体" w:cs="黑体"/>
        </w:rPr>
        <w:t xml:space="preserve">3 </w:t>
      </w:r>
      <w:r>
        <w:rPr>
          <w:rFonts w:hint="eastAsia" w:ascii="Times New Roman" w:hAnsi="Times New Roman"/>
          <w:b/>
          <w:bCs/>
          <w:szCs w:val="20"/>
        </w:rPr>
        <w:t xml:space="preserve"> </w:t>
      </w:r>
      <w:r>
        <w:rPr>
          <w:rFonts w:ascii="Times New Roman" w:hAnsi="Times New Roman"/>
          <w:bCs/>
          <w:szCs w:val="20"/>
        </w:rPr>
        <w:t>根据中心频率估算出的检测深度小于缺陷体埋深时，应适当降低中心频率以获得适宜的探测深度。</w:t>
      </w:r>
    </w:p>
    <w:p>
      <w:pPr>
        <w:tabs>
          <w:tab w:val="left" w:pos="6020"/>
        </w:tabs>
        <w:spacing w:line="360" w:lineRule="auto"/>
        <w:rPr>
          <w:rFonts w:ascii="Times New Roman" w:hAnsi="Times New Roman"/>
          <w:bCs/>
          <w:szCs w:val="20"/>
        </w:rPr>
      </w:pPr>
      <w:r>
        <w:rPr>
          <w:rFonts w:hint="eastAsia" w:ascii="黑体" w:hAnsi="黑体" w:eastAsia="黑体" w:cs="黑体"/>
        </w:rPr>
        <w:t xml:space="preserve">E.1.5 </w:t>
      </w:r>
      <w:r>
        <w:rPr>
          <w:rFonts w:ascii="Times New Roman" w:hAnsi="Times New Roman"/>
          <w:bCs/>
          <w:szCs w:val="20"/>
        </w:rPr>
        <w:t xml:space="preserve"> 检测前应对混凝土的相对介电常数或电磁波波速做现场标定，标定方法应符合下列要求：</w:t>
      </w:r>
    </w:p>
    <w:p>
      <w:pPr>
        <w:tabs>
          <w:tab w:val="left" w:pos="698"/>
          <w:tab w:val="left" w:pos="6020"/>
        </w:tabs>
        <w:spacing w:line="360" w:lineRule="auto"/>
        <w:ind w:left="26" w:firstLine="416"/>
        <w:rPr>
          <w:rFonts w:ascii="Times New Roman" w:hAnsi="Times New Roman"/>
          <w:bCs/>
          <w:szCs w:val="20"/>
        </w:rPr>
      </w:pPr>
      <w:r>
        <w:rPr>
          <w:rFonts w:hint="eastAsia" w:ascii="黑体" w:hAnsi="黑体" w:eastAsia="黑体" w:cs="黑体"/>
        </w:rPr>
        <w:t xml:space="preserve">1 </w:t>
      </w:r>
      <w:r>
        <w:rPr>
          <w:rFonts w:hint="eastAsia" w:ascii="Times New Roman" w:hAnsi="Times New Roman"/>
          <w:b/>
          <w:bCs/>
          <w:szCs w:val="20"/>
        </w:rPr>
        <w:t xml:space="preserve"> </w:t>
      </w:r>
      <w:r>
        <w:rPr>
          <w:rFonts w:ascii="Times New Roman" w:hAnsi="Times New Roman"/>
          <w:bCs/>
          <w:szCs w:val="20"/>
        </w:rPr>
        <w:t>可采用在材料和工作环境相同的混凝土结构或钻取的芯样上进行测试。</w:t>
      </w:r>
    </w:p>
    <w:p>
      <w:pPr>
        <w:tabs>
          <w:tab w:val="left" w:pos="698"/>
          <w:tab w:val="left" w:pos="6020"/>
        </w:tabs>
        <w:spacing w:line="360" w:lineRule="auto"/>
        <w:ind w:left="26" w:firstLine="416"/>
        <w:rPr>
          <w:rFonts w:ascii="Times New Roman" w:hAnsi="Times New Roman"/>
          <w:bCs/>
          <w:szCs w:val="20"/>
        </w:rPr>
      </w:pPr>
      <w:r>
        <w:rPr>
          <w:rFonts w:hint="eastAsia" w:ascii="黑体" w:hAnsi="黑体" w:eastAsia="黑体" w:cs="黑体"/>
        </w:rPr>
        <w:t xml:space="preserve">2 </w:t>
      </w:r>
      <w:r>
        <w:rPr>
          <w:rFonts w:hint="eastAsia" w:ascii="Times New Roman" w:hAnsi="Times New Roman"/>
          <w:b/>
          <w:bCs/>
          <w:szCs w:val="20"/>
        </w:rPr>
        <w:t xml:space="preserve"> </w:t>
      </w:r>
      <w:r>
        <w:rPr>
          <w:rFonts w:ascii="Times New Roman" w:hAnsi="Times New Roman"/>
          <w:bCs/>
          <w:szCs w:val="20"/>
        </w:rPr>
        <w:t>测试的目标体已知厚度或长度应不小于15cm。</w:t>
      </w:r>
    </w:p>
    <w:p>
      <w:pPr>
        <w:tabs>
          <w:tab w:val="left" w:pos="698"/>
          <w:tab w:val="left" w:pos="6020"/>
        </w:tabs>
        <w:spacing w:line="360" w:lineRule="auto"/>
        <w:ind w:left="26" w:firstLine="416"/>
        <w:rPr>
          <w:rFonts w:ascii="Times New Roman" w:hAnsi="Times New Roman"/>
          <w:bCs/>
          <w:szCs w:val="20"/>
        </w:rPr>
      </w:pPr>
      <w:r>
        <w:rPr>
          <w:rFonts w:hint="eastAsia" w:ascii="黑体" w:hAnsi="黑体" w:eastAsia="黑体" w:cs="黑体"/>
        </w:rPr>
        <w:t xml:space="preserve">3 </w:t>
      </w:r>
      <w:r>
        <w:rPr>
          <w:rFonts w:hint="eastAsia" w:ascii="Times New Roman" w:hAnsi="Times New Roman"/>
          <w:b/>
          <w:bCs/>
          <w:szCs w:val="20"/>
        </w:rPr>
        <w:t xml:space="preserve"> </w:t>
      </w:r>
      <w:r>
        <w:rPr>
          <w:rFonts w:ascii="Times New Roman" w:hAnsi="Times New Roman"/>
          <w:bCs/>
          <w:szCs w:val="20"/>
        </w:rPr>
        <w:t>记录中的雷达影像图界面反射信号应清楚、准确。</w:t>
      </w:r>
    </w:p>
    <w:p>
      <w:pPr>
        <w:tabs>
          <w:tab w:val="left" w:pos="698"/>
          <w:tab w:val="left" w:pos="6020"/>
        </w:tabs>
        <w:spacing w:line="360" w:lineRule="auto"/>
        <w:ind w:left="26" w:firstLine="416"/>
        <w:rPr>
          <w:rFonts w:ascii="Times New Roman" w:hAnsi="Times New Roman"/>
          <w:bCs/>
          <w:szCs w:val="20"/>
        </w:rPr>
      </w:pPr>
      <w:r>
        <w:rPr>
          <w:rFonts w:hint="eastAsia" w:ascii="黑体" w:hAnsi="黑体" w:eastAsia="黑体" w:cs="黑体"/>
        </w:rPr>
        <w:t xml:space="preserve">4 </w:t>
      </w:r>
      <w:r>
        <w:rPr>
          <w:rFonts w:hint="eastAsia" w:ascii="Times New Roman" w:hAnsi="Times New Roman"/>
          <w:b/>
          <w:bCs/>
          <w:szCs w:val="20"/>
        </w:rPr>
        <w:t xml:space="preserve"> </w:t>
      </w:r>
      <w:r>
        <w:rPr>
          <w:rFonts w:ascii="Times New Roman" w:hAnsi="Times New Roman"/>
          <w:bCs/>
          <w:szCs w:val="20"/>
        </w:rPr>
        <w:t>测值应不少于三次，单值与平均值的相对误差应小于5%，其计算结果的平均值作为标定值。</w:t>
      </w:r>
    </w:p>
    <w:p>
      <w:pPr>
        <w:tabs>
          <w:tab w:val="left" w:pos="698"/>
          <w:tab w:val="left" w:pos="6020"/>
        </w:tabs>
        <w:spacing w:line="360" w:lineRule="auto"/>
        <w:ind w:left="26" w:firstLine="416"/>
        <w:rPr>
          <w:rFonts w:ascii="Times New Roman" w:hAnsi="Times New Roman"/>
          <w:bCs/>
          <w:szCs w:val="20"/>
        </w:rPr>
      </w:pPr>
      <w:r>
        <w:rPr>
          <w:rFonts w:hint="eastAsia" w:ascii="黑体" w:hAnsi="黑体" w:eastAsia="黑体" w:cs="黑体"/>
        </w:rPr>
        <w:t>5</w:t>
      </w:r>
      <w:r>
        <w:rPr>
          <w:rFonts w:hint="eastAsia" w:ascii="Times New Roman" w:hAnsi="Times New Roman"/>
          <w:b/>
          <w:bCs/>
          <w:szCs w:val="20"/>
        </w:rPr>
        <w:t xml:space="preserve">  </w:t>
      </w:r>
      <w:r>
        <w:rPr>
          <w:rFonts w:ascii="Times New Roman" w:hAnsi="Times New Roman"/>
          <w:bCs/>
          <w:szCs w:val="20"/>
        </w:rPr>
        <w:t>相对介电常数或电磁波波速应按式</w:t>
      </w:r>
      <w:r>
        <w:rPr>
          <w:rFonts w:hint="eastAsia" w:ascii="Times New Roman" w:hAnsi="Times New Roman"/>
          <w:bCs/>
          <w:szCs w:val="20"/>
        </w:rPr>
        <w:t>E</w:t>
      </w:r>
      <w:r>
        <w:rPr>
          <w:rFonts w:ascii="Times New Roman" w:hAnsi="Times New Roman"/>
          <w:bCs/>
          <w:szCs w:val="20"/>
        </w:rPr>
        <w:t>.</w:t>
      </w:r>
      <w:r>
        <w:rPr>
          <w:rFonts w:hint="eastAsia" w:ascii="Times New Roman" w:hAnsi="Times New Roman"/>
          <w:bCs/>
          <w:szCs w:val="20"/>
        </w:rPr>
        <w:t>1</w:t>
      </w:r>
      <w:r>
        <w:rPr>
          <w:rFonts w:ascii="Times New Roman" w:hAnsi="Times New Roman"/>
          <w:bCs/>
          <w:szCs w:val="20"/>
        </w:rPr>
        <w:t>.5-1或式</w:t>
      </w:r>
      <w:r>
        <w:rPr>
          <w:rFonts w:hint="eastAsia" w:ascii="Times New Roman" w:hAnsi="Times New Roman"/>
          <w:bCs/>
          <w:szCs w:val="20"/>
        </w:rPr>
        <w:t>E</w:t>
      </w:r>
      <w:r>
        <w:rPr>
          <w:rFonts w:ascii="Times New Roman" w:hAnsi="Times New Roman"/>
          <w:bCs/>
          <w:szCs w:val="20"/>
        </w:rPr>
        <w:t>.</w:t>
      </w:r>
      <w:r>
        <w:rPr>
          <w:rFonts w:hint="eastAsia" w:ascii="Times New Roman" w:hAnsi="Times New Roman"/>
          <w:bCs/>
          <w:szCs w:val="20"/>
        </w:rPr>
        <w:t>1</w:t>
      </w:r>
      <w:r>
        <w:rPr>
          <w:rFonts w:ascii="Times New Roman" w:hAnsi="Times New Roman"/>
          <w:bCs/>
          <w:szCs w:val="20"/>
        </w:rPr>
        <w:t>.5-2计算：</w:t>
      </w:r>
    </w:p>
    <w:p>
      <w:pPr>
        <w:tabs>
          <w:tab w:val="left" w:pos="6020"/>
        </w:tabs>
        <w:ind w:firstLine="12" w:firstLineChars="6"/>
        <w:jc w:val="right"/>
        <w:rPr>
          <w:rFonts w:ascii="Times New Roman" w:hAnsi="Times New Roman"/>
          <w:bCs/>
          <w:szCs w:val="20"/>
        </w:rPr>
      </w:pPr>
      <w:r>
        <w:rPr>
          <w:rFonts w:ascii="Times New Roman" w:hAnsi="Times New Roman"/>
          <w:bCs/>
          <w:position w:val="-28"/>
          <w:szCs w:val="20"/>
        </w:rPr>
        <w:object>
          <v:shape id="_x0000_i1037" o:spt="75" type="#_x0000_t75" style="height:33.25pt;width:48pt;" o:ole="t" filled="f" o:preferrelative="t" stroked="f" coordsize="21600,21600">
            <v:path/>
            <v:fill on="f" focussize="0,0"/>
            <v:stroke on="f" joinstyle="miter"/>
            <v:imagedata r:id="rId60" o:title=""/>
            <o:lock v:ext="edit" aspectratio="t"/>
            <w10:wrap type="none"/>
            <w10:anchorlock/>
          </v:shape>
          <o:OLEObject Type="Embed" ProgID="Equation.KSEE3" ShapeID="_x0000_i1037" DrawAspect="Content" ObjectID="_1468075741" r:id="rId59">
            <o:LockedField>false</o:LockedField>
          </o:OLEObject>
        </w:object>
      </w:r>
      <w:r>
        <w:rPr>
          <w:rFonts w:ascii="Times New Roman" w:hAnsi="Times New Roman"/>
          <w:bCs/>
          <w:szCs w:val="20"/>
        </w:rPr>
        <w:t xml:space="preserve">                        （</w:t>
      </w:r>
      <w:r>
        <w:rPr>
          <w:rFonts w:hint="eastAsia" w:ascii="Times New Roman" w:hAnsi="Times New Roman"/>
          <w:bCs/>
          <w:szCs w:val="20"/>
        </w:rPr>
        <w:t>E.1</w:t>
      </w:r>
      <w:r>
        <w:rPr>
          <w:rFonts w:ascii="Times New Roman" w:hAnsi="Times New Roman"/>
          <w:bCs/>
          <w:szCs w:val="20"/>
        </w:rPr>
        <w:t>.5-1）</w:t>
      </w:r>
    </w:p>
    <w:p>
      <w:pPr>
        <w:tabs>
          <w:tab w:val="left" w:pos="6020"/>
        </w:tabs>
        <w:jc w:val="right"/>
        <w:rPr>
          <w:rFonts w:ascii="Times New Roman" w:hAnsi="Times New Roman"/>
          <w:bCs/>
          <w:szCs w:val="20"/>
        </w:rPr>
      </w:pPr>
      <w:r>
        <w:rPr>
          <w:rFonts w:ascii="Times New Roman" w:hAnsi="Times New Roman"/>
          <w:bCs/>
          <w:position w:val="-20"/>
          <w:szCs w:val="20"/>
        </w:rPr>
        <w:object>
          <v:shape id="_x0000_i1038" o:spt="75" type="#_x0000_t75" style="height:27.8pt;width:35.45pt;" o:ole="t" filled="f" o:preferrelative="t" stroked="f" coordsize="21600,21600">
            <v:path/>
            <v:fill on="f" focussize="0,0"/>
            <v:stroke on="f" joinstyle="miter"/>
            <v:imagedata r:id="rId62" o:title=""/>
            <o:lock v:ext="edit" aspectratio="t"/>
            <w10:wrap type="none"/>
            <w10:anchorlock/>
          </v:shape>
          <o:OLEObject Type="Embed" ProgID="Equation.3" ShapeID="_x0000_i1038" DrawAspect="Content" ObjectID="_1468075742" r:id="rId61">
            <o:LockedField>false</o:LockedField>
          </o:OLEObject>
        </w:object>
      </w:r>
      <w:r>
        <w:rPr>
          <w:rFonts w:ascii="Times New Roman" w:hAnsi="Times New Roman"/>
          <w:bCs/>
          <w:szCs w:val="20"/>
        </w:rPr>
        <w:t xml:space="preserve">                          （</w:t>
      </w:r>
      <w:r>
        <w:rPr>
          <w:rFonts w:hint="eastAsia" w:ascii="Times New Roman" w:hAnsi="Times New Roman"/>
          <w:bCs/>
          <w:szCs w:val="20"/>
        </w:rPr>
        <w:t>E.1</w:t>
      </w:r>
      <w:r>
        <w:rPr>
          <w:rFonts w:ascii="Times New Roman" w:hAnsi="Times New Roman"/>
          <w:bCs/>
          <w:szCs w:val="20"/>
        </w:rPr>
        <w:t>.5-2）</w:t>
      </w:r>
    </w:p>
    <w:p>
      <w:pPr>
        <w:tabs>
          <w:tab w:val="left" w:pos="6020"/>
        </w:tabs>
        <w:spacing w:line="360" w:lineRule="auto"/>
        <w:ind w:firstLine="2"/>
        <w:rPr>
          <w:rFonts w:ascii="Times New Roman" w:hAnsi="Times New Roman"/>
          <w:bCs/>
          <w:szCs w:val="20"/>
        </w:rPr>
      </w:pPr>
      <w:r>
        <w:rPr>
          <w:rFonts w:ascii="Times New Roman" w:hAnsi="Times New Roman"/>
          <w:bCs/>
          <w:szCs w:val="20"/>
        </w:rPr>
        <w:t xml:space="preserve">式中  </w:t>
      </w:r>
      <w:r>
        <w:rPr>
          <w:rFonts w:ascii="Times New Roman" w:hAnsi="Times New Roman"/>
          <w:bCs/>
          <w:i/>
          <w:szCs w:val="20"/>
        </w:rPr>
        <w:t>ε</w:t>
      </w:r>
      <w:r>
        <w:rPr>
          <w:rFonts w:ascii="Times New Roman" w:hAnsi="Times New Roman"/>
          <w:bCs/>
          <w:i/>
          <w:szCs w:val="20"/>
          <w:vertAlign w:val="subscript"/>
        </w:rPr>
        <w:t>r</w:t>
      </w:r>
      <w:r>
        <w:rPr>
          <w:rFonts w:ascii="Times New Roman" w:hAnsi="Times New Roman"/>
          <w:bCs/>
          <w:szCs w:val="20"/>
        </w:rPr>
        <w:t>——混凝土相对介电常数；</w:t>
      </w:r>
    </w:p>
    <w:p>
      <w:pPr>
        <w:tabs>
          <w:tab w:val="left" w:pos="6020"/>
        </w:tabs>
        <w:spacing w:line="360" w:lineRule="auto"/>
        <w:ind w:firstLine="672" w:firstLineChars="320"/>
        <w:rPr>
          <w:rFonts w:ascii="Times New Roman" w:hAnsi="Times New Roman"/>
          <w:bCs/>
          <w:szCs w:val="20"/>
        </w:rPr>
      </w:pPr>
      <w:r>
        <w:rPr>
          <w:rFonts w:ascii="Times New Roman" w:hAnsi="Times New Roman"/>
          <w:bCs/>
          <w:i/>
          <w:szCs w:val="20"/>
        </w:rPr>
        <w:t>v</w:t>
      </w:r>
      <w:r>
        <w:rPr>
          <w:rFonts w:ascii="Times New Roman" w:hAnsi="Times New Roman"/>
          <w:bCs/>
          <w:szCs w:val="20"/>
        </w:rPr>
        <w:t>——混凝土介质中的电磁波速，m/s；</w:t>
      </w:r>
    </w:p>
    <w:p>
      <w:pPr>
        <w:tabs>
          <w:tab w:val="left" w:pos="6020"/>
        </w:tabs>
        <w:spacing w:line="360" w:lineRule="auto"/>
        <w:ind w:firstLine="672" w:firstLineChars="320"/>
        <w:rPr>
          <w:rFonts w:ascii="Times New Roman" w:hAnsi="Times New Roman"/>
          <w:bCs/>
          <w:szCs w:val="20"/>
        </w:rPr>
      </w:pPr>
      <w:r>
        <w:rPr>
          <w:rFonts w:ascii="Times New Roman" w:hAnsi="Times New Roman"/>
          <w:bCs/>
          <w:i/>
          <w:szCs w:val="20"/>
        </w:rPr>
        <w:t>c</w:t>
      </w:r>
      <w:r>
        <w:rPr>
          <w:rFonts w:ascii="Times New Roman" w:hAnsi="Times New Roman"/>
          <w:bCs/>
          <w:szCs w:val="20"/>
        </w:rPr>
        <w:t>——真空中的电磁波速度，3×10</w:t>
      </w:r>
      <w:r>
        <w:rPr>
          <w:rFonts w:ascii="Times New Roman" w:hAnsi="Times New Roman"/>
          <w:bCs/>
          <w:szCs w:val="20"/>
          <w:vertAlign w:val="superscript"/>
        </w:rPr>
        <w:t>8</w:t>
      </w:r>
      <w:r>
        <w:rPr>
          <w:rFonts w:ascii="Times New Roman" w:hAnsi="Times New Roman"/>
          <w:bCs/>
          <w:szCs w:val="20"/>
        </w:rPr>
        <w:t>m/s；</w:t>
      </w:r>
    </w:p>
    <w:p>
      <w:pPr>
        <w:tabs>
          <w:tab w:val="left" w:pos="6020"/>
        </w:tabs>
        <w:spacing w:line="360" w:lineRule="auto"/>
        <w:ind w:firstLine="705" w:firstLineChars="336"/>
        <w:rPr>
          <w:rFonts w:ascii="Times New Roman" w:hAnsi="Times New Roman"/>
          <w:bCs/>
          <w:szCs w:val="20"/>
        </w:rPr>
      </w:pPr>
      <w:r>
        <w:rPr>
          <w:rFonts w:ascii="Times New Roman" w:hAnsi="Times New Roman"/>
          <w:bCs/>
          <w:i/>
          <w:szCs w:val="20"/>
        </w:rPr>
        <w:t>t</w:t>
      </w:r>
      <w:r>
        <w:rPr>
          <w:rFonts w:ascii="Times New Roman" w:hAnsi="Times New Roman"/>
          <w:bCs/>
          <w:szCs w:val="20"/>
        </w:rPr>
        <w:t>——电磁波从顶面到达底面再返回双程走时时间，s；</w:t>
      </w:r>
    </w:p>
    <w:p>
      <w:pPr>
        <w:tabs>
          <w:tab w:val="left" w:pos="6020"/>
        </w:tabs>
        <w:spacing w:line="360" w:lineRule="auto"/>
        <w:ind w:firstLine="663" w:firstLineChars="316"/>
        <w:rPr>
          <w:rFonts w:ascii="Times New Roman" w:hAnsi="Times New Roman"/>
          <w:bCs/>
          <w:szCs w:val="20"/>
        </w:rPr>
      </w:pPr>
      <w:r>
        <w:rPr>
          <w:rFonts w:ascii="Times New Roman" w:hAnsi="Times New Roman"/>
          <w:bCs/>
          <w:i/>
          <w:szCs w:val="20"/>
        </w:rPr>
        <w:t>h</w:t>
      </w:r>
      <w:r>
        <w:rPr>
          <w:rFonts w:ascii="Times New Roman" w:hAnsi="Times New Roman"/>
          <w:bCs/>
          <w:szCs w:val="20"/>
        </w:rPr>
        <w:t>——已知的混凝土结构厚度，m。</w:t>
      </w:r>
    </w:p>
    <w:p>
      <w:pPr>
        <w:tabs>
          <w:tab w:val="left" w:pos="6020"/>
        </w:tabs>
        <w:spacing w:line="360" w:lineRule="auto"/>
        <w:rPr>
          <w:rFonts w:ascii="Times New Roman" w:hAnsi="Times New Roman"/>
          <w:bCs/>
          <w:szCs w:val="20"/>
        </w:rPr>
      </w:pPr>
      <w:r>
        <w:rPr>
          <w:rFonts w:hint="eastAsia" w:ascii="黑体" w:hAnsi="黑体" w:eastAsia="黑体" w:cs="黑体"/>
        </w:rPr>
        <w:t xml:space="preserve">E.1.6 </w:t>
      </w:r>
      <w:r>
        <w:rPr>
          <w:rFonts w:ascii="Times New Roman" w:hAnsi="Times New Roman"/>
          <w:bCs/>
          <w:szCs w:val="20"/>
        </w:rPr>
        <w:t xml:space="preserve"> 测线和测点的布置应符合下列要求：</w:t>
      </w:r>
    </w:p>
    <w:p>
      <w:pPr>
        <w:tabs>
          <w:tab w:val="left" w:pos="728"/>
          <w:tab w:val="left" w:pos="6020"/>
        </w:tabs>
        <w:spacing w:line="360" w:lineRule="auto"/>
        <w:ind w:left="12" w:firstLine="416"/>
        <w:rPr>
          <w:rFonts w:ascii="Times New Roman" w:hAnsi="Times New Roman"/>
          <w:bCs/>
          <w:szCs w:val="20"/>
        </w:rPr>
      </w:pPr>
      <w:r>
        <w:rPr>
          <w:rFonts w:hint="eastAsia" w:ascii="黑体" w:hAnsi="黑体" w:eastAsia="黑体" w:cs="黑体"/>
        </w:rPr>
        <w:t xml:space="preserve">1 </w:t>
      </w:r>
      <w:r>
        <w:rPr>
          <w:rFonts w:hint="eastAsia" w:ascii="Times New Roman" w:hAnsi="Times New Roman"/>
          <w:b/>
          <w:bCs/>
          <w:szCs w:val="20"/>
        </w:rPr>
        <w:t xml:space="preserve"> </w:t>
      </w:r>
      <w:r>
        <w:rPr>
          <w:rFonts w:ascii="Times New Roman" w:hAnsi="Times New Roman"/>
          <w:bCs/>
          <w:szCs w:val="20"/>
        </w:rPr>
        <w:t>对于较大尺寸的混凝土结构，宜采用与结构物长度方向一致的平行测线布置，间距宜为100cm～500cm。</w:t>
      </w:r>
    </w:p>
    <w:p>
      <w:pPr>
        <w:tabs>
          <w:tab w:val="left" w:pos="728"/>
          <w:tab w:val="left" w:pos="6020"/>
        </w:tabs>
        <w:spacing w:line="360" w:lineRule="auto"/>
        <w:ind w:left="12" w:firstLine="416"/>
        <w:rPr>
          <w:rFonts w:ascii="Times New Roman" w:hAnsi="Times New Roman"/>
          <w:bCs/>
          <w:szCs w:val="20"/>
        </w:rPr>
      </w:pPr>
      <w:r>
        <w:rPr>
          <w:rFonts w:hint="eastAsia" w:ascii="黑体" w:hAnsi="黑体" w:eastAsia="黑体" w:cs="黑体"/>
        </w:rPr>
        <w:t xml:space="preserve">2 </w:t>
      </w:r>
      <w:r>
        <w:rPr>
          <w:rFonts w:hint="eastAsia" w:ascii="Times New Roman" w:hAnsi="Times New Roman"/>
          <w:b/>
          <w:bCs/>
          <w:szCs w:val="20"/>
        </w:rPr>
        <w:t xml:space="preserve"> </w:t>
      </w:r>
      <w:r>
        <w:rPr>
          <w:rFonts w:ascii="Times New Roman" w:hAnsi="Times New Roman"/>
          <w:bCs/>
          <w:szCs w:val="20"/>
        </w:rPr>
        <w:t>较小尺寸的宜采用网格布置，网格间距宜为10cm~100cm。</w:t>
      </w:r>
    </w:p>
    <w:p>
      <w:pPr>
        <w:tabs>
          <w:tab w:val="left" w:pos="728"/>
          <w:tab w:val="left" w:pos="6020"/>
        </w:tabs>
        <w:spacing w:line="360" w:lineRule="auto"/>
        <w:ind w:left="12" w:firstLine="416"/>
        <w:rPr>
          <w:rFonts w:ascii="Times New Roman" w:hAnsi="Times New Roman"/>
          <w:bCs/>
          <w:szCs w:val="20"/>
        </w:rPr>
      </w:pPr>
      <w:r>
        <w:rPr>
          <w:rFonts w:hint="eastAsia" w:ascii="黑体" w:hAnsi="黑体" w:eastAsia="黑体" w:cs="黑体"/>
        </w:rPr>
        <w:t xml:space="preserve">3 </w:t>
      </w:r>
      <w:r>
        <w:rPr>
          <w:rFonts w:hint="eastAsia" w:ascii="Times New Roman" w:hAnsi="Times New Roman"/>
          <w:b/>
          <w:bCs/>
          <w:szCs w:val="20"/>
        </w:rPr>
        <w:t xml:space="preserve"> </w:t>
      </w:r>
      <w:r>
        <w:rPr>
          <w:rFonts w:ascii="Times New Roman" w:hAnsi="Times New Roman"/>
          <w:bCs/>
          <w:szCs w:val="20"/>
        </w:rPr>
        <w:t>进行点测时，测点间距宜为10cm～50cm，并应满足式</w:t>
      </w:r>
      <w:r>
        <w:rPr>
          <w:rFonts w:hint="eastAsia" w:ascii="Times New Roman" w:hAnsi="Times New Roman"/>
          <w:bCs/>
          <w:szCs w:val="20"/>
        </w:rPr>
        <w:t>E.1</w:t>
      </w:r>
      <w:r>
        <w:rPr>
          <w:rFonts w:ascii="Times New Roman" w:hAnsi="Times New Roman"/>
          <w:bCs/>
          <w:szCs w:val="20"/>
        </w:rPr>
        <w:t>.6要求。</w:t>
      </w:r>
    </w:p>
    <w:p>
      <w:pPr>
        <w:tabs>
          <w:tab w:val="left" w:pos="6020"/>
        </w:tabs>
        <w:jc w:val="right"/>
        <w:rPr>
          <w:rFonts w:ascii="Times New Roman" w:hAnsi="Times New Roman"/>
          <w:bCs/>
          <w:szCs w:val="20"/>
        </w:rPr>
      </w:pPr>
      <w:r>
        <w:rPr>
          <w:rFonts w:ascii="Times New Roman" w:hAnsi="Times New Roman"/>
          <w:bCs/>
          <w:position w:val="-28"/>
          <w:szCs w:val="20"/>
        </w:rPr>
        <w:object>
          <v:shape id="_x0000_i1039" o:spt="75" type="#_x0000_t75" style="height:33.25pt;width:67.65pt;" o:ole="t" filled="f" o:preferrelative="t" stroked="f" coordsize="21600,21600">
            <v:path/>
            <v:fill on="f" focussize="0,0"/>
            <v:stroke on="f" joinstyle="miter"/>
            <v:imagedata r:id="rId64" o:title=""/>
            <o:lock v:ext="edit" aspectratio="t"/>
            <w10:wrap type="none"/>
            <w10:anchorlock/>
          </v:shape>
          <o:OLEObject Type="Embed" ProgID="Equation.3" ShapeID="_x0000_i1039" DrawAspect="Content" ObjectID="_1468075743" r:id="rId63">
            <o:LockedField>false</o:LockedField>
          </o:OLEObject>
        </w:object>
      </w:r>
      <w:r>
        <w:rPr>
          <w:rFonts w:ascii="Times New Roman" w:hAnsi="Times New Roman"/>
          <w:bCs/>
          <w:szCs w:val="20"/>
        </w:rPr>
        <w:t xml:space="preserve">                         （</w:t>
      </w:r>
      <w:r>
        <w:rPr>
          <w:rFonts w:hint="eastAsia" w:ascii="Times New Roman" w:hAnsi="Times New Roman"/>
          <w:bCs/>
          <w:szCs w:val="20"/>
        </w:rPr>
        <w:t>E.1</w:t>
      </w:r>
      <w:r>
        <w:rPr>
          <w:rFonts w:ascii="Times New Roman" w:hAnsi="Times New Roman"/>
          <w:bCs/>
          <w:szCs w:val="20"/>
        </w:rPr>
        <w:t>.6）</w:t>
      </w:r>
    </w:p>
    <w:p>
      <w:pPr>
        <w:tabs>
          <w:tab w:val="left" w:pos="6020"/>
        </w:tabs>
        <w:spacing w:line="360" w:lineRule="auto"/>
        <w:rPr>
          <w:rFonts w:ascii="Times New Roman" w:hAnsi="Times New Roman"/>
          <w:bCs/>
          <w:szCs w:val="20"/>
        </w:rPr>
      </w:pPr>
      <w:r>
        <w:rPr>
          <w:rFonts w:ascii="Times New Roman" w:hAnsi="Times New Roman"/>
          <w:bCs/>
          <w:szCs w:val="20"/>
        </w:rPr>
        <w:t xml:space="preserve">式中  </w:t>
      </w:r>
      <w:r>
        <w:rPr>
          <w:rFonts w:ascii="Times New Roman" w:hAnsi="Times New Roman"/>
          <w:bCs/>
          <w:i/>
          <w:szCs w:val="20"/>
        </w:rPr>
        <w:t>ΔX</w:t>
      </w:r>
      <w:r>
        <w:rPr>
          <w:rFonts w:ascii="Times New Roman" w:hAnsi="Times New Roman"/>
          <w:bCs/>
          <w:szCs w:val="20"/>
        </w:rPr>
        <w:t>——相邻测点间距，m；</w:t>
      </w:r>
    </w:p>
    <w:p>
      <w:pPr>
        <w:tabs>
          <w:tab w:val="left" w:pos="6020"/>
        </w:tabs>
        <w:spacing w:line="360" w:lineRule="auto"/>
        <w:ind w:firstLine="789" w:firstLineChars="376"/>
        <w:rPr>
          <w:rFonts w:ascii="Times New Roman" w:hAnsi="Times New Roman"/>
          <w:bCs/>
          <w:szCs w:val="20"/>
        </w:rPr>
      </w:pPr>
      <w:r>
        <w:rPr>
          <w:rFonts w:ascii="Times New Roman" w:hAnsi="Times New Roman"/>
          <w:bCs/>
          <w:i/>
          <w:szCs w:val="20"/>
        </w:rPr>
        <w:t>c</w:t>
      </w:r>
      <w:r>
        <w:rPr>
          <w:rFonts w:ascii="Times New Roman" w:hAnsi="Times New Roman"/>
          <w:bCs/>
          <w:szCs w:val="20"/>
        </w:rPr>
        <w:t>——真空中的电磁波速度，3×10</w:t>
      </w:r>
      <w:r>
        <w:rPr>
          <w:rFonts w:ascii="Times New Roman" w:hAnsi="Times New Roman"/>
          <w:bCs/>
          <w:szCs w:val="20"/>
          <w:vertAlign w:val="superscript"/>
        </w:rPr>
        <w:t>8</w:t>
      </w:r>
      <w:r>
        <w:rPr>
          <w:rFonts w:ascii="Times New Roman" w:hAnsi="Times New Roman"/>
          <w:bCs/>
          <w:szCs w:val="20"/>
        </w:rPr>
        <w:t>m/s；</w:t>
      </w:r>
    </w:p>
    <w:p>
      <w:pPr>
        <w:tabs>
          <w:tab w:val="left" w:pos="6020"/>
        </w:tabs>
        <w:spacing w:line="360" w:lineRule="auto"/>
        <w:ind w:firstLine="747" w:firstLineChars="356"/>
        <w:rPr>
          <w:rFonts w:ascii="Times New Roman" w:hAnsi="Times New Roman"/>
          <w:bCs/>
          <w:szCs w:val="20"/>
        </w:rPr>
      </w:pPr>
      <w:r>
        <w:rPr>
          <w:rFonts w:ascii="Times New Roman" w:hAnsi="Times New Roman"/>
          <w:bCs/>
          <w:i/>
          <w:szCs w:val="20"/>
        </w:rPr>
        <w:t>f</w:t>
      </w:r>
      <w:r>
        <w:rPr>
          <w:rFonts w:ascii="Times New Roman" w:hAnsi="Times New Roman"/>
          <w:bCs/>
          <w:i/>
          <w:szCs w:val="20"/>
          <w:vertAlign w:val="subscript"/>
        </w:rPr>
        <w:t>T</w:t>
      </w:r>
      <w:r>
        <w:rPr>
          <w:rFonts w:ascii="Times New Roman" w:hAnsi="Times New Roman"/>
          <w:bCs/>
          <w:szCs w:val="20"/>
        </w:rPr>
        <w:t>——天线中心频率，Hz；</w:t>
      </w:r>
    </w:p>
    <w:p>
      <w:pPr>
        <w:tabs>
          <w:tab w:val="left" w:pos="728"/>
          <w:tab w:val="left" w:pos="6020"/>
        </w:tabs>
        <w:spacing w:line="360" w:lineRule="auto"/>
        <w:ind w:firstLine="707" w:firstLineChars="337"/>
        <w:rPr>
          <w:rFonts w:ascii="Times New Roman" w:hAnsi="Times New Roman"/>
          <w:bCs/>
          <w:szCs w:val="20"/>
        </w:rPr>
      </w:pPr>
      <w:r>
        <w:rPr>
          <w:rFonts w:ascii="Times New Roman" w:hAnsi="Times New Roman"/>
          <w:bCs/>
          <w:i/>
          <w:szCs w:val="20"/>
        </w:rPr>
        <w:t>ε</w:t>
      </w:r>
      <w:r>
        <w:rPr>
          <w:rFonts w:ascii="Times New Roman" w:hAnsi="Times New Roman"/>
          <w:bCs/>
          <w:i/>
          <w:szCs w:val="20"/>
          <w:vertAlign w:val="subscript"/>
        </w:rPr>
        <w:t>r</w:t>
      </w:r>
      <w:r>
        <w:rPr>
          <w:rFonts w:ascii="Times New Roman" w:hAnsi="Times New Roman"/>
          <w:bCs/>
          <w:szCs w:val="20"/>
        </w:rPr>
        <w:t>——混凝土相对介电常数。</w:t>
      </w:r>
    </w:p>
    <w:p>
      <w:pPr>
        <w:tabs>
          <w:tab w:val="left" w:pos="6020"/>
        </w:tabs>
        <w:spacing w:line="360" w:lineRule="auto"/>
        <w:rPr>
          <w:rFonts w:ascii="Times New Roman" w:hAnsi="Times New Roman"/>
          <w:bCs/>
          <w:szCs w:val="20"/>
        </w:rPr>
      </w:pPr>
      <w:r>
        <w:rPr>
          <w:rFonts w:hint="eastAsia" w:ascii="黑体" w:hAnsi="黑体" w:eastAsia="黑体" w:cs="黑体"/>
        </w:rPr>
        <w:t xml:space="preserve">E.1.7 </w:t>
      </w:r>
      <w:r>
        <w:rPr>
          <w:rFonts w:ascii="Times New Roman" w:hAnsi="Times New Roman"/>
          <w:bCs/>
          <w:szCs w:val="20"/>
        </w:rPr>
        <w:t xml:space="preserve"> 混凝土缺陷检测应符合下列要求：</w:t>
      </w:r>
    </w:p>
    <w:p>
      <w:pPr>
        <w:tabs>
          <w:tab w:val="left" w:pos="742"/>
          <w:tab w:val="left" w:pos="6020"/>
        </w:tabs>
        <w:spacing w:line="360" w:lineRule="auto"/>
        <w:ind w:firstLine="428"/>
        <w:rPr>
          <w:rFonts w:ascii="Times New Roman" w:hAnsi="Times New Roman"/>
          <w:bCs/>
          <w:szCs w:val="20"/>
        </w:rPr>
      </w:pPr>
      <w:r>
        <w:rPr>
          <w:rFonts w:hint="eastAsia" w:ascii="黑体" w:hAnsi="黑体" w:eastAsia="黑体" w:cs="黑体"/>
        </w:rPr>
        <w:t xml:space="preserve">1 </w:t>
      </w:r>
      <w:r>
        <w:rPr>
          <w:rFonts w:hint="eastAsia" w:ascii="Times New Roman" w:hAnsi="Times New Roman"/>
          <w:b/>
          <w:bCs/>
          <w:szCs w:val="20"/>
        </w:rPr>
        <w:t xml:space="preserve"> </w:t>
      </w:r>
      <w:r>
        <w:rPr>
          <w:rFonts w:ascii="Times New Roman" w:hAnsi="Times New Roman"/>
          <w:bCs/>
          <w:szCs w:val="20"/>
        </w:rPr>
        <w:t>检查主机、雷达天线，使之处于正常状态。</w:t>
      </w:r>
    </w:p>
    <w:p>
      <w:pPr>
        <w:tabs>
          <w:tab w:val="left" w:pos="742"/>
          <w:tab w:val="left" w:pos="6020"/>
        </w:tabs>
        <w:spacing w:line="360" w:lineRule="auto"/>
        <w:ind w:firstLine="428"/>
        <w:rPr>
          <w:rFonts w:ascii="Times New Roman" w:hAnsi="Times New Roman"/>
          <w:bCs/>
          <w:szCs w:val="20"/>
        </w:rPr>
      </w:pPr>
      <w:r>
        <w:rPr>
          <w:rFonts w:hint="eastAsia" w:ascii="黑体" w:hAnsi="黑体" w:eastAsia="黑体" w:cs="黑体"/>
        </w:rPr>
        <w:t xml:space="preserve">2 </w:t>
      </w:r>
      <w:r>
        <w:rPr>
          <w:rFonts w:hint="eastAsia" w:ascii="Times New Roman" w:hAnsi="Times New Roman"/>
          <w:b/>
          <w:bCs/>
          <w:szCs w:val="20"/>
        </w:rPr>
        <w:t xml:space="preserve"> </w:t>
      </w:r>
      <w:r>
        <w:rPr>
          <w:rFonts w:ascii="Times New Roman" w:hAnsi="Times New Roman"/>
          <w:bCs/>
          <w:szCs w:val="20"/>
        </w:rPr>
        <w:t>应根据电缆、天线连接的测量方式，在主机上选择相应的测量模式。</w:t>
      </w:r>
    </w:p>
    <w:p>
      <w:pPr>
        <w:tabs>
          <w:tab w:val="left" w:pos="742"/>
          <w:tab w:val="left" w:pos="6020"/>
        </w:tabs>
        <w:spacing w:line="360" w:lineRule="auto"/>
        <w:ind w:firstLine="428"/>
        <w:rPr>
          <w:rFonts w:ascii="Times New Roman" w:hAnsi="Times New Roman"/>
          <w:bCs/>
          <w:szCs w:val="20"/>
        </w:rPr>
      </w:pPr>
      <w:r>
        <w:rPr>
          <w:rFonts w:hint="eastAsia" w:ascii="黑体" w:hAnsi="黑体" w:eastAsia="黑体" w:cs="黑体"/>
        </w:rPr>
        <w:t xml:space="preserve">3 </w:t>
      </w:r>
      <w:r>
        <w:rPr>
          <w:rFonts w:hint="eastAsia" w:ascii="Times New Roman" w:hAnsi="Times New Roman"/>
          <w:b/>
          <w:bCs/>
          <w:szCs w:val="20"/>
        </w:rPr>
        <w:t xml:space="preserve"> </w:t>
      </w:r>
      <w:r>
        <w:rPr>
          <w:rFonts w:ascii="Times New Roman" w:hAnsi="Times New Roman"/>
          <w:bCs/>
          <w:szCs w:val="20"/>
        </w:rPr>
        <w:t>设置仪器参数，并应符合式</w:t>
      </w:r>
      <w:r>
        <w:rPr>
          <w:rFonts w:hint="eastAsia" w:ascii="Times New Roman" w:hAnsi="Times New Roman"/>
          <w:bCs/>
          <w:szCs w:val="20"/>
        </w:rPr>
        <w:t>E.1</w:t>
      </w:r>
      <w:r>
        <w:rPr>
          <w:rFonts w:ascii="Times New Roman" w:hAnsi="Times New Roman"/>
          <w:bCs/>
          <w:szCs w:val="20"/>
        </w:rPr>
        <w:t>.7-1～</w:t>
      </w:r>
      <w:r>
        <w:rPr>
          <w:rFonts w:hint="eastAsia" w:ascii="Times New Roman" w:hAnsi="Times New Roman"/>
          <w:bCs/>
          <w:szCs w:val="20"/>
        </w:rPr>
        <w:t>E.1</w:t>
      </w:r>
      <w:r>
        <w:rPr>
          <w:rFonts w:ascii="Times New Roman" w:hAnsi="Times New Roman"/>
          <w:bCs/>
          <w:szCs w:val="20"/>
        </w:rPr>
        <w:t>.7-3要求。</w:t>
      </w:r>
    </w:p>
    <w:p>
      <w:pPr>
        <w:pStyle w:val="26"/>
        <w:numPr>
          <w:ilvl w:val="0"/>
          <w:numId w:val="38"/>
        </w:numPr>
        <w:tabs>
          <w:tab w:val="left" w:pos="742"/>
          <w:tab w:val="left" w:pos="1134"/>
          <w:tab w:val="left" w:pos="6020"/>
        </w:tabs>
        <w:spacing w:line="360" w:lineRule="auto"/>
        <w:ind w:firstLine="63" w:firstLineChars="0"/>
        <w:rPr>
          <w:rFonts w:ascii="Times New Roman" w:hAnsi="Times New Roman"/>
          <w:bCs/>
          <w:szCs w:val="20"/>
        </w:rPr>
      </w:pPr>
      <w:r>
        <w:rPr>
          <w:rFonts w:ascii="Times New Roman" w:hAnsi="Times New Roman"/>
          <w:bCs/>
          <w:szCs w:val="20"/>
        </w:rPr>
        <w:t>时窗长度估算</w:t>
      </w:r>
    </w:p>
    <w:p>
      <w:pPr>
        <w:tabs>
          <w:tab w:val="left" w:pos="6020"/>
        </w:tabs>
        <w:jc w:val="right"/>
        <w:rPr>
          <w:rFonts w:ascii="Times New Roman" w:hAnsi="Times New Roman"/>
          <w:bCs/>
          <w:szCs w:val="20"/>
        </w:rPr>
      </w:pPr>
      <w:r>
        <w:rPr>
          <w:rFonts w:ascii="Times New Roman" w:hAnsi="Times New Roman"/>
          <w:bCs/>
          <w:position w:val="-20"/>
          <w:szCs w:val="20"/>
        </w:rPr>
        <w:object>
          <v:shape id="_x0000_i1040" o:spt="75" type="#_x0000_t75" style="height:27.25pt;width:54pt;" o:ole="t" filled="f" o:preferrelative="t" stroked="f" coordsize="21600,21600">
            <v:path/>
            <v:fill on="f" focussize="0,0"/>
            <v:stroke on="f" joinstyle="miter"/>
            <v:imagedata r:id="rId66" o:title=""/>
            <o:lock v:ext="edit" aspectratio="t"/>
            <w10:wrap type="none"/>
            <w10:anchorlock/>
          </v:shape>
          <o:OLEObject Type="Embed" ProgID="Equation.3" ShapeID="_x0000_i1040" DrawAspect="Content" ObjectID="_1468075744" r:id="rId65">
            <o:LockedField>false</o:LockedField>
          </o:OLEObject>
        </w:object>
      </w:r>
      <w:r>
        <w:rPr>
          <w:rFonts w:ascii="Times New Roman" w:hAnsi="Times New Roman"/>
          <w:bCs/>
          <w:szCs w:val="20"/>
        </w:rPr>
        <w:t xml:space="preserve">                         （</w:t>
      </w:r>
      <w:r>
        <w:rPr>
          <w:rFonts w:hint="eastAsia" w:ascii="Times New Roman" w:hAnsi="Times New Roman"/>
          <w:bCs/>
          <w:szCs w:val="20"/>
        </w:rPr>
        <w:t>E.1</w:t>
      </w:r>
      <w:r>
        <w:rPr>
          <w:rFonts w:ascii="Times New Roman" w:hAnsi="Times New Roman"/>
          <w:bCs/>
          <w:szCs w:val="20"/>
        </w:rPr>
        <w:t>.7-1）</w:t>
      </w:r>
    </w:p>
    <w:p>
      <w:pPr>
        <w:tabs>
          <w:tab w:val="left" w:pos="6020"/>
        </w:tabs>
        <w:rPr>
          <w:rFonts w:ascii="Times New Roman" w:hAnsi="Times New Roman"/>
          <w:bCs/>
          <w:szCs w:val="20"/>
        </w:rPr>
      </w:pPr>
      <w:r>
        <w:rPr>
          <w:rFonts w:ascii="Times New Roman" w:hAnsi="Times New Roman"/>
          <w:bCs/>
          <w:szCs w:val="20"/>
        </w:rPr>
        <w:t xml:space="preserve">式中  </w:t>
      </w:r>
      <w:r>
        <w:rPr>
          <w:rFonts w:ascii="Times New Roman" w:hAnsi="Times New Roman"/>
          <w:bCs/>
          <w:i/>
          <w:szCs w:val="20"/>
        </w:rPr>
        <w:t>w</w:t>
      </w:r>
      <w:r>
        <w:rPr>
          <w:rFonts w:ascii="Times New Roman" w:hAnsi="Times New Roman"/>
          <w:bCs/>
          <w:szCs w:val="20"/>
        </w:rPr>
        <w:t>——时窗长度，s；</w:t>
      </w:r>
    </w:p>
    <w:p>
      <w:pPr>
        <w:tabs>
          <w:tab w:val="left" w:pos="6020"/>
        </w:tabs>
        <w:spacing w:line="360" w:lineRule="auto"/>
        <w:ind w:firstLine="399" w:firstLineChars="190"/>
        <w:rPr>
          <w:rFonts w:ascii="Times New Roman" w:hAnsi="Times New Roman"/>
          <w:bCs/>
          <w:szCs w:val="20"/>
        </w:rPr>
      </w:pPr>
      <w:r>
        <w:rPr>
          <w:rFonts w:ascii="Times New Roman" w:hAnsi="Times New Roman"/>
          <w:bCs/>
          <w:i/>
          <w:szCs w:val="20"/>
        </w:rPr>
        <w:t>h</w:t>
      </w:r>
      <w:r>
        <w:rPr>
          <w:rFonts w:ascii="Times New Roman" w:hAnsi="Times New Roman"/>
          <w:bCs/>
          <w:szCs w:val="20"/>
          <w:vertAlign w:val="subscript"/>
        </w:rPr>
        <w:t>max</w:t>
      </w:r>
      <w:r>
        <w:rPr>
          <w:rFonts w:ascii="Times New Roman" w:hAnsi="Times New Roman"/>
          <w:bCs/>
          <w:szCs w:val="20"/>
        </w:rPr>
        <w:t>——拟检测目标体的最大深度，m；</w:t>
      </w:r>
    </w:p>
    <w:p>
      <w:pPr>
        <w:tabs>
          <w:tab w:val="left" w:pos="6020"/>
        </w:tabs>
        <w:spacing w:line="360" w:lineRule="auto"/>
        <w:ind w:firstLine="693" w:firstLineChars="330"/>
        <w:rPr>
          <w:rFonts w:ascii="Times New Roman" w:hAnsi="Times New Roman"/>
          <w:bCs/>
          <w:szCs w:val="20"/>
        </w:rPr>
      </w:pPr>
      <w:r>
        <w:rPr>
          <w:rFonts w:ascii="Times New Roman" w:hAnsi="Times New Roman"/>
          <w:bCs/>
          <w:i/>
          <w:szCs w:val="20"/>
        </w:rPr>
        <w:t>v</w:t>
      </w:r>
      <w:r>
        <w:rPr>
          <w:rFonts w:ascii="Times New Roman" w:hAnsi="Times New Roman"/>
          <w:bCs/>
          <w:szCs w:val="20"/>
        </w:rPr>
        <w:t>——混凝土介质中电磁波速度，m/s</w:t>
      </w:r>
    </w:p>
    <w:p>
      <w:pPr>
        <w:tabs>
          <w:tab w:val="left" w:pos="6020"/>
        </w:tabs>
        <w:spacing w:line="360" w:lineRule="auto"/>
        <w:ind w:firstLine="661" w:firstLineChars="315"/>
        <w:rPr>
          <w:rFonts w:ascii="Times New Roman" w:hAnsi="Times New Roman"/>
          <w:bCs/>
          <w:szCs w:val="20"/>
        </w:rPr>
      </w:pPr>
      <w:r>
        <w:rPr>
          <w:rFonts w:ascii="Times New Roman" w:hAnsi="Times New Roman"/>
          <w:bCs/>
          <w:szCs w:val="20"/>
        </w:rPr>
        <w:t>α——调整系数，混凝土介质电磁波速度与目标深度变化所留出的残余值。一般取1.3～2.0。</w:t>
      </w:r>
    </w:p>
    <w:p>
      <w:pPr>
        <w:pStyle w:val="26"/>
        <w:numPr>
          <w:ilvl w:val="0"/>
          <w:numId w:val="38"/>
        </w:numPr>
        <w:tabs>
          <w:tab w:val="left" w:pos="742"/>
          <w:tab w:val="left" w:pos="1134"/>
          <w:tab w:val="left" w:pos="6020"/>
        </w:tabs>
        <w:spacing w:line="360" w:lineRule="auto"/>
        <w:ind w:left="737" w:firstLine="0" w:firstLineChars="0"/>
        <w:rPr>
          <w:rFonts w:ascii="Times New Roman" w:hAnsi="Times New Roman"/>
          <w:bCs/>
          <w:szCs w:val="20"/>
        </w:rPr>
      </w:pPr>
      <w:r>
        <w:rPr>
          <w:rFonts w:ascii="Times New Roman" w:hAnsi="Times New Roman"/>
          <w:bCs/>
          <w:szCs w:val="20"/>
        </w:rPr>
        <w:t>每道雷达波形最小采样点数</w:t>
      </w:r>
    </w:p>
    <w:p>
      <w:pPr>
        <w:tabs>
          <w:tab w:val="left" w:pos="6020"/>
        </w:tabs>
        <w:jc w:val="right"/>
        <w:rPr>
          <w:rFonts w:ascii="Times New Roman" w:hAnsi="Times New Roman"/>
          <w:bCs/>
          <w:szCs w:val="20"/>
        </w:rPr>
      </w:pPr>
      <w:r>
        <w:rPr>
          <w:rFonts w:ascii="Times New Roman" w:hAnsi="Times New Roman"/>
          <w:bCs/>
          <w:position w:val="-14"/>
          <w:szCs w:val="20"/>
        </w:rPr>
        <w:object>
          <v:shape id="_x0000_i1041" o:spt="75" type="#_x0000_t75" style="height:18.55pt;width:72.55pt;" o:ole="t" filled="f" o:preferrelative="t" stroked="f" coordsize="21600,21600">
            <v:path/>
            <v:fill on="f" focussize="0,0"/>
            <v:stroke on="f" joinstyle="miter"/>
            <v:imagedata r:id="rId68" o:title=""/>
            <o:lock v:ext="edit" aspectratio="t"/>
            <w10:wrap type="none"/>
            <w10:anchorlock/>
          </v:shape>
          <o:OLEObject Type="Embed" ProgID="Equation.3" ShapeID="_x0000_i1041" DrawAspect="Content" ObjectID="_1468075745" r:id="rId67">
            <o:LockedField>false</o:LockedField>
          </o:OLEObject>
        </w:object>
      </w:r>
      <w:r>
        <w:rPr>
          <w:rFonts w:ascii="Times New Roman" w:hAnsi="Times New Roman"/>
          <w:bCs/>
          <w:szCs w:val="20"/>
        </w:rPr>
        <w:t xml:space="preserve">                       （</w:t>
      </w:r>
      <w:r>
        <w:rPr>
          <w:rFonts w:hint="eastAsia" w:ascii="Times New Roman" w:hAnsi="Times New Roman"/>
          <w:bCs/>
          <w:szCs w:val="20"/>
        </w:rPr>
        <w:t>E.1</w:t>
      </w:r>
      <w:r>
        <w:rPr>
          <w:rFonts w:ascii="Times New Roman" w:hAnsi="Times New Roman"/>
          <w:bCs/>
          <w:szCs w:val="20"/>
        </w:rPr>
        <w:t>.7-2）</w:t>
      </w:r>
    </w:p>
    <w:p>
      <w:pPr>
        <w:tabs>
          <w:tab w:val="left" w:pos="6020"/>
        </w:tabs>
        <w:spacing w:line="360" w:lineRule="auto"/>
        <w:rPr>
          <w:rFonts w:ascii="Times New Roman" w:hAnsi="Times New Roman"/>
          <w:bCs/>
          <w:szCs w:val="20"/>
        </w:rPr>
      </w:pPr>
      <w:r>
        <w:rPr>
          <w:rFonts w:ascii="Times New Roman" w:hAnsi="Times New Roman"/>
          <w:bCs/>
          <w:szCs w:val="20"/>
        </w:rPr>
        <w:t xml:space="preserve">式中  </w:t>
      </w:r>
      <w:r>
        <w:rPr>
          <w:rFonts w:ascii="Times New Roman" w:hAnsi="Times New Roman"/>
          <w:bCs/>
          <w:i/>
          <w:szCs w:val="20"/>
        </w:rPr>
        <w:t>S</w:t>
      </w:r>
      <w:r>
        <w:rPr>
          <w:rFonts w:ascii="Times New Roman" w:hAnsi="Times New Roman"/>
          <w:bCs/>
          <w:i/>
          <w:szCs w:val="20"/>
          <w:vertAlign w:val="subscript"/>
        </w:rPr>
        <w:t>p</w:t>
      </w:r>
      <w:r>
        <w:rPr>
          <w:rFonts w:ascii="Times New Roman" w:hAnsi="Times New Roman"/>
          <w:bCs/>
          <w:szCs w:val="20"/>
        </w:rPr>
        <w:t>——雷达波形最小采样点数；</w:t>
      </w:r>
    </w:p>
    <w:p>
      <w:pPr>
        <w:tabs>
          <w:tab w:val="left" w:pos="6020"/>
        </w:tabs>
        <w:spacing w:line="360" w:lineRule="auto"/>
        <w:ind w:firstLine="672" w:firstLineChars="320"/>
        <w:rPr>
          <w:rFonts w:ascii="Times New Roman" w:hAnsi="Times New Roman"/>
          <w:bCs/>
          <w:i/>
          <w:szCs w:val="20"/>
        </w:rPr>
      </w:pPr>
      <w:r>
        <w:rPr>
          <w:rFonts w:ascii="Times New Roman" w:hAnsi="Times New Roman"/>
          <w:bCs/>
          <w:i/>
          <w:szCs w:val="20"/>
        </w:rPr>
        <w:t>w</w:t>
      </w:r>
      <w:r>
        <w:rPr>
          <w:rFonts w:ascii="Times New Roman" w:hAnsi="Times New Roman"/>
          <w:bCs/>
          <w:szCs w:val="20"/>
        </w:rPr>
        <w:t>——时窗长度，s；</w:t>
      </w:r>
    </w:p>
    <w:p>
      <w:pPr>
        <w:tabs>
          <w:tab w:val="left" w:pos="6020"/>
        </w:tabs>
        <w:spacing w:line="360" w:lineRule="auto"/>
        <w:ind w:firstLine="747" w:firstLineChars="356"/>
        <w:rPr>
          <w:rFonts w:ascii="Times New Roman" w:hAnsi="Times New Roman"/>
          <w:bCs/>
          <w:szCs w:val="20"/>
        </w:rPr>
      </w:pPr>
      <w:r>
        <w:rPr>
          <w:rFonts w:ascii="Times New Roman" w:hAnsi="Times New Roman"/>
          <w:bCs/>
          <w:i/>
          <w:szCs w:val="20"/>
        </w:rPr>
        <w:t>f</w:t>
      </w:r>
      <w:r>
        <w:rPr>
          <w:rFonts w:ascii="Times New Roman" w:hAnsi="Times New Roman"/>
          <w:bCs/>
          <w:szCs w:val="20"/>
        </w:rPr>
        <w:t>——天线中心频率，Hz。</w:t>
      </w:r>
    </w:p>
    <w:p>
      <w:pPr>
        <w:pStyle w:val="26"/>
        <w:numPr>
          <w:ilvl w:val="0"/>
          <w:numId w:val="38"/>
        </w:numPr>
        <w:tabs>
          <w:tab w:val="left" w:pos="742"/>
          <w:tab w:val="left" w:pos="1134"/>
          <w:tab w:val="left" w:pos="6020"/>
        </w:tabs>
        <w:spacing w:line="360" w:lineRule="auto"/>
        <w:ind w:left="630" w:leftChars="300" w:firstLine="0" w:firstLineChars="0"/>
        <w:rPr>
          <w:rFonts w:ascii="Times New Roman" w:hAnsi="Times New Roman"/>
          <w:bCs/>
          <w:szCs w:val="20"/>
        </w:rPr>
      </w:pPr>
      <w:r>
        <w:rPr>
          <w:rFonts w:ascii="Times New Roman" w:hAnsi="Times New Roman"/>
          <w:bCs/>
          <w:szCs w:val="20"/>
        </w:rPr>
        <w:t>时间采样率</w:t>
      </w:r>
    </w:p>
    <w:p>
      <w:pPr>
        <w:tabs>
          <w:tab w:val="left" w:pos="6020"/>
        </w:tabs>
        <w:jc w:val="right"/>
        <w:rPr>
          <w:rFonts w:ascii="Times New Roman" w:hAnsi="Times New Roman"/>
          <w:bCs/>
          <w:szCs w:val="20"/>
        </w:rPr>
      </w:pPr>
      <w:r>
        <w:rPr>
          <w:rFonts w:ascii="Times New Roman" w:hAnsi="Times New Roman"/>
          <w:bCs/>
          <w:position w:val="-26"/>
          <w:szCs w:val="20"/>
        </w:rPr>
        <w:object>
          <v:shape id="_x0000_i1042" o:spt="75" type="#_x0000_t75" style="height:31.65pt;width:74.2pt;" o:ole="t" filled="f" o:preferrelative="t" stroked="f" coordsize="21600,21600">
            <v:path/>
            <v:fill on="f" focussize="0,0"/>
            <v:stroke on="f" joinstyle="miter"/>
            <v:imagedata r:id="rId70" o:title=""/>
            <o:lock v:ext="edit" aspectratio="t"/>
            <w10:wrap type="none"/>
            <w10:anchorlock/>
          </v:shape>
          <o:OLEObject Type="Embed" ProgID="Equation.3" ShapeID="_x0000_i1042" DrawAspect="Content" ObjectID="_1468075746" r:id="rId69">
            <o:LockedField>false</o:LockedField>
          </o:OLEObject>
        </w:object>
      </w:r>
      <w:r>
        <w:rPr>
          <w:rFonts w:ascii="Times New Roman" w:hAnsi="Times New Roman"/>
          <w:bCs/>
          <w:szCs w:val="20"/>
        </w:rPr>
        <w:t xml:space="preserve">                       （</w:t>
      </w:r>
      <w:r>
        <w:rPr>
          <w:rFonts w:hint="eastAsia" w:ascii="Times New Roman" w:hAnsi="Times New Roman"/>
          <w:bCs/>
          <w:szCs w:val="20"/>
        </w:rPr>
        <w:t>E.1</w:t>
      </w:r>
      <w:r>
        <w:rPr>
          <w:rFonts w:ascii="Times New Roman" w:hAnsi="Times New Roman"/>
          <w:bCs/>
          <w:szCs w:val="20"/>
        </w:rPr>
        <w:t>.7-3）</w:t>
      </w:r>
    </w:p>
    <w:p>
      <w:pPr>
        <w:tabs>
          <w:tab w:val="left" w:pos="6020"/>
        </w:tabs>
        <w:spacing w:line="360" w:lineRule="auto"/>
        <w:rPr>
          <w:rFonts w:ascii="Times New Roman" w:hAnsi="Times New Roman"/>
          <w:bCs/>
          <w:szCs w:val="20"/>
        </w:rPr>
      </w:pPr>
      <w:r>
        <w:rPr>
          <w:rFonts w:ascii="Times New Roman" w:hAnsi="Times New Roman"/>
          <w:bCs/>
          <w:szCs w:val="20"/>
        </w:rPr>
        <w:t>式中  Δ</w:t>
      </w:r>
      <w:r>
        <w:rPr>
          <w:rFonts w:ascii="Times New Roman" w:hAnsi="Times New Roman"/>
          <w:bCs/>
          <w:i/>
          <w:szCs w:val="20"/>
        </w:rPr>
        <w:t>t</w:t>
      </w:r>
      <w:r>
        <w:rPr>
          <w:rFonts w:ascii="Times New Roman" w:hAnsi="Times New Roman"/>
          <w:bCs/>
          <w:szCs w:val="20"/>
        </w:rPr>
        <w:t>——时间采样率，s；</w:t>
      </w:r>
      <w:r>
        <w:rPr>
          <w:rFonts w:hint="eastAsia" w:ascii="Times New Roman" w:hAnsi="Times New Roman"/>
          <w:bCs/>
          <w:szCs w:val="20"/>
        </w:rPr>
        <w:t xml:space="preserve">  </w:t>
      </w:r>
    </w:p>
    <w:p>
      <w:pPr>
        <w:tabs>
          <w:tab w:val="left" w:pos="6020"/>
        </w:tabs>
        <w:spacing w:line="360" w:lineRule="auto"/>
        <w:ind w:firstLine="707" w:firstLineChars="337"/>
        <w:rPr>
          <w:rFonts w:ascii="Times New Roman" w:hAnsi="Times New Roman"/>
          <w:bCs/>
          <w:szCs w:val="20"/>
        </w:rPr>
      </w:pPr>
      <w:r>
        <w:rPr>
          <w:rFonts w:ascii="Times New Roman" w:hAnsi="Times New Roman"/>
          <w:bCs/>
          <w:i/>
          <w:iCs/>
          <w:szCs w:val="20"/>
        </w:rPr>
        <w:t>f——</w:t>
      </w:r>
      <w:r>
        <w:rPr>
          <w:rFonts w:ascii="Times New Roman" w:hAnsi="Times New Roman"/>
          <w:bCs/>
          <w:szCs w:val="20"/>
        </w:rPr>
        <w:t>天线中心频率，MHz；</w:t>
      </w:r>
    </w:p>
    <w:p>
      <w:pPr>
        <w:tabs>
          <w:tab w:val="left" w:pos="742"/>
          <w:tab w:val="left" w:pos="6020"/>
        </w:tabs>
        <w:spacing w:line="360" w:lineRule="auto"/>
        <w:ind w:firstLine="428"/>
        <w:rPr>
          <w:rFonts w:ascii="Times New Roman" w:hAnsi="Times New Roman"/>
          <w:bCs/>
          <w:szCs w:val="20"/>
        </w:rPr>
      </w:pPr>
      <w:r>
        <w:rPr>
          <w:rFonts w:hint="eastAsia" w:ascii="黑体" w:hAnsi="黑体" w:eastAsia="黑体" w:cs="黑体"/>
        </w:rPr>
        <w:t xml:space="preserve">4 </w:t>
      </w:r>
      <w:r>
        <w:rPr>
          <w:rFonts w:hint="eastAsia" w:ascii="Times New Roman" w:hAnsi="Times New Roman"/>
          <w:b/>
          <w:bCs/>
          <w:szCs w:val="20"/>
        </w:rPr>
        <w:t xml:space="preserve"> </w:t>
      </w:r>
      <w:r>
        <w:rPr>
          <w:rFonts w:ascii="Times New Roman" w:hAnsi="Times New Roman"/>
          <w:bCs/>
          <w:szCs w:val="20"/>
        </w:rPr>
        <w:t>应标出</w:t>
      </w:r>
      <w:r>
        <w:rPr>
          <w:rFonts w:hint="eastAsia" w:ascii="Times New Roman" w:hAnsi="Times New Roman"/>
          <w:bCs/>
          <w:szCs w:val="20"/>
        </w:rPr>
        <w:t>被测结构表面</w:t>
      </w:r>
      <w:r>
        <w:rPr>
          <w:rFonts w:ascii="Times New Roman" w:hAnsi="Times New Roman"/>
          <w:bCs/>
          <w:szCs w:val="20"/>
        </w:rPr>
        <w:t>反射波起始零点</w:t>
      </w:r>
      <w:r>
        <w:rPr>
          <w:rFonts w:hint="eastAsia" w:ascii="Times New Roman" w:hAnsi="Times New Roman"/>
          <w:bCs/>
          <w:szCs w:val="20"/>
        </w:rPr>
        <w:t>。</w:t>
      </w:r>
      <w:r>
        <w:rPr>
          <w:rFonts w:ascii="Times New Roman" w:hAnsi="Times New Roman"/>
          <w:bCs/>
          <w:szCs w:val="20"/>
        </w:rPr>
        <w:t>雷达天线应与混凝土表面贴壁良好，并沿测线匀速、平稳滑行</w:t>
      </w:r>
      <w:r>
        <w:rPr>
          <w:rFonts w:hint="eastAsia" w:ascii="Times New Roman" w:hAnsi="Times New Roman"/>
          <w:bCs/>
          <w:szCs w:val="20"/>
        </w:rPr>
        <w:t>。</w:t>
      </w:r>
      <w:r>
        <w:rPr>
          <w:rFonts w:ascii="Times New Roman" w:hAnsi="Times New Roman"/>
          <w:bCs/>
          <w:szCs w:val="20"/>
        </w:rPr>
        <w:t>移动速度宜符合式</w:t>
      </w:r>
      <w:r>
        <w:rPr>
          <w:rFonts w:hint="eastAsia" w:ascii="Times New Roman" w:hAnsi="Times New Roman"/>
          <w:bCs/>
          <w:szCs w:val="20"/>
        </w:rPr>
        <w:t>E.1</w:t>
      </w:r>
      <w:r>
        <w:rPr>
          <w:rFonts w:ascii="Times New Roman" w:hAnsi="Times New Roman"/>
          <w:bCs/>
          <w:szCs w:val="20"/>
        </w:rPr>
        <w:t>.7-4要求。</w:t>
      </w:r>
    </w:p>
    <w:p>
      <w:pPr>
        <w:tabs>
          <w:tab w:val="left" w:pos="6020"/>
        </w:tabs>
        <w:jc w:val="right"/>
        <w:rPr>
          <w:rFonts w:ascii="Times New Roman" w:hAnsi="Times New Roman"/>
          <w:bCs/>
          <w:szCs w:val="20"/>
        </w:rPr>
      </w:pPr>
      <w:r>
        <w:rPr>
          <w:rFonts w:ascii="Times New Roman" w:hAnsi="Times New Roman"/>
          <w:bCs/>
          <w:position w:val="-20"/>
          <w:szCs w:val="20"/>
        </w:rPr>
        <w:object>
          <v:shape id="_x0000_i1043" o:spt="75" type="#_x0000_t75" style="height:27.8pt;width:56.2pt;" o:ole="t" filled="f" o:preferrelative="t" stroked="f" coordsize="21600,21600">
            <v:path/>
            <v:fill on="f" focussize="0,0"/>
            <v:stroke on="f" joinstyle="miter"/>
            <v:imagedata r:id="rId72" o:title=""/>
            <o:lock v:ext="edit" aspectratio="t"/>
            <w10:wrap type="none"/>
            <w10:anchorlock/>
          </v:shape>
          <o:OLEObject Type="Embed" ProgID="Equation.3" ShapeID="_x0000_i1043" DrawAspect="Content" ObjectID="_1468075747" r:id="rId71">
            <o:LockedField>false</o:LockedField>
          </o:OLEObject>
        </w:object>
      </w:r>
      <w:r>
        <w:rPr>
          <w:rFonts w:ascii="Times New Roman" w:hAnsi="Times New Roman"/>
          <w:bCs/>
          <w:szCs w:val="20"/>
        </w:rPr>
        <w:t xml:space="preserve">                        （</w:t>
      </w:r>
      <w:r>
        <w:rPr>
          <w:rFonts w:hint="eastAsia" w:ascii="Times New Roman" w:hAnsi="Times New Roman"/>
          <w:bCs/>
          <w:szCs w:val="20"/>
        </w:rPr>
        <w:t>E.1</w:t>
      </w:r>
      <w:r>
        <w:rPr>
          <w:rFonts w:ascii="Times New Roman" w:hAnsi="Times New Roman"/>
          <w:bCs/>
          <w:szCs w:val="20"/>
        </w:rPr>
        <w:t>.7-4）</w:t>
      </w:r>
    </w:p>
    <w:p>
      <w:pPr>
        <w:tabs>
          <w:tab w:val="left" w:pos="6020"/>
        </w:tabs>
        <w:spacing w:line="360" w:lineRule="auto"/>
        <w:rPr>
          <w:rFonts w:ascii="Times New Roman" w:hAnsi="Times New Roman"/>
          <w:bCs/>
          <w:szCs w:val="20"/>
        </w:rPr>
      </w:pPr>
      <w:r>
        <w:rPr>
          <w:rFonts w:ascii="Times New Roman" w:hAnsi="Times New Roman"/>
          <w:bCs/>
          <w:szCs w:val="20"/>
        </w:rPr>
        <w:t xml:space="preserve">式中  </w:t>
      </w:r>
      <w:r>
        <w:rPr>
          <w:rFonts w:ascii="Times New Roman" w:hAnsi="Times New Roman"/>
          <w:bCs/>
          <w:i/>
          <w:szCs w:val="20"/>
        </w:rPr>
        <w:t>V</w:t>
      </w:r>
      <w:r>
        <w:rPr>
          <w:rFonts w:ascii="Times New Roman" w:hAnsi="Times New Roman"/>
          <w:bCs/>
          <w:i/>
          <w:szCs w:val="20"/>
          <w:vertAlign w:val="subscript"/>
        </w:rPr>
        <w:t>x</w:t>
      </w:r>
      <w:r>
        <w:rPr>
          <w:rFonts w:ascii="Times New Roman" w:hAnsi="Times New Roman"/>
          <w:bCs/>
          <w:szCs w:val="20"/>
        </w:rPr>
        <w:t>——天线速度，m/s；</w:t>
      </w:r>
    </w:p>
    <w:p>
      <w:pPr>
        <w:tabs>
          <w:tab w:val="left" w:pos="6020"/>
        </w:tabs>
        <w:spacing w:line="360" w:lineRule="auto"/>
        <w:ind w:firstLine="653" w:firstLineChars="311"/>
        <w:rPr>
          <w:rFonts w:ascii="Times New Roman" w:hAnsi="Times New Roman"/>
          <w:bCs/>
          <w:szCs w:val="20"/>
        </w:rPr>
      </w:pPr>
      <w:r>
        <w:rPr>
          <w:rFonts w:ascii="Times New Roman" w:hAnsi="Times New Roman"/>
          <w:bCs/>
          <w:i/>
          <w:szCs w:val="20"/>
        </w:rPr>
        <w:t>S</w:t>
      </w:r>
      <w:r>
        <w:rPr>
          <w:rFonts w:ascii="Times New Roman" w:hAnsi="Times New Roman"/>
          <w:bCs/>
          <w:i/>
          <w:szCs w:val="20"/>
          <w:vertAlign w:val="subscript"/>
        </w:rPr>
        <w:t>c</w:t>
      </w:r>
      <w:r>
        <w:rPr>
          <w:rFonts w:ascii="Times New Roman" w:hAnsi="Times New Roman"/>
          <w:bCs/>
          <w:szCs w:val="20"/>
        </w:rPr>
        <w:t>——天线扫描速率，Hz；</w:t>
      </w:r>
    </w:p>
    <w:p>
      <w:pPr>
        <w:tabs>
          <w:tab w:val="left" w:pos="6020"/>
        </w:tabs>
        <w:spacing w:line="360" w:lineRule="auto"/>
        <w:ind w:firstLine="495" w:firstLineChars="236"/>
        <w:rPr>
          <w:rFonts w:ascii="Times New Roman" w:hAnsi="Times New Roman"/>
          <w:bCs/>
          <w:szCs w:val="20"/>
        </w:rPr>
      </w:pPr>
      <w:r>
        <w:rPr>
          <w:rFonts w:ascii="Times New Roman" w:hAnsi="Times New Roman"/>
          <w:bCs/>
          <w:i/>
          <w:szCs w:val="20"/>
        </w:rPr>
        <w:t>d</w:t>
      </w:r>
      <w:r>
        <w:rPr>
          <w:rFonts w:ascii="Times New Roman" w:hAnsi="Times New Roman"/>
          <w:bCs/>
          <w:szCs w:val="20"/>
          <w:vertAlign w:val="subscript"/>
        </w:rPr>
        <w:t>min</w:t>
      </w:r>
      <w:r>
        <w:rPr>
          <w:rFonts w:ascii="Times New Roman" w:hAnsi="Times New Roman"/>
          <w:bCs/>
          <w:szCs w:val="20"/>
        </w:rPr>
        <w:t>——检测目标体最小尺度，m。</w:t>
      </w:r>
    </w:p>
    <w:p>
      <w:pPr>
        <w:tabs>
          <w:tab w:val="left" w:pos="742"/>
          <w:tab w:val="left" w:pos="6020"/>
        </w:tabs>
        <w:spacing w:line="360" w:lineRule="auto"/>
        <w:ind w:firstLine="428"/>
        <w:rPr>
          <w:rFonts w:ascii="Times New Roman" w:hAnsi="Times New Roman"/>
          <w:bCs/>
          <w:szCs w:val="20"/>
        </w:rPr>
      </w:pPr>
      <w:r>
        <w:rPr>
          <w:rFonts w:hint="eastAsia" w:ascii="黑体" w:hAnsi="黑体" w:eastAsia="黑体" w:cs="黑体"/>
        </w:rPr>
        <w:t xml:space="preserve">5 </w:t>
      </w:r>
      <w:r>
        <w:rPr>
          <w:rFonts w:hint="eastAsia" w:ascii="Times New Roman" w:hAnsi="Times New Roman"/>
          <w:b/>
          <w:bCs/>
          <w:szCs w:val="20"/>
        </w:rPr>
        <w:t xml:space="preserve"> </w:t>
      </w:r>
      <w:r>
        <w:rPr>
          <w:rFonts w:ascii="Times New Roman" w:hAnsi="Times New Roman"/>
          <w:bCs/>
          <w:szCs w:val="20"/>
        </w:rPr>
        <w:t>宜采用连续测量方式，特殊地段或条件不允许时可采用点测方式。</w:t>
      </w:r>
    </w:p>
    <w:p>
      <w:pPr>
        <w:tabs>
          <w:tab w:val="left" w:pos="742"/>
          <w:tab w:val="left" w:pos="6020"/>
        </w:tabs>
        <w:spacing w:line="360" w:lineRule="auto"/>
        <w:ind w:firstLine="428"/>
        <w:rPr>
          <w:rFonts w:ascii="Times New Roman" w:hAnsi="Times New Roman"/>
          <w:bCs/>
          <w:szCs w:val="20"/>
        </w:rPr>
      </w:pPr>
      <w:r>
        <w:rPr>
          <w:rFonts w:hint="eastAsia" w:ascii="黑体" w:hAnsi="黑体" w:eastAsia="黑体" w:cs="黑体"/>
        </w:rPr>
        <w:t xml:space="preserve">6 </w:t>
      </w:r>
      <w:r>
        <w:rPr>
          <w:rFonts w:hint="eastAsia" w:ascii="Times New Roman" w:hAnsi="Times New Roman"/>
          <w:b/>
          <w:bCs/>
          <w:szCs w:val="20"/>
        </w:rPr>
        <w:t xml:space="preserve"> </w:t>
      </w:r>
      <w:r>
        <w:rPr>
          <w:rFonts w:ascii="Times New Roman" w:hAnsi="Times New Roman"/>
          <w:bCs/>
          <w:szCs w:val="20"/>
        </w:rPr>
        <w:t>当需要分段测量时，相邻测量段接头重复长度不应小于1m。</w:t>
      </w:r>
    </w:p>
    <w:p>
      <w:pPr>
        <w:tabs>
          <w:tab w:val="left" w:pos="993"/>
          <w:tab w:val="left" w:pos="6020"/>
        </w:tabs>
        <w:spacing w:line="360" w:lineRule="auto"/>
        <w:rPr>
          <w:rFonts w:ascii="Times New Roman" w:hAnsi="Times New Roman"/>
          <w:bCs/>
          <w:szCs w:val="20"/>
        </w:rPr>
      </w:pPr>
      <w:r>
        <w:rPr>
          <w:rFonts w:hint="eastAsia" w:ascii="黑体" w:hAnsi="黑体" w:eastAsia="黑体" w:cs="黑体"/>
        </w:rPr>
        <w:t>E.1.8</w:t>
      </w:r>
      <w:r>
        <w:rPr>
          <w:rFonts w:ascii="Times New Roman" w:hAnsi="Times New Roman"/>
          <w:bCs/>
          <w:szCs w:val="20"/>
        </w:rPr>
        <w:t xml:space="preserve">  记录应满足下列要求：</w:t>
      </w:r>
    </w:p>
    <w:p>
      <w:pPr>
        <w:tabs>
          <w:tab w:val="left" w:pos="758"/>
          <w:tab w:val="left" w:pos="6020"/>
        </w:tabs>
        <w:spacing w:line="360" w:lineRule="auto"/>
        <w:ind w:firstLine="428"/>
        <w:rPr>
          <w:rFonts w:ascii="Times New Roman" w:hAnsi="Times New Roman"/>
          <w:bCs/>
          <w:szCs w:val="20"/>
        </w:rPr>
      </w:pPr>
      <w:r>
        <w:rPr>
          <w:rFonts w:hint="eastAsia" w:ascii="黑体" w:hAnsi="黑体" w:eastAsia="黑体" w:cs="黑体"/>
        </w:rPr>
        <w:t>1</w:t>
      </w:r>
      <w:r>
        <w:rPr>
          <w:rFonts w:hint="eastAsia" w:ascii="Times New Roman" w:hAnsi="Times New Roman"/>
          <w:b/>
          <w:bCs/>
          <w:szCs w:val="20"/>
        </w:rPr>
        <w:t xml:space="preserve">  </w:t>
      </w:r>
      <w:r>
        <w:rPr>
          <w:rFonts w:ascii="Times New Roman" w:hAnsi="Times New Roman"/>
          <w:bCs/>
          <w:szCs w:val="20"/>
        </w:rPr>
        <w:t>记录应包括记录测线号、方向、标记间隔以及天线中心频率等。</w:t>
      </w:r>
    </w:p>
    <w:p>
      <w:pPr>
        <w:tabs>
          <w:tab w:val="left" w:pos="758"/>
          <w:tab w:val="left" w:pos="6020"/>
        </w:tabs>
        <w:spacing w:line="360" w:lineRule="auto"/>
        <w:ind w:firstLine="428"/>
        <w:rPr>
          <w:rFonts w:ascii="Times New Roman" w:hAnsi="Times New Roman"/>
          <w:bCs/>
          <w:szCs w:val="20"/>
        </w:rPr>
      </w:pPr>
      <w:r>
        <w:rPr>
          <w:rFonts w:hint="eastAsia" w:ascii="黑体" w:hAnsi="黑体" w:eastAsia="黑体" w:cs="黑体"/>
        </w:rPr>
        <w:t xml:space="preserve">2 </w:t>
      </w:r>
      <w:r>
        <w:rPr>
          <w:rFonts w:hint="eastAsia" w:ascii="Times New Roman" w:hAnsi="Times New Roman"/>
          <w:b/>
          <w:bCs/>
          <w:szCs w:val="20"/>
        </w:rPr>
        <w:t xml:space="preserve"> </w:t>
      </w:r>
      <w:r>
        <w:rPr>
          <w:rFonts w:ascii="Times New Roman" w:hAnsi="Times New Roman"/>
          <w:bCs/>
          <w:szCs w:val="20"/>
        </w:rPr>
        <w:t>应随时记录可能对测量产生电磁影响的物体及其位置。</w:t>
      </w:r>
    </w:p>
    <w:p>
      <w:pPr>
        <w:tabs>
          <w:tab w:val="left" w:pos="758"/>
          <w:tab w:val="left" w:pos="6020"/>
        </w:tabs>
        <w:spacing w:line="360" w:lineRule="auto"/>
        <w:ind w:firstLine="428"/>
        <w:rPr>
          <w:rFonts w:ascii="Times New Roman" w:hAnsi="Times New Roman"/>
          <w:bCs/>
          <w:szCs w:val="20"/>
        </w:rPr>
      </w:pPr>
      <w:r>
        <w:rPr>
          <w:rFonts w:hint="eastAsia" w:ascii="黑体" w:hAnsi="黑体" w:eastAsia="黑体" w:cs="黑体"/>
        </w:rPr>
        <w:t>3</w:t>
      </w:r>
      <w:r>
        <w:rPr>
          <w:rFonts w:hint="eastAsia" w:ascii="Times New Roman" w:hAnsi="Times New Roman"/>
          <w:b/>
          <w:bCs/>
          <w:szCs w:val="20"/>
        </w:rPr>
        <w:t xml:space="preserve">  </w:t>
      </w:r>
      <w:r>
        <w:rPr>
          <w:rFonts w:ascii="Times New Roman" w:hAnsi="Times New Roman"/>
          <w:bCs/>
          <w:szCs w:val="20"/>
        </w:rPr>
        <w:t>数据记录应完整，信号清晰，里程标记准确。</w:t>
      </w:r>
    </w:p>
    <w:p>
      <w:pPr>
        <w:tabs>
          <w:tab w:val="left" w:pos="758"/>
          <w:tab w:val="left" w:pos="6020"/>
        </w:tabs>
        <w:spacing w:line="360" w:lineRule="auto"/>
        <w:ind w:firstLine="428"/>
        <w:rPr>
          <w:rFonts w:ascii="Times New Roman" w:hAnsi="Times New Roman"/>
          <w:bCs/>
          <w:szCs w:val="20"/>
        </w:rPr>
      </w:pPr>
      <w:r>
        <w:rPr>
          <w:rFonts w:hint="eastAsia" w:ascii="黑体" w:hAnsi="黑体" w:eastAsia="黑体" w:cs="黑体"/>
        </w:rPr>
        <w:t xml:space="preserve">4 </w:t>
      </w:r>
      <w:r>
        <w:rPr>
          <w:rFonts w:hint="eastAsia" w:ascii="Times New Roman" w:hAnsi="Times New Roman"/>
          <w:b/>
          <w:bCs/>
          <w:szCs w:val="20"/>
        </w:rPr>
        <w:t xml:space="preserve"> </w:t>
      </w:r>
      <w:r>
        <w:rPr>
          <w:rFonts w:ascii="Times New Roman" w:hAnsi="Times New Roman"/>
          <w:bCs/>
          <w:szCs w:val="20"/>
        </w:rPr>
        <w:t>应准确标记测量位置。</w:t>
      </w:r>
    </w:p>
    <w:p>
      <w:pPr>
        <w:tabs>
          <w:tab w:val="left" w:pos="6020"/>
        </w:tabs>
        <w:spacing w:line="360" w:lineRule="auto"/>
        <w:rPr>
          <w:rFonts w:ascii="Times New Roman" w:hAnsi="Times New Roman"/>
          <w:bCs/>
          <w:szCs w:val="20"/>
        </w:rPr>
      </w:pPr>
      <w:r>
        <w:rPr>
          <w:rFonts w:hint="eastAsia" w:ascii="黑体" w:hAnsi="黑体" w:eastAsia="黑体" w:cs="黑体"/>
        </w:rPr>
        <w:t xml:space="preserve">E.1.9 </w:t>
      </w:r>
      <w:r>
        <w:rPr>
          <w:rFonts w:ascii="Times New Roman" w:hAnsi="Times New Roman"/>
          <w:bCs/>
          <w:szCs w:val="20"/>
        </w:rPr>
        <w:t xml:space="preserve"> 检测数据处理应符合下列规定：</w:t>
      </w:r>
    </w:p>
    <w:p>
      <w:pPr>
        <w:tabs>
          <w:tab w:val="left" w:pos="742"/>
          <w:tab w:val="left" w:pos="6020"/>
        </w:tabs>
        <w:spacing w:line="360" w:lineRule="auto"/>
        <w:ind w:firstLine="441" w:firstLineChars="210"/>
        <w:rPr>
          <w:rFonts w:ascii="Times New Roman" w:hAnsi="Times New Roman"/>
          <w:bCs/>
          <w:szCs w:val="20"/>
        </w:rPr>
      </w:pPr>
      <w:r>
        <w:rPr>
          <w:rFonts w:hint="eastAsia" w:ascii="黑体" w:hAnsi="黑体" w:eastAsia="黑体" w:cs="黑体"/>
        </w:rPr>
        <w:t>1</w:t>
      </w:r>
      <w:r>
        <w:rPr>
          <w:rFonts w:hint="eastAsia" w:ascii="Times New Roman" w:hAnsi="Times New Roman"/>
          <w:b/>
          <w:bCs/>
          <w:szCs w:val="20"/>
        </w:rPr>
        <w:t xml:space="preserve">  </w:t>
      </w:r>
      <w:r>
        <w:rPr>
          <w:rFonts w:ascii="Times New Roman" w:hAnsi="Times New Roman"/>
          <w:bCs/>
          <w:szCs w:val="20"/>
        </w:rPr>
        <w:t>原始数据处理前应回放检验。</w:t>
      </w:r>
    </w:p>
    <w:p>
      <w:pPr>
        <w:tabs>
          <w:tab w:val="left" w:pos="742"/>
          <w:tab w:val="left" w:pos="6020"/>
        </w:tabs>
        <w:spacing w:line="360" w:lineRule="auto"/>
        <w:ind w:firstLine="441" w:firstLineChars="210"/>
        <w:rPr>
          <w:rFonts w:ascii="Times New Roman" w:hAnsi="Times New Roman"/>
          <w:bCs/>
          <w:szCs w:val="20"/>
        </w:rPr>
      </w:pPr>
      <w:r>
        <w:rPr>
          <w:rFonts w:hint="eastAsia" w:ascii="黑体" w:hAnsi="黑体" w:eastAsia="黑体" w:cs="黑体"/>
        </w:rPr>
        <w:t>2</w:t>
      </w:r>
      <w:r>
        <w:rPr>
          <w:rFonts w:hint="eastAsia" w:ascii="Times New Roman" w:hAnsi="Times New Roman"/>
          <w:b/>
          <w:bCs/>
          <w:szCs w:val="20"/>
        </w:rPr>
        <w:t xml:space="preserve">  </w:t>
      </w:r>
      <w:r>
        <w:rPr>
          <w:rFonts w:ascii="Times New Roman" w:hAnsi="Times New Roman"/>
          <w:bCs/>
          <w:szCs w:val="20"/>
        </w:rPr>
        <w:t>标记位置应准确无误。</w:t>
      </w:r>
    </w:p>
    <w:p>
      <w:pPr>
        <w:tabs>
          <w:tab w:val="left" w:pos="742"/>
          <w:tab w:val="left" w:pos="1560"/>
          <w:tab w:val="left" w:pos="6020"/>
        </w:tabs>
        <w:spacing w:line="360" w:lineRule="auto"/>
        <w:ind w:firstLine="441" w:firstLineChars="210"/>
        <w:rPr>
          <w:rFonts w:ascii="Times New Roman" w:hAnsi="Times New Roman"/>
        </w:rPr>
      </w:pPr>
      <w:r>
        <w:rPr>
          <w:rFonts w:hint="eastAsia" w:ascii="黑体" w:hAnsi="黑体" w:eastAsia="黑体" w:cs="黑体"/>
        </w:rPr>
        <w:t>3</w:t>
      </w:r>
      <w:r>
        <w:rPr>
          <w:rFonts w:hint="eastAsia" w:ascii="Times New Roman" w:hAnsi="Times New Roman"/>
          <w:b/>
        </w:rPr>
        <w:t xml:space="preserve">  </w:t>
      </w:r>
      <w:r>
        <w:rPr>
          <w:rFonts w:ascii="Times New Roman" w:hAnsi="Times New Roman"/>
        </w:rPr>
        <w:t>单个雷达图谱应做下列特征分析：</w:t>
      </w:r>
    </w:p>
    <w:p>
      <w:pPr>
        <w:pStyle w:val="26"/>
        <w:tabs>
          <w:tab w:val="left" w:pos="982"/>
          <w:tab w:val="left" w:pos="6020"/>
        </w:tabs>
        <w:spacing w:line="360" w:lineRule="auto"/>
        <w:ind w:firstLine="648" w:firstLineChars="309"/>
        <w:rPr>
          <w:rFonts w:ascii="Times New Roman" w:hAnsi="Times New Roman"/>
          <w:bCs/>
          <w:szCs w:val="20"/>
        </w:rPr>
      </w:pPr>
      <w:r>
        <w:rPr>
          <w:rFonts w:hint="eastAsia" w:ascii="黑体" w:hAnsi="黑体" w:eastAsia="黑体" w:cs="黑体"/>
        </w:rPr>
        <w:t>1）</w:t>
      </w:r>
      <w:r>
        <w:rPr>
          <w:rFonts w:ascii="Times New Roman" w:hAnsi="Times New Roman"/>
          <w:bCs/>
          <w:szCs w:val="20"/>
        </w:rPr>
        <w:t>确定反射波组的界面特征；</w:t>
      </w:r>
    </w:p>
    <w:p>
      <w:pPr>
        <w:pStyle w:val="26"/>
        <w:tabs>
          <w:tab w:val="left" w:pos="982"/>
          <w:tab w:val="left" w:pos="6020"/>
        </w:tabs>
        <w:spacing w:line="360" w:lineRule="auto"/>
        <w:ind w:firstLine="648" w:firstLineChars="309"/>
        <w:rPr>
          <w:rFonts w:ascii="Times New Roman" w:hAnsi="Times New Roman"/>
          <w:bCs/>
          <w:szCs w:val="20"/>
        </w:rPr>
      </w:pPr>
      <w:r>
        <w:rPr>
          <w:rFonts w:hint="eastAsia" w:ascii="黑体" w:hAnsi="黑体" w:eastAsia="黑体" w:cs="黑体"/>
        </w:rPr>
        <w:t>2）</w:t>
      </w:r>
      <w:r>
        <w:rPr>
          <w:rFonts w:ascii="Times New Roman" w:hAnsi="Times New Roman"/>
          <w:bCs/>
          <w:szCs w:val="20"/>
        </w:rPr>
        <w:t>识别地表干扰反射波组；</w:t>
      </w:r>
    </w:p>
    <w:p>
      <w:pPr>
        <w:pStyle w:val="26"/>
        <w:tabs>
          <w:tab w:val="left" w:pos="982"/>
          <w:tab w:val="left" w:pos="6020"/>
        </w:tabs>
        <w:spacing w:line="360" w:lineRule="auto"/>
        <w:ind w:firstLine="648" w:firstLineChars="309"/>
        <w:rPr>
          <w:rFonts w:ascii="Times New Roman" w:hAnsi="Times New Roman"/>
          <w:bCs/>
          <w:szCs w:val="20"/>
        </w:rPr>
      </w:pPr>
      <w:r>
        <w:rPr>
          <w:rFonts w:hint="eastAsia" w:ascii="黑体" w:hAnsi="黑体" w:eastAsia="黑体" w:cs="黑体"/>
        </w:rPr>
        <w:t>3）</w:t>
      </w:r>
      <w:r>
        <w:rPr>
          <w:rFonts w:ascii="Times New Roman" w:hAnsi="Times New Roman"/>
          <w:bCs/>
          <w:szCs w:val="20"/>
        </w:rPr>
        <w:t>识别正常介质界面反射波组；</w:t>
      </w:r>
    </w:p>
    <w:p>
      <w:pPr>
        <w:pStyle w:val="26"/>
        <w:tabs>
          <w:tab w:val="left" w:pos="982"/>
          <w:tab w:val="left" w:pos="6020"/>
        </w:tabs>
        <w:spacing w:line="360" w:lineRule="auto"/>
        <w:ind w:firstLine="648" w:firstLineChars="309"/>
        <w:rPr>
          <w:rFonts w:ascii="Times New Roman" w:hAnsi="Times New Roman"/>
          <w:bCs/>
          <w:szCs w:val="20"/>
        </w:rPr>
      </w:pPr>
      <w:r>
        <w:rPr>
          <w:rFonts w:hint="eastAsia" w:ascii="黑体" w:hAnsi="黑体" w:eastAsia="黑体" w:cs="黑体"/>
        </w:rPr>
        <w:t>4）</w:t>
      </w:r>
      <w:r>
        <w:rPr>
          <w:rFonts w:ascii="Times New Roman" w:hAnsi="Times New Roman"/>
          <w:bCs/>
          <w:szCs w:val="20"/>
        </w:rPr>
        <w:t>确定反射层信息。</w:t>
      </w:r>
    </w:p>
    <w:p>
      <w:pPr>
        <w:tabs>
          <w:tab w:val="left" w:pos="6020"/>
        </w:tabs>
        <w:spacing w:line="360" w:lineRule="auto"/>
        <w:rPr>
          <w:rFonts w:ascii="Times New Roman" w:hAnsi="Times New Roman"/>
        </w:rPr>
      </w:pPr>
      <w:r>
        <w:rPr>
          <w:rFonts w:hint="eastAsia" w:ascii="黑体" w:hAnsi="黑体" w:eastAsia="黑体" w:cs="黑体"/>
        </w:rPr>
        <w:t xml:space="preserve">E.1.10  </w:t>
      </w:r>
      <w:r>
        <w:rPr>
          <w:rFonts w:ascii="Times New Roman" w:hAnsi="Times New Roman"/>
        </w:rPr>
        <w:t>雷达图像数据的解释应在掌握测区内物性参数和混凝土结构的基础上，应按由已知到未知，定性指导定量的原则进行。</w:t>
      </w:r>
    </w:p>
    <w:p>
      <w:pPr>
        <w:tabs>
          <w:tab w:val="left" w:pos="6020"/>
        </w:tabs>
        <w:spacing w:line="360" w:lineRule="auto"/>
        <w:rPr>
          <w:rFonts w:ascii="Times New Roman" w:hAnsi="Times New Roman"/>
          <w:bCs/>
          <w:szCs w:val="20"/>
        </w:rPr>
      </w:pPr>
      <w:r>
        <w:rPr>
          <w:rFonts w:hint="eastAsia" w:ascii="黑体" w:hAnsi="黑体" w:eastAsia="黑体" w:cs="黑体"/>
        </w:rPr>
        <w:t xml:space="preserve">E.1.11 </w:t>
      </w:r>
      <w:r>
        <w:rPr>
          <w:rFonts w:ascii="Times New Roman" w:hAnsi="Times New Roman"/>
          <w:bCs/>
          <w:szCs w:val="20"/>
        </w:rPr>
        <w:t xml:space="preserve"> 混凝土结构缺陷埋深应按式</w:t>
      </w:r>
      <w:r>
        <w:rPr>
          <w:rFonts w:hint="eastAsia" w:ascii="Times New Roman" w:hAnsi="Times New Roman"/>
          <w:bCs/>
          <w:szCs w:val="20"/>
        </w:rPr>
        <w:t>E.1</w:t>
      </w:r>
      <w:r>
        <w:rPr>
          <w:rFonts w:ascii="Times New Roman" w:hAnsi="Times New Roman"/>
          <w:bCs/>
          <w:szCs w:val="20"/>
        </w:rPr>
        <w:t>.11确定：</w:t>
      </w:r>
    </w:p>
    <w:p>
      <w:pPr>
        <w:tabs>
          <w:tab w:val="left" w:pos="6020"/>
        </w:tabs>
        <w:jc w:val="right"/>
        <w:rPr>
          <w:rFonts w:ascii="Times New Roman" w:hAnsi="Times New Roman"/>
          <w:bCs/>
          <w:szCs w:val="20"/>
        </w:rPr>
      </w:pPr>
      <w:r>
        <w:rPr>
          <w:rFonts w:ascii="Times New Roman" w:hAnsi="Times New Roman"/>
          <w:bCs/>
          <w:position w:val="-20"/>
          <w:szCs w:val="20"/>
        </w:rPr>
        <w:object>
          <v:shape id="_x0000_i1044" o:spt="75" type="#_x0000_t75" style="height:27.8pt;width:36pt;" o:ole="t" filled="f" o:preferrelative="t" stroked="f" coordsize="21600,21600">
            <v:path/>
            <v:fill on="f" focussize="0,0"/>
            <v:stroke on="f" joinstyle="miter"/>
            <v:imagedata r:id="rId74" o:title=""/>
            <o:lock v:ext="edit" aspectratio="t"/>
            <w10:wrap type="none"/>
            <w10:anchorlock/>
          </v:shape>
          <o:OLEObject Type="Embed" ProgID="Equation.3" ShapeID="_x0000_i1044" DrawAspect="Content" ObjectID="_1468075748" r:id="rId73">
            <o:LockedField>false</o:LockedField>
          </o:OLEObject>
        </w:object>
      </w:r>
      <w:r>
        <w:rPr>
          <w:rFonts w:ascii="Times New Roman" w:hAnsi="Times New Roman"/>
          <w:bCs/>
          <w:szCs w:val="20"/>
        </w:rPr>
        <w:t xml:space="preserve">                           （</w:t>
      </w:r>
      <w:r>
        <w:rPr>
          <w:rFonts w:hint="eastAsia" w:ascii="Times New Roman" w:hAnsi="Times New Roman"/>
          <w:bCs/>
          <w:szCs w:val="20"/>
        </w:rPr>
        <w:t>E.1</w:t>
      </w:r>
      <w:r>
        <w:rPr>
          <w:rFonts w:ascii="Times New Roman" w:hAnsi="Times New Roman"/>
          <w:bCs/>
          <w:szCs w:val="20"/>
        </w:rPr>
        <w:t>.11）</w:t>
      </w:r>
    </w:p>
    <w:p>
      <w:pPr>
        <w:tabs>
          <w:tab w:val="left" w:pos="6020"/>
        </w:tabs>
        <w:spacing w:line="360" w:lineRule="auto"/>
        <w:rPr>
          <w:rFonts w:ascii="Times New Roman" w:hAnsi="Times New Roman"/>
          <w:bCs/>
          <w:szCs w:val="20"/>
        </w:rPr>
      </w:pPr>
      <w:r>
        <w:rPr>
          <w:rFonts w:ascii="Times New Roman" w:hAnsi="Times New Roman"/>
          <w:bCs/>
          <w:szCs w:val="20"/>
        </w:rPr>
        <w:t xml:space="preserve">式中  </w:t>
      </w:r>
      <w:r>
        <w:rPr>
          <w:rFonts w:ascii="Times New Roman" w:hAnsi="Times New Roman"/>
          <w:bCs/>
          <w:i/>
          <w:szCs w:val="20"/>
        </w:rPr>
        <w:t>h</w:t>
      </w:r>
      <w:r>
        <w:rPr>
          <w:rFonts w:ascii="Times New Roman" w:hAnsi="Times New Roman"/>
          <w:bCs/>
          <w:szCs w:val="20"/>
        </w:rPr>
        <w:t>——混凝土内缺陷深度，m；</w:t>
      </w:r>
    </w:p>
    <w:p>
      <w:pPr>
        <w:tabs>
          <w:tab w:val="left" w:pos="6020"/>
        </w:tabs>
        <w:spacing w:line="360" w:lineRule="auto"/>
        <w:ind w:firstLine="680" w:firstLineChars="324"/>
        <w:rPr>
          <w:rFonts w:ascii="Times New Roman" w:hAnsi="Times New Roman"/>
          <w:bCs/>
          <w:szCs w:val="20"/>
        </w:rPr>
      </w:pPr>
      <w:r>
        <w:rPr>
          <w:rFonts w:ascii="Times New Roman" w:hAnsi="Times New Roman"/>
          <w:bCs/>
          <w:i/>
          <w:szCs w:val="20"/>
        </w:rPr>
        <w:t>t</w:t>
      </w:r>
      <w:r>
        <w:rPr>
          <w:rFonts w:ascii="Times New Roman" w:hAnsi="Times New Roman"/>
          <w:bCs/>
          <w:szCs w:val="20"/>
        </w:rPr>
        <w:t>——电磁波自混凝土表面至目标体双程历时，s；</w:t>
      </w:r>
    </w:p>
    <w:p>
      <w:pPr>
        <w:tabs>
          <w:tab w:val="left" w:pos="6020"/>
        </w:tabs>
        <w:spacing w:line="360" w:lineRule="auto"/>
        <w:ind w:firstLine="648" w:firstLineChars="309"/>
        <w:rPr>
          <w:rFonts w:ascii="Times New Roman" w:hAnsi="Times New Roman"/>
          <w:bCs/>
          <w:szCs w:val="20"/>
        </w:rPr>
      </w:pPr>
      <w:r>
        <w:rPr>
          <w:rFonts w:ascii="Times New Roman" w:hAnsi="Times New Roman"/>
          <w:bCs/>
          <w:i/>
          <w:szCs w:val="20"/>
        </w:rPr>
        <w:t>v</w:t>
      </w:r>
      <w:r>
        <w:rPr>
          <w:rFonts w:ascii="Times New Roman" w:hAnsi="Times New Roman"/>
          <w:bCs/>
          <w:szCs w:val="20"/>
        </w:rPr>
        <w:t>——混凝土介质中的电磁波波速，m/s。</w:t>
      </w:r>
    </w:p>
    <w:p>
      <w:pPr>
        <w:tabs>
          <w:tab w:val="left" w:pos="6020"/>
        </w:tabs>
        <w:spacing w:line="360" w:lineRule="auto"/>
        <w:rPr>
          <w:rFonts w:ascii="Times New Roman" w:hAnsi="Times New Roman"/>
          <w:bCs/>
          <w:szCs w:val="20"/>
        </w:rPr>
      </w:pPr>
      <w:r>
        <w:rPr>
          <w:rFonts w:hint="eastAsia" w:ascii="黑体" w:hAnsi="黑体" w:eastAsia="黑体" w:cs="黑体"/>
        </w:rPr>
        <w:t>E.1.12</w:t>
      </w:r>
      <w:r>
        <w:rPr>
          <w:rFonts w:ascii="Times New Roman" w:hAnsi="Times New Roman"/>
          <w:bCs/>
          <w:szCs w:val="20"/>
        </w:rPr>
        <w:t xml:space="preserve">  混凝土缺陷初步判定特征如下：</w:t>
      </w:r>
    </w:p>
    <w:p>
      <w:pPr>
        <w:tabs>
          <w:tab w:val="left" w:pos="728"/>
          <w:tab w:val="left" w:pos="6020"/>
        </w:tabs>
        <w:spacing w:line="360" w:lineRule="auto"/>
        <w:ind w:firstLine="418"/>
        <w:rPr>
          <w:rFonts w:ascii="Times New Roman" w:hAnsi="Times New Roman"/>
          <w:bCs/>
          <w:szCs w:val="20"/>
        </w:rPr>
      </w:pPr>
      <w:r>
        <w:rPr>
          <w:rFonts w:hint="eastAsia" w:ascii="黑体" w:hAnsi="黑体" w:eastAsia="黑体" w:cs="黑体"/>
        </w:rPr>
        <w:t>1</w:t>
      </w:r>
      <w:r>
        <w:rPr>
          <w:rFonts w:hint="eastAsia" w:ascii="Times New Roman" w:hAnsi="Times New Roman"/>
          <w:b/>
          <w:bCs/>
          <w:szCs w:val="20"/>
        </w:rPr>
        <w:t xml:space="preserve">  </w:t>
      </w:r>
      <w:r>
        <w:rPr>
          <w:rFonts w:ascii="Times New Roman" w:hAnsi="Times New Roman"/>
          <w:bCs/>
          <w:szCs w:val="20"/>
        </w:rPr>
        <w:t>密实。信号幅度较弱，甚至没有界面反射信号。</w:t>
      </w:r>
    </w:p>
    <w:p>
      <w:pPr>
        <w:tabs>
          <w:tab w:val="left" w:pos="728"/>
          <w:tab w:val="left" w:pos="6020"/>
        </w:tabs>
        <w:spacing w:line="360" w:lineRule="auto"/>
        <w:ind w:firstLine="418"/>
        <w:rPr>
          <w:rFonts w:ascii="Times New Roman" w:hAnsi="Times New Roman"/>
          <w:bCs/>
          <w:szCs w:val="20"/>
        </w:rPr>
      </w:pPr>
      <w:r>
        <w:rPr>
          <w:rFonts w:hint="eastAsia" w:ascii="黑体" w:hAnsi="黑体" w:eastAsia="黑体" w:cs="黑体"/>
        </w:rPr>
        <w:t xml:space="preserve">2 </w:t>
      </w:r>
      <w:r>
        <w:rPr>
          <w:rFonts w:hint="eastAsia" w:ascii="Times New Roman" w:hAnsi="Times New Roman"/>
          <w:b/>
          <w:bCs/>
          <w:szCs w:val="20"/>
        </w:rPr>
        <w:t xml:space="preserve"> </w:t>
      </w:r>
      <w:r>
        <w:rPr>
          <w:rFonts w:ascii="Times New Roman" w:hAnsi="Times New Roman"/>
          <w:bCs/>
          <w:szCs w:val="20"/>
        </w:rPr>
        <w:t>不密实。混凝土界面的强反射信号同相轴呈绕射弧形，且不连续、较分散。</w:t>
      </w:r>
    </w:p>
    <w:p>
      <w:pPr>
        <w:tabs>
          <w:tab w:val="left" w:pos="728"/>
          <w:tab w:val="left" w:pos="6020"/>
        </w:tabs>
        <w:spacing w:line="360" w:lineRule="auto"/>
        <w:ind w:firstLine="418"/>
        <w:rPr>
          <w:rFonts w:ascii="Times New Roman" w:hAnsi="Times New Roman"/>
          <w:bCs/>
          <w:szCs w:val="20"/>
        </w:rPr>
      </w:pPr>
      <w:r>
        <w:rPr>
          <w:rFonts w:hint="eastAsia" w:ascii="黑体" w:hAnsi="黑体" w:eastAsia="黑体" w:cs="黑体"/>
        </w:rPr>
        <w:t>3</w:t>
      </w:r>
      <w:r>
        <w:rPr>
          <w:rFonts w:hint="eastAsia" w:ascii="Times New Roman" w:hAnsi="Times New Roman"/>
          <w:b/>
          <w:bCs/>
          <w:szCs w:val="20"/>
        </w:rPr>
        <w:t xml:space="preserve">  </w:t>
      </w:r>
      <w:r>
        <w:rPr>
          <w:rFonts w:ascii="Times New Roman" w:hAnsi="Times New Roman"/>
          <w:bCs/>
          <w:szCs w:val="20"/>
        </w:rPr>
        <w:t>空洞。混凝土界面反射信号强，三振相明显，在其下部仍有强反射界面信号，两组信号时程差较大。</w:t>
      </w:r>
    </w:p>
    <w:p>
      <w:pPr>
        <w:spacing w:line="400" w:lineRule="exact"/>
        <w:ind w:left="15" w:leftChars="7" w:firstLine="726" w:firstLineChars="346"/>
        <w:rPr>
          <w:rFonts w:ascii="Times New Roman" w:hAnsi="Times New Roman"/>
          <w:szCs w:val="21"/>
        </w:rPr>
      </w:pPr>
    </w:p>
    <w:p>
      <w:pPr>
        <w:pStyle w:val="3"/>
        <w:snapToGrid w:val="0"/>
        <w:spacing w:beforeLines="50" w:afterLines="50" w:line="360" w:lineRule="auto"/>
        <w:jc w:val="center"/>
        <w:rPr>
          <w:rFonts w:ascii="黑体" w:hAnsi="黑体" w:cs="黑体"/>
          <w:sz w:val="24"/>
          <w:szCs w:val="24"/>
        </w:rPr>
      </w:pPr>
      <w:bookmarkStart w:id="191" w:name="_Toc7838"/>
      <w:bookmarkStart w:id="192" w:name="_Toc395173830"/>
      <w:bookmarkStart w:id="193" w:name="_Toc399308980"/>
      <w:bookmarkStart w:id="194" w:name="_Toc22231"/>
      <w:bookmarkStart w:id="195" w:name="_Toc20325"/>
      <w:bookmarkStart w:id="196" w:name="_Toc30084"/>
      <w:r>
        <w:rPr>
          <w:rFonts w:ascii="黑体" w:hAnsi="黑体" w:cs="黑体"/>
          <w:sz w:val="24"/>
          <w:szCs w:val="24"/>
        </w:rPr>
        <w:t>E.</w:t>
      </w:r>
      <w:r>
        <w:rPr>
          <w:rFonts w:hint="default" w:ascii="黑体" w:hAnsi="黑体" w:cs="黑体"/>
          <w:sz w:val="24"/>
          <w:szCs w:val="24"/>
        </w:rPr>
        <w:t>2</w:t>
      </w:r>
      <w:r>
        <w:rPr>
          <w:rFonts w:ascii="黑体" w:hAnsi="黑体" w:cs="黑体"/>
          <w:sz w:val="24"/>
          <w:szCs w:val="24"/>
        </w:rPr>
        <w:t xml:space="preserve">  </w:t>
      </w:r>
      <w:bookmarkEnd w:id="191"/>
      <w:bookmarkEnd w:id="192"/>
      <w:bookmarkEnd w:id="193"/>
      <w:r>
        <w:rPr>
          <w:rFonts w:ascii="黑体" w:hAnsi="黑体" w:cs="黑体"/>
          <w:sz w:val="24"/>
          <w:szCs w:val="24"/>
        </w:rPr>
        <w:t>雷达法混凝土结构厚度检测</w:t>
      </w:r>
      <w:bookmarkEnd w:id="194"/>
      <w:bookmarkEnd w:id="195"/>
      <w:bookmarkEnd w:id="196"/>
    </w:p>
    <w:p>
      <w:pPr>
        <w:tabs>
          <w:tab w:val="left" w:pos="6020"/>
        </w:tabs>
        <w:spacing w:line="360" w:lineRule="auto"/>
        <w:rPr>
          <w:rFonts w:ascii="Times New Roman" w:hAnsi="Times New Roman"/>
          <w:bCs/>
          <w:szCs w:val="20"/>
        </w:rPr>
      </w:pPr>
      <w:r>
        <w:rPr>
          <w:rFonts w:hint="eastAsia" w:ascii="黑体" w:hAnsi="黑体" w:eastAsia="黑体" w:cs="黑体"/>
        </w:rPr>
        <w:t>E.2.1</w:t>
      </w:r>
      <w:r>
        <w:rPr>
          <w:rFonts w:ascii="Times New Roman" w:hAnsi="Times New Roman" w:eastAsia="黑体"/>
          <w:b/>
          <w:bCs/>
          <w:szCs w:val="20"/>
        </w:rPr>
        <w:t xml:space="preserve">  </w:t>
      </w:r>
      <w:r>
        <w:rPr>
          <w:rFonts w:hint="eastAsia" w:ascii="Times New Roman" w:hAnsi="Times New Roman"/>
          <w:bCs/>
          <w:szCs w:val="20"/>
        </w:rPr>
        <w:t>雷达法适用于检测无筋或少筋的混凝土结构厚</w:t>
      </w:r>
      <w:r>
        <w:rPr>
          <w:rFonts w:hint="eastAsia" w:ascii="Times New Roman" w:hAnsi="Times New Roman"/>
          <w:bCs/>
          <w:szCs w:val="21"/>
        </w:rPr>
        <w:t>度</w:t>
      </w:r>
      <w:r>
        <w:rPr>
          <w:rFonts w:hint="eastAsia" w:ascii="Times New Roman" w:hAnsi="Times New Roman"/>
          <w:bCs/>
          <w:szCs w:val="20"/>
        </w:rPr>
        <w:t>。</w:t>
      </w:r>
    </w:p>
    <w:p>
      <w:pPr>
        <w:spacing w:line="360" w:lineRule="auto"/>
        <w:rPr>
          <w:rFonts w:ascii="Times New Roman" w:hAnsi="Times New Roman"/>
          <w:szCs w:val="21"/>
        </w:rPr>
      </w:pPr>
      <w:r>
        <w:rPr>
          <w:rFonts w:hint="eastAsia" w:ascii="黑体" w:hAnsi="黑体" w:eastAsia="黑体" w:cs="黑体"/>
        </w:rPr>
        <w:t>E.2.2</w:t>
      </w:r>
      <w:r>
        <w:rPr>
          <w:rFonts w:ascii="Times New Roman" w:hAnsi="Times New Roman" w:eastAsia="黑体"/>
          <w:b/>
          <w:bCs/>
          <w:szCs w:val="20"/>
        </w:rPr>
        <w:t xml:space="preserve">  </w:t>
      </w:r>
      <w:r>
        <w:rPr>
          <w:rFonts w:hint="eastAsia" w:ascii="Times New Roman" w:hAnsi="Times New Roman"/>
          <w:bCs/>
          <w:szCs w:val="20"/>
        </w:rPr>
        <w:t>主要检测仪器和设备及其技术要求应符合第E</w:t>
      </w:r>
      <w:r>
        <w:rPr>
          <w:rFonts w:ascii="Times New Roman" w:hAnsi="Times New Roman"/>
          <w:bCs/>
          <w:szCs w:val="20"/>
        </w:rPr>
        <w:t>.1.2</w:t>
      </w:r>
      <w:r>
        <w:rPr>
          <w:rFonts w:hint="eastAsia" w:ascii="Times New Roman" w:hAnsi="Times New Roman"/>
          <w:bCs/>
          <w:szCs w:val="20"/>
        </w:rPr>
        <w:t>条～条E</w:t>
      </w:r>
      <w:r>
        <w:rPr>
          <w:rFonts w:ascii="Times New Roman" w:hAnsi="Times New Roman"/>
          <w:bCs/>
          <w:szCs w:val="20"/>
        </w:rPr>
        <w:t>.1.4</w:t>
      </w:r>
      <w:r>
        <w:rPr>
          <w:rFonts w:hint="eastAsia" w:ascii="Times New Roman" w:hAnsi="Times New Roman"/>
          <w:bCs/>
          <w:szCs w:val="20"/>
        </w:rPr>
        <w:t>条规定。</w:t>
      </w:r>
    </w:p>
    <w:p>
      <w:pPr>
        <w:spacing w:line="360" w:lineRule="auto"/>
        <w:rPr>
          <w:rFonts w:ascii="Times New Roman" w:hAnsi="Times New Roman"/>
          <w:b/>
          <w:szCs w:val="21"/>
        </w:rPr>
      </w:pPr>
      <w:r>
        <w:rPr>
          <w:rFonts w:hint="eastAsia" w:ascii="黑体" w:hAnsi="黑体" w:eastAsia="黑体" w:cs="黑体"/>
        </w:rPr>
        <w:t>E.2.3</w:t>
      </w:r>
      <w:r>
        <w:rPr>
          <w:rFonts w:ascii="Times New Roman" w:hAnsi="Times New Roman" w:eastAsia="黑体"/>
          <w:b/>
          <w:bCs/>
          <w:szCs w:val="20"/>
        </w:rPr>
        <w:t xml:space="preserve">  </w:t>
      </w:r>
      <w:r>
        <w:rPr>
          <w:rFonts w:hint="eastAsia" w:ascii="Times New Roman" w:hAnsi="Times New Roman"/>
          <w:szCs w:val="21"/>
        </w:rPr>
        <w:t>雷达现场检测参数设置应符合下列要求：</w:t>
      </w:r>
    </w:p>
    <w:p>
      <w:pPr>
        <w:spacing w:line="360" w:lineRule="auto"/>
        <w:ind w:firstLine="420" w:firstLineChars="200"/>
        <w:rPr>
          <w:rFonts w:ascii="Times New Roman" w:hAnsi="Times New Roman"/>
          <w:bCs/>
          <w:szCs w:val="20"/>
        </w:rPr>
      </w:pPr>
      <w:r>
        <w:rPr>
          <w:rFonts w:hint="eastAsia" w:ascii="黑体" w:hAnsi="黑体" w:eastAsia="黑体" w:cs="黑体"/>
        </w:rPr>
        <w:t>1</w:t>
      </w:r>
      <w:r>
        <w:rPr>
          <w:rFonts w:ascii="Times New Roman" w:hAnsi="Times New Roman" w:eastAsia="黑体"/>
          <w:b/>
          <w:bCs/>
          <w:szCs w:val="20"/>
        </w:rPr>
        <w:t xml:space="preserve">  </w:t>
      </w:r>
      <w:r>
        <w:rPr>
          <w:rFonts w:hint="eastAsia" w:ascii="Times New Roman" w:hAnsi="Times New Roman"/>
          <w:bCs/>
          <w:szCs w:val="20"/>
        </w:rPr>
        <w:t>雷达主机天线中心频率应根据混凝土结构预估厚度、介质特性等因素综合确定。</w:t>
      </w:r>
    </w:p>
    <w:p>
      <w:pPr>
        <w:tabs>
          <w:tab w:val="left" w:pos="6020"/>
        </w:tabs>
        <w:spacing w:line="360" w:lineRule="auto"/>
        <w:ind w:firstLine="420" w:firstLineChars="200"/>
        <w:rPr>
          <w:rFonts w:ascii="Times New Roman" w:hAnsi="Times New Roman"/>
          <w:bCs/>
          <w:szCs w:val="20"/>
        </w:rPr>
      </w:pPr>
      <w:r>
        <w:rPr>
          <w:rFonts w:hint="eastAsia" w:ascii="黑体" w:hAnsi="黑体" w:eastAsia="黑体" w:cs="黑体"/>
        </w:rPr>
        <w:t>2</w:t>
      </w:r>
      <w:r>
        <w:rPr>
          <w:rFonts w:ascii="Times New Roman" w:hAnsi="Times New Roman" w:eastAsia="黑体"/>
          <w:b/>
          <w:bCs/>
          <w:szCs w:val="20"/>
        </w:rPr>
        <w:t xml:space="preserve">  </w:t>
      </w:r>
      <w:r>
        <w:rPr>
          <w:rFonts w:hint="eastAsia" w:ascii="Times New Roman" w:hAnsi="Times New Roman"/>
          <w:bCs/>
          <w:szCs w:val="20"/>
        </w:rPr>
        <w:t>仪器的信号增益应保持信号幅值不超出信号监视窗口的</w:t>
      </w:r>
      <w:r>
        <w:rPr>
          <w:rFonts w:ascii="Times New Roman" w:hAnsi="Times New Roman"/>
          <w:bCs/>
          <w:szCs w:val="20"/>
        </w:rPr>
        <w:t>3/4</w:t>
      </w:r>
      <w:r>
        <w:rPr>
          <w:rFonts w:hint="eastAsia" w:ascii="Times New Roman" w:hAnsi="Times New Roman"/>
          <w:bCs/>
          <w:szCs w:val="20"/>
        </w:rPr>
        <w:t>，天线静止时信号应稳定。</w:t>
      </w:r>
    </w:p>
    <w:p>
      <w:pPr>
        <w:tabs>
          <w:tab w:val="left" w:pos="6020"/>
        </w:tabs>
        <w:spacing w:line="360" w:lineRule="auto"/>
        <w:ind w:firstLine="420" w:firstLineChars="200"/>
        <w:rPr>
          <w:rFonts w:ascii="Times New Roman" w:hAnsi="Times New Roman"/>
          <w:bCs/>
          <w:szCs w:val="20"/>
        </w:rPr>
      </w:pPr>
      <w:r>
        <w:rPr>
          <w:rFonts w:hint="eastAsia" w:ascii="黑体" w:hAnsi="黑体" w:eastAsia="黑体" w:cs="黑体"/>
        </w:rPr>
        <w:t>3</w:t>
      </w:r>
      <w:r>
        <w:rPr>
          <w:rFonts w:ascii="Times New Roman" w:hAnsi="Times New Roman" w:eastAsia="黑体"/>
          <w:b/>
          <w:bCs/>
          <w:szCs w:val="20"/>
        </w:rPr>
        <w:t xml:space="preserve">  </w:t>
      </w:r>
      <w:r>
        <w:rPr>
          <w:rFonts w:hint="eastAsia" w:ascii="Times New Roman" w:hAnsi="Times New Roman"/>
          <w:bCs/>
          <w:szCs w:val="20"/>
        </w:rPr>
        <w:t>采样率宜为雷达天线中心频率的</w:t>
      </w:r>
      <w:r>
        <w:rPr>
          <w:rFonts w:ascii="Times New Roman" w:hAnsi="Times New Roman"/>
          <w:bCs/>
          <w:szCs w:val="20"/>
        </w:rPr>
        <w:t>6~10</w:t>
      </w:r>
      <w:r>
        <w:rPr>
          <w:rFonts w:hint="eastAsia" w:ascii="Times New Roman" w:hAnsi="Times New Roman"/>
          <w:bCs/>
          <w:szCs w:val="20"/>
        </w:rPr>
        <w:t>倍。</w:t>
      </w:r>
    </w:p>
    <w:p>
      <w:pPr>
        <w:tabs>
          <w:tab w:val="left" w:pos="6020"/>
        </w:tabs>
        <w:spacing w:line="360" w:lineRule="auto"/>
        <w:rPr>
          <w:rFonts w:ascii="Times New Roman" w:hAnsi="Times New Roman"/>
          <w:bCs/>
          <w:szCs w:val="20"/>
        </w:rPr>
      </w:pPr>
      <w:r>
        <w:rPr>
          <w:rFonts w:hint="eastAsia" w:ascii="黑体" w:hAnsi="黑体" w:eastAsia="黑体" w:cs="黑体"/>
        </w:rPr>
        <w:t xml:space="preserve">E.2.4 </w:t>
      </w:r>
      <w:r>
        <w:rPr>
          <w:rFonts w:ascii="Times New Roman" w:hAnsi="Times New Roman" w:eastAsia="黑体"/>
          <w:b/>
          <w:bCs/>
          <w:szCs w:val="20"/>
        </w:rPr>
        <w:t xml:space="preserve"> </w:t>
      </w:r>
      <w:r>
        <w:rPr>
          <w:rFonts w:hint="eastAsia" w:ascii="Times New Roman" w:hAnsi="Times New Roman"/>
          <w:bCs/>
          <w:szCs w:val="20"/>
        </w:rPr>
        <w:t>雷达天线中心频率范围宜为</w:t>
      </w:r>
      <w:r>
        <w:rPr>
          <w:rFonts w:ascii="Times New Roman" w:hAnsi="Times New Roman"/>
          <w:bCs/>
          <w:szCs w:val="20"/>
        </w:rPr>
        <w:t>100MHz~1600MHz</w:t>
      </w:r>
      <w:r>
        <w:rPr>
          <w:rFonts w:hint="eastAsia" w:ascii="Times New Roman" w:hAnsi="Times New Roman"/>
          <w:bCs/>
          <w:szCs w:val="20"/>
        </w:rPr>
        <w:t>，当满足检测要求时，宜选择频率相对较高的天线。</w:t>
      </w:r>
    </w:p>
    <w:p>
      <w:pPr>
        <w:tabs>
          <w:tab w:val="left" w:pos="6020"/>
        </w:tabs>
        <w:spacing w:line="360" w:lineRule="auto"/>
        <w:rPr>
          <w:rFonts w:ascii="Times New Roman" w:hAnsi="Times New Roman"/>
          <w:bCs/>
          <w:szCs w:val="20"/>
        </w:rPr>
      </w:pPr>
      <w:r>
        <w:rPr>
          <w:rFonts w:hint="eastAsia" w:ascii="黑体" w:hAnsi="黑体" w:eastAsia="黑体" w:cs="黑体"/>
        </w:rPr>
        <w:t xml:space="preserve">E.2.5 </w:t>
      </w:r>
      <w:r>
        <w:rPr>
          <w:rFonts w:ascii="Times New Roman" w:hAnsi="Times New Roman" w:eastAsia="黑体"/>
          <w:b/>
          <w:bCs/>
          <w:szCs w:val="20"/>
        </w:rPr>
        <w:t xml:space="preserve"> </w:t>
      </w:r>
      <w:r>
        <w:rPr>
          <w:rFonts w:hint="eastAsia" w:ascii="Times New Roman" w:hAnsi="Times New Roman"/>
          <w:szCs w:val="21"/>
        </w:rPr>
        <w:t>测线</w:t>
      </w:r>
      <w:r>
        <w:rPr>
          <w:rFonts w:hint="eastAsia" w:ascii="Times New Roman" w:hAnsi="Times New Roman"/>
          <w:bCs/>
          <w:szCs w:val="20"/>
        </w:rPr>
        <w:t>宜均匀分布，与构件外边缘距离不小于</w:t>
      </w:r>
      <w:r>
        <w:rPr>
          <w:rFonts w:ascii="Times New Roman" w:hAnsi="Times New Roman"/>
          <w:bCs/>
          <w:szCs w:val="20"/>
        </w:rPr>
        <w:t>100mm</w:t>
      </w:r>
      <w:r>
        <w:rPr>
          <w:rFonts w:hint="eastAsia" w:ascii="Times New Roman" w:hAnsi="Times New Roman"/>
          <w:bCs/>
          <w:szCs w:val="20"/>
        </w:rPr>
        <w:t>，线距为</w:t>
      </w:r>
      <w:r>
        <w:rPr>
          <w:rFonts w:ascii="Times New Roman" w:hAnsi="Times New Roman"/>
          <w:bCs/>
          <w:szCs w:val="20"/>
        </w:rPr>
        <w:t>500mm~1000mm</w:t>
      </w:r>
      <w:r>
        <w:rPr>
          <w:rFonts w:hint="eastAsia" w:ascii="Times New Roman" w:hAnsi="Times New Roman"/>
          <w:bCs/>
          <w:szCs w:val="20"/>
        </w:rPr>
        <w:t>。</w:t>
      </w:r>
    </w:p>
    <w:p>
      <w:pPr>
        <w:tabs>
          <w:tab w:val="left" w:pos="6020"/>
        </w:tabs>
        <w:spacing w:line="360" w:lineRule="auto"/>
        <w:rPr>
          <w:rFonts w:ascii="Times New Roman" w:hAnsi="Times New Roman"/>
          <w:bCs/>
          <w:szCs w:val="20"/>
        </w:rPr>
      </w:pPr>
      <w:r>
        <w:rPr>
          <w:rFonts w:hint="eastAsia" w:ascii="黑体" w:hAnsi="黑体" w:eastAsia="黑体" w:cs="黑体"/>
        </w:rPr>
        <w:t xml:space="preserve">E.2.6 </w:t>
      </w:r>
      <w:r>
        <w:rPr>
          <w:rFonts w:ascii="Times New Roman" w:hAnsi="Times New Roman" w:eastAsia="黑体"/>
          <w:b/>
          <w:bCs/>
          <w:szCs w:val="20"/>
        </w:rPr>
        <w:t xml:space="preserve"> </w:t>
      </w:r>
      <w:r>
        <w:rPr>
          <w:rFonts w:hint="eastAsia" w:ascii="Times New Roman" w:hAnsi="Times New Roman"/>
          <w:bCs/>
          <w:szCs w:val="20"/>
        </w:rPr>
        <w:t>测试记录应符合第</w:t>
      </w:r>
      <w:r>
        <w:rPr>
          <w:rFonts w:hint="eastAsia" w:ascii="Times New Roman" w:hAnsi="Times New Roman"/>
          <w:szCs w:val="21"/>
        </w:rPr>
        <w:t>E</w:t>
      </w:r>
      <w:r>
        <w:rPr>
          <w:rFonts w:ascii="Times New Roman" w:hAnsi="Times New Roman"/>
          <w:szCs w:val="21"/>
        </w:rPr>
        <w:t>.1.8</w:t>
      </w:r>
      <w:r>
        <w:rPr>
          <w:rFonts w:hint="eastAsia" w:ascii="Times New Roman" w:hAnsi="Times New Roman"/>
          <w:bCs/>
          <w:szCs w:val="20"/>
        </w:rPr>
        <w:t>条规定。</w:t>
      </w:r>
    </w:p>
    <w:p>
      <w:pPr>
        <w:tabs>
          <w:tab w:val="left" w:pos="6020"/>
        </w:tabs>
        <w:spacing w:line="360" w:lineRule="auto"/>
        <w:rPr>
          <w:rFonts w:ascii="Times New Roman" w:hAnsi="Times New Roman"/>
          <w:bCs/>
          <w:szCs w:val="20"/>
        </w:rPr>
      </w:pPr>
      <w:r>
        <w:rPr>
          <w:rFonts w:hint="eastAsia" w:ascii="黑体" w:hAnsi="黑体" w:eastAsia="黑体" w:cs="黑体"/>
        </w:rPr>
        <w:t xml:space="preserve">E.2.7 </w:t>
      </w:r>
      <w:r>
        <w:rPr>
          <w:rFonts w:ascii="Times New Roman" w:hAnsi="Times New Roman" w:eastAsia="黑体"/>
          <w:b/>
          <w:bCs/>
          <w:szCs w:val="20"/>
        </w:rPr>
        <w:t xml:space="preserve"> </w:t>
      </w:r>
      <w:r>
        <w:rPr>
          <w:rFonts w:hint="eastAsia" w:ascii="Times New Roman" w:hAnsi="Times New Roman"/>
          <w:bCs/>
          <w:szCs w:val="20"/>
        </w:rPr>
        <w:t>检测数据处理应符合下列要求。</w:t>
      </w:r>
    </w:p>
    <w:p>
      <w:pPr>
        <w:tabs>
          <w:tab w:val="left" w:pos="6020"/>
        </w:tabs>
        <w:spacing w:line="360" w:lineRule="auto"/>
        <w:ind w:firstLine="420" w:firstLineChars="200"/>
        <w:rPr>
          <w:rFonts w:ascii="Times New Roman" w:hAnsi="Times New Roman"/>
          <w:bCs/>
          <w:szCs w:val="20"/>
        </w:rPr>
      </w:pPr>
      <w:r>
        <w:rPr>
          <w:rFonts w:hint="eastAsia" w:ascii="黑体" w:hAnsi="黑体" w:eastAsia="黑体" w:cs="黑体"/>
        </w:rPr>
        <w:t>1</w:t>
      </w:r>
      <w:r>
        <w:rPr>
          <w:rFonts w:ascii="Times New Roman" w:hAnsi="Times New Roman" w:eastAsia="黑体"/>
          <w:b/>
          <w:bCs/>
          <w:szCs w:val="20"/>
        </w:rPr>
        <w:t xml:space="preserve">  </w:t>
      </w:r>
      <w:r>
        <w:rPr>
          <w:rFonts w:hint="eastAsia" w:ascii="Times New Roman" w:hAnsi="Times New Roman"/>
          <w:bCs/>
          <w:szCs w:val="20"/>
        </w:rPr>
        <w:t>混凝土材料相对介电常数的标定应符合第</w:t>
      </w:r>
      <w:r>
        <w:rPr>
          <w:rFonts w:hint="eastAsia" w:ascii="Times New Roman" w:hAnsi="Times New Roman"/>
          <w:szCs w:val="21"/>
        </w:rPr>
        <w:t>E</w:t>
      </w:r>
      <w:r>
        <w:rPr>
          <w:rFonts w:ascii="Times New Roman" w:hAnsi="Times New Roman"/>
          <w:szCs w:val="21"/>
        </w:rPr>
        <w:t>.1.5</w:t>
      </w:r>
      <w:r>
        <w:rPr>
          <w:rFonts w:hint="eastAsia" w:ascii="Times New Roman" w:hAnsi="Times New Roman"/>
          <w:bCs/>
          <w:szCs w:val="20"/>
        </w:rPr>
        <w:t>条规定。</w:t>
      </w:r>
    </w:p>
    <w:p>
      <w:pPr>
        <w:tabs>
          <w:tab w:val="left" w:pos="6020"/>
        </w:tabs>
        <w:spacing w:line="360" w:lineRule="auto"/>
        <w:ind w:firstLine="422" w:firstLineChars="201"/>
        <w:rPr>
          <w:rFonts w:ascii="Times New Roman" w:hAnsi="Times New Roman"/>
          <w:bCs/>
          <w:szCs w:val="21"/>
        </w:rPr>
      </w:pPr>
      <w:r>
        <w:rPr>
          <w:rFonts w:hint="eastAsia" w:ascii="黑体" w:hAnsi="黑体" w:eastAsia="黑体" w:cs="黑体"/>
        </w:rPr>
        <w:t>2</w:t>
      </w:r>
      <w:r>
        <w:rPr>
          <w:rFonts w:ascii="Times New Roman" w:hAnsi="Times New Roman" w:eastAsia="黑体"/>
          <w:b/>
          <w:bCs/>
          <w:szCs w:val="20"/>
        </w:rPr>
        <w:t xml:space="preserve">  </w:t>
      </w:r>
      <w:r>
        <w:rPr>
          <w:rFonts w:hint="eastAsia" w:ascii="Times New Roman" w:hAnsi="Times New Roman"/>
          <w:bCs/>
          <w:szCs w:val="20"/>
        </w:rPr>
        <w:t>绘制雷达灰度图或色谱剖面图。</w:t>
      </w:r>
    </w:p>
    <w:p>
      <w:pPr>
        <w:tabs>
          <w:tab w:val="left" w:pos="6020"/>
        </w:tabs>
        <w:spacing w:line="360" w:lineRule="auto"/>
        <w:ind w:firstLine="420" w:firstLineChars="200"/>
        <w:rPr>
          <w:rFonts w:ascii="Times New Roman" w:hAnsi="Times New Roman"/>
          <w:bCs/>
          <w:szCs w:val="20"/>
        </w:rPr>
      </w:pPr>
      <w:r>
        <w:rPr>
          <w:rFonts w:hint="eastAsia" w:ascii="黑体" w:hAnsi="黑体" w:eastAsia="黑体" w:cs="黑体"/>
        </w:rPr>
        <w:t>3</w:t>
      </w:r>
      <w:r>
        <w:rPr>
          <w:rFonts w:ascii="Times New Roman" w:hAnsi="Times New Roman" w:eastAsia="黑体"/>
          <w:b/>
          <w:bCs/>
          <w:szCs w:val="20"/>
        </w:rPr>
        <w:t xml:space="preserve">  </w:t>
      </w:r>
      <w:r>
        <w:rPr>
          <w:rFonts w:hint="eastAsia" w:ascii="Times New Roman" w:hAnsi="Times New Roman"/>
          <w:bCs/>
          <w:szCs w:val="20"/>
        </w:rPr>
        <w:t>依据雷达剖面图确定混凝土结构厚度分层界面，根据测定的电磁波在各结构层中的双程传播时间</w:t>
      </w:r>
      <w:r>
        <w:rPr>
          <w:rFonts w:ascii="Times New Roman" w:hAnsi="Times New Roman"/>
          <w:bCs/>
          <w:i/>
          <w:szCs w:val="20"/>
        </w:rPr>
        <w:t>t</w:t>
      </w:r>
      <w:r>
        <w:rPr>
          <w:rFonts w:hint="eastAsia" w:ascii="Times New Roman" w:hAnsi="Times New Roman"/>
          <w:bCs/>
          <w:szCs w:val="20"/>
        </w:rPr>
        <w:t>，按式（E</w:t>
      </w:r>
      <w:r>
        <w:rPr>
          <w:rFonts w:ascii="Times New Roman" w:hAnsi="Times New Roman"/>
          <w:bCs/>
          <w:szCs w:val="20"/>
        </w:rPr>
        <w:t>.2.7</w:t>
      </w:r>
      <w:r>
        <w:rPr>
          <w:rFonts w:hint="eastAsia" w:ascii="Times New Roman" w:hAnsi="Times New Roman"/>
          <w:bCs/>
          <w:szCs w:val="20"/>
        </w:rPr>
        <w:t>）计算混凝土结构厚度。</w:t>
      </w:r>
    </w:p>
    <w:p>
      <w:pPr>
        <w:tabs>
          <w:tab w:val="left" w:pos="6020"/>
        </w:tabs>
        <w:ind w:firstLine="420" w:firstLineChars="200"/>
        <w:jc w:val="right"/>
        <w:rPr>
          <w:rFonts w:ascii="Times New Roman" w:hAnsi="Times New Roman"/>
          <w:bCs/>
          <w:szCs w:val="20"/>
        </w:rPr>
      </w:pPr>
      <w:r>
        <w:rPr>
          <w:rFonts w:ascii="Times New Roman" w:hAnsi="Times New Roman"/>
          <w:bCs/>
          <w:position w:val="-18"/>
          <w:szCs w:val="20"/>
        </w:rPr>
        <w:drawing>
          <wp:inline distT="0" distB="0" distL="114300" distR="114300">
            <wp:extent cx="731520" cy="365760"/>
            <wp:effectExtent l="0" t="0" r="0" b="15875"/>
            <wp:docPr id="630"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 name="图片 54"/>
                    <pic:cNvPicPr>
                      <a:picLocks noChangeAspect="1"/>
                    </pic:cNvPicPr>
                  </pic:nvPicPr>
                  <pic:blipFill>
                    <a:blip r:embed="rId75"/>
                    <a:stretch>
                      <a:fillRect/>
                    </a:stretch>
                  </pic:blipFill>
                  <pic:spPr>
                    <a:xfrm>
                      <a:off x="0" y="0"/>
                      <a:ext cx="731520" cy="365760"/>
                    </a:xfrm>
                    <a:prstGeom prst="rect">
                      <a:avLst/>
                    </a:prstGeom>
                    <a:noFill/>
                    <a:ln>
                      <a:noFill/>
                    </a:ln>
                  </pic:spPr>
                </pic:pic>
              </a:graphicData>
            </a:graphic>
          </wp:inline>
        </w:drawing>
      </w:r>
      <w:r>
        <w:rPr>
          <w:rFonts w:hint="eastAsia" w:ascii="Times New Roman" w:hAnsi="Times New Roman"/>
          <w:bCs/>
          <w:szCs w:val="20"/>
        </w:rPr>
        <w:t>×</w:t>
      </w:r>
      <w:r>
        <w:rPr>
          <w:rFonts w:ascii="Times New Roman" w:hAnsi="Times New Roman"/>
          <w:bCs/>
          <w:szCs w:val="20"/>
        </w:rPr>
        <w:t xml:space="preserve">1000                      </w:t>
      </w:r>
      <w:r>
        <w:rPr>
          <w:rFonts w:hint="eastAsia" w:ascii="Times New Roman" w:hAnsi="Times New Roman"/>
          <w:bCs/>
          <w:szCs w:val="20"/>
        </w:rPr>
        <w:t>（E</w:t>
      </w:r>
      <w:r>
        <w:rPr>
          <w:rFonts w:ascii="Times New Roman" w:hAnsi="Times New Roman"/>
          <w:bCs/>
          <w:szCs w:val="20"/>
        </w:rPr>
        <w:t>.2.7</w:t>
      </w:r>
      <w:r>
        <w:rPr>
          <w:rFonts w:hint="eastAsia" w:ascii="Times New Roman" w:hAnsi="Times New Roman"/>
          <w:bCs/>
          <w:szCs w:val="20"/>
        </w:rPr>
        <w:t>）</w:t>
      </w:r>
    </w:p>
    <w:p>
      <w:pPr>
        <w:spacing w:line="360" w:lineRule="auto"/>
        <w:rPr>
          <w:rFonts w:ascii="Times New Roman" w:hAnsi="Times New Roman"/>
          <w:szCs w:val="21"/>
        </w:rPr>
      </w:pPr>
      <w:r>
        <w:rPr>
          <w:rFonts w:hint="eastAsia" w:ascii="Times New Roman" w:hAnsi="Times New Roman"/>
          <w:szCs w:val="21"/>
        </w:rPr>
        <w:t>式中</w:t>
      </w:r>
      <w:r>
        <w:rPr>
          <w:rFonts w:ascii="Times New Roman" w:hAnsi="Times New Roman"/>
          <w:szCs w:val="21"/>
        </w:rPr>
        <w:t xml:space="preserve">  </w:t>
      </w:r>
      <w:r>
        <w:rPr>
          <w:rFonts w:ascii="Times New Roman" w:hAnsi="Times New Roman"/>
          <w:bCs/>
          <w:i/>
          <w:szCs w:val="20"/>
        </w:rPr>
        <w:t>H</w:t>
      </w:r>
      <w:r>
        <w:rPr>
          <w:rFonts w:ascii="Times New Roman" w:hAnsi="Times New Roman"/>
          <w:bCs/>
          <w:szCs w:val="20"/>
        </w:rPr>
        <w:t>——</w:t>
      </w:r>
      <w:r>
        <w:rPr>
          <w:rFonts w:hint="eastAsia" w:ascii="Times New Roman" w:hAnsi="Times New Roman"/>
          <w:bCs/>
          <w:szCs w:val="20"/>
        </w:rPr>
        <w:t>混凝土结构厚度，</w:t>
      </w:r>
      <w:r>
        <w:rPr>
          <w:rFonts w:ascii="Times New Roman" w:hAnsi="Times New Roman"/>
          <w:bCs/>
          <w:szCs w:val="20"/>
        </w:rPr>
        <w:t>mm</w:t>
      </w:r>
      <w:r>
        <w:rPr>
          <w:rFonts w:hint="eastAsia" w:ascii="Times New Roman" w:hAnsi="Times New Roman"/>
          <w:bCs/>
          <w:szCs w:val="20"/>
        </w:rPr>
        <w:t>；</w:t>
      </w:r>
    </w:p>
    <w:p>
      <w:pPr>
        <w:spacing w:line="360" w:lineRule="auto"/>
        <w:ind w:firstLine="726" w:firstLineChars="346"/>
        <w:rPr>
          <w:rFonts w:ascii="Times New Roman" w:hAnsi="Times New Roman"/>
          <w:szCs w:val="21"/>
        </w:rPr>
      </w:pPr>
      <w:r>
        <w:rPr>
          <w:rFonts w:ascii="Times New Roman" w:hAnsi="Times New Roman"/>
          <w:i/>
          <w:szCs w:val="21"/>
        </w:rPr>
        <w:t>v</w:t>
      </w:r>
      <w:r>
        <w:rPr>
          <w:rFonts w:ascii="Times New Roman" w:hAnsi="Times New Roman"/>
          <w:szCs w:val="21"/>
        </w:rPr>
        <w:t>——</w:t>
      </w:r>
      <w:r>
        <w:rPr>
          <w:rFonts w:hint="eastAsia" w:ascii="Times New Roman" w:hAnsi="Times New Roman"/>
        </w:rPr>
        <w:t>电磁波在混凝土介质中的传播速度</w:t>
      </w:r>
      <w:r>
        <w:rPr>
          <w:rFonts w:hint="eastAsia" w:ascii="Times New Roman" w:hAnsi="Times New Roman"/>
          <w:szCs w:val="21"/>
        </w:rPr>
        <w:t>，</w:t>
      </w:r>
      <w:r>
        <w:rPr>
          <w:rFonts w:ascii="Times New Roman" w:hAnsi="Times New Roman"/>
          <w:szCs w:val="21"/>
        </w:rPr>
        <w:t>m/s</w:t>
      </w:r>
      <w:r>
        <w:rPr>
          <w:rFonts w:hint="eastAsia" w:ascii="Times New Roman" w:hAnsi="Times New Roman"/>
          <w:szCs w:val="21"/>
        </w:rPr>
        <w:t>；</w:t>
      </w:r>
    </w:p>
    <w:p>
      <w:pPr>
        <w:spacing w:line="360" w:lineRule="auto"/>
        <w:ind w:left="15" w:leftChars="7" w:firstLine="726" w:firstLineChars="346"/>
        <w:rPr>
          <w:rFonts w:ascii="Times New Roman" w:hAnsi="Times New Roman"/>
          <w:bCs/>
          <w:szCs w:val="20"/>
        </w:rPr>
      </w:pPr>
      <w:r>
        <w:rPr>
          <w:rFonts w:ascii="Times New Roman" w:hAnsi="Times New Roman"/>
          <w:i/>
          <w:szCs w:val="21"/>
        </w:rPr>
        <w:t>t</w:t>
      </w:r>
      <w:r>
        <w:rPr>
          <w:rFonts w:ascii="Times New Roman" w:hAnsi="Times New Roman"/>
          <w:szCs w:val="21"/>
        </w:rPr>
        <w:t>——</w:t>
      </w:r>
      <w:r>
        <w:rPr>
          <w:rFonts w:hint="eastAsia" w:ascii="Times New Roman" w:hAnsi="Times New Roman"/>
          <w:szCs w:val="21"/>
        </w:rPr>
        <w:t>电磁波在混凝土中的双程传播时间，</w:t>
      </w:r>
      <w:r>
        <w:rPr>
          <w:rFonts w:ascii="Times New Roman" w:hAnsi="Times New Roman"/>
          <w:szCs w:val="21"/>
        </w:rPr>
        <w:t>s</w:t>
      </w:r>
      <w:r>
        <w:rPr>
          <w:rFonts w:hint="eastAsia" w:ascii="Times New Roman" w:hAnsi="Times New Roman"/>
          <w:szCs w:val="21"/>
        </w:rPr>
        <w:t>。</w:t>
      </w:r>
    </w:p>
    <w:p>
      <w:pPr>
        <w:tabs>
          <w:tab w:val="left" w:pos="6020"/>
        </w:tabs>
        <w:spacing w:line="400" w:lineRule="exact"/>
        <w:ind w:firstLine="756" w:firstLineChars="360"/>
        <w:rPr>
          <w:rFonts w:ascii="Times New Roman" w:hAnsi="Times New Roman"/>
          <w:bCs/>
          <w:szCs w:val="20"/>
        </w:rPr>
      </w:pPr>
    </w:p>
    <w:p>
      <w:pPr>
        <w:rPr>
          <w:rFonts w:hint="eastAsia" w:ascii="宋体" w:hAnsi="宋体" w:eastAsia="宋体" w:cs="宋体"/>
        </w:rPr>
      </w:pPr>
      <w:r>
        <w:rPr>
          <w:rFonts w:hint="eastAsia" w:ascii="宋体" w:hAnsi="宋体" w:eastAsia="宋体" w:cs="宋体"/>
        </w:rPr>
        <w:br w:type="page"/>
      </w:r>
    </w:p>
    <w:p>
      <w:pPr>
        <w:pStyle w:val="2"/>
        <w:spacing w:before="240" w:after="240" w:afterLines="100" w:line="360" w:lineRule="auto"/>
        <w:rPr>
          <w:rFonts w:hint="eastAsia" w:ascii="黑体" w:hAnsi="黑体" w:eastAsia="黑体" w:cs="黑体"/>
          <w:b w:val="0"/>
          <w:bCs w:val="0"/>
          <w:sz w:val="28"/>
          <w:szCs w:val="28"/>
        </w:rPr>
      </w:pPr>
      <w:bookmarkStart w:id="197" w:name="_Toc12257"/>
      <w:r>
        <w:rPr>
          <w:rFonts w:hint="eastAsia" w:ascii="黑体" w:hAnsi="黑体" w:eastAsia="黑体" w:cs="黑体"/>
          <w:b w:val="0"/>
          <w:bCs w:val="0"/>
          <w:sz w:val="28"/>
          <w:szCs w:val="28"/>
        </w:rPr>
        <w:t>附录F  超声波法测混凝土表面损伤层厚度</w:t>
      </w:r>
      <w:bookmarkEnd w:id="197"/>
    </w:p>
    <w:p>
      <w:pPr>
        <w:tabs>
          <w:tab w:val="left" w:pos="6020"/>
        </w:tabs>
        <w:spacing w:line="360" w:lineRule="auto"/>
        <w:rPr>
          <w:rFonts w:ascii="Times New Roman" w:hAnsi="Times New Roman"/>
          <w:bCs/>
          <w:szCs w:val="20"/>
        </w:rPr>
      </w:pPr>
      <w:r>
        <w:rPr>
          <w:rFonts w:hint="eastAsia" w:ascii="黑体" w:hAnsi="黑体" w:eastAsia="黑体" w:cs="黑体"/>
        </w:rPr>
        <w:t>F.0.1</w:t>
      </w:r>
      <w:r>
        <w:rPr>
          <w:rFonts w:ascii="Times New Roman" w:hAnsi="Times New Roman" w:eastAsia="黑体"/>
          <w:b/>
          <w:bCs/>
          <w:szCs w:val="20"/>
        </w:rPr>
        <w:t xml:space="preserve">  </w:t>
      </w:r>
      <w:r>
        <w:rPr>
          <w:rFonts w:ascii="Times New Roman" w:hAnsi="Times New Roman"/>
          <w:bCs/>
          <w:szCs w:val="20"/>
        </w:rPr>
        <w:t>本方法适用于检测混凝土表面损伤层厚度和</w:t>
      </w:r>
      <w:r>
        <w:rPr>
          <w:rFonts w:hint="eastAsia" w:ascii="Times New Roman" w:hAnsi="Times New Roman"/>
          <w:bCs/>
          <w:szCs w:val="20"/>
        </w:rPr>
        <w:t>结构</w:t>
      </w:r>
      <w:r>
        <w:rPr>
          <w:rFonts w:ascii="Times New Roman" w:hAnsi="Times New Roman"/>
          <w:bCs/>
          <w:szCs w:val="20"/>
        </w:rPr>
        <w:t>厚度。</w:t>
      </w:r>
    </w:p>
    <w:p>
      <w:pPr>
        <w:tabs>
          <w:tab w:val="left" w:pos="6020"/>
        </w:tabs>
        <w:spacing w:line="360" w:lineRule="auto"/>
        <w:rPr>
          <w:rFonts w:ascii="Times New Roman" w:hAnsi="Times New Roman"/>
          <w:bCs/>
          <w:szCs w:val="20"/>
        </w:rPr>
      </w:pPr>
      <w:r>
        <w:rPr>
          <w:rFonts w:hint="eastAsia" w:ascii="黑体" w:hAnsi="黑体" w:eastAsia="黑体" w:cs="黑体"/>
        </w:rPr>
        <w:t xml:space="preserve">F.0.2 </w:t>
      </w:r>
      <w:r>
        <w:rPr>
          <w:rFonts w:ascii="Times New Roman" w:hAnsi="Times New Roman" w:eastAsia="黑体"/>
          <w:b/>
          <w:bCs/>
          <w:szCs w:val="20"/>
        </w:rPr>
        <w:t xml:space="preserve"> </w:t>
      </w:r>
      <w:r>
        <w:rPr>
          <w:rFonts w:ascii="Times New Roman" w:hAnsi="Times New Roman"/>
          <w:bCs/>
          <w:szCs w:val="20"/>
        </w:rPr>
        <w:t>仪器设备及其技术要求应符合SL/T 352有关规定。</w:t>
      </w:r>
    </w:p>
    <w:p>
      <w:pPr>
        <w:tabs>
          <w:tab w:val="left" w:pos="6020"/>
        </w:tabs>
        <w:spacing w:line="360" w:lineRule="auto"/>
        <w:rPr>
          <w:rFonts w:ascii="Times New Roman" w:hAnsi="Times New Roman"/>
          <w:bCs/>
          <w:szCs w:val="20"/>
        </w:rPr>
      </w:pPr>
      <w:r>
        <w:rPr>
          <w:rFonts w:hint="eastAsia" w:ascii="黑体" w:hAnsi="黑体" w:eastAsia="黑体" w:cs="黑体"/>
        </w:rPr>
        <w:t xml:space="preserve">F.0.3 </w:t>
      </w:r>
      <w:r>
        <w:rPr>
          <w:rFonts w:ascii="Times New Roman" w:hAnsi="Times New Roman" w:eastAsia="黑体"/>
          <w:b/>
          <w:bCs/>
          <w:szCs w:val="20"/>
        </w:rPr>
        <w:t xml:space="preserve"> </w:t>
      </w:r>
      <w:r>
        <w:rPr>
          <w:rFonts w:ascii="Times New Roman" w:hAnsi="Times New Roman"/>
          <w:bCs/>
          <w:szCs w:val="20"/>
        </w:rPr>
        <w:t>表面损伤层厚度检测应符合下列要求：</w:t>
      </w:r>
    </w:p>
    <w:p>
      <w:pPr>
        <w:tabs>
          <w:tab w:val="left" w:pos="6020"/>
        </w:tabs>
        <w:spacing w:line="360" w:lineRule="auto"/>
        <w:ind w:firstLine="420" w:firstLineChars="200"/>
        <w:rPr>
          <w:rFonts w:ascii="Times New Roman" w:hAnsi="Times New Roman"/>
          <w:bCs/>
          <w:szCs w:val="20"/>
        </w:rPr>
      </w:pPr>
      <w:r>
        <w:rPr>
          <w:rFonts w:hint="eastAsia" w:ascii="黑体" w:hAnsi="黑体" w:eastAsia="黑体" w:cs="黑体"/>
        </w:rPr>
        <w:t>1</w:t>
      </w:r>
      <w:r>
        <w:rPr>
          <w:rFonts w:ascii="Times New Roman" w:hAnsi="Times New Roman" w:eastAsia="黑体"/>
          <w:b/>
          <w:bCs/>
          <w:szCs w:val="20"/>
        </w:rPr>
        <w:t xml:space="preserve">  </w:t>
      </w:r>
      <w:r>
        <w:rPr>
          <w:rFonts w:ascii="Times New Roman" w:hAnsi="Times New Roman"/>
          <w:bCs/>
          <w:szCs w:val="20"/>
        </w:rPr>
        <w:t>测线布置</w:t>
      </w:r>
    </w:p>
    <w:p>
      <w:pPr>
        <w:tabs>
          <w:tab w:val="left" w:pos="6020"/>
        </w:tabs>
        <w:spacing w:line="360" w:lineRule="auto"/>
        <w:ind w:firstLine="703" w:firstLineChars="335"/>
        <w:rPr>
          <w:rFonts w:ascii="Times New Roman" w:hAnsi="Times New Roman"/>
          <w:bCs/>
          <w:szCs w:val="20"/>
        </w:rPr>
      </w:pPr>
      <w:r>
        <w:rPr>
          <w:rFonts w:hint="eastAsia" w:ascii="黑体" w:hAnsi="黑体" w:eastAsia="黑体" w:cs="黑体"/>
        </w:rPr>
        <w:t>1）</w:t>
      </w:r>
      <w:r>
        <w:rPr>
          <w:rFonts w:ascii="Times New Roman" w:hAnsi="Times New Roman"/>
          <w:bCs/>
          <w:szCs w:val="20"/>
        </w:rPr>
        <w:t>被测区测线布置不少于三条，且不得穿过接缝。</w:t>
      </w:r>
    </w:p>
    <w:p>
      <w:pPr>
        <w:tabs>
          <w:tab w:val="left" w:pos="6020"/>
        </w:tabs>
        <w:spacing w:line="360" w:lineRule="auto"/>
        <w:ind w:firstLine="703" w:firstLineChars="335"/>
        <w:rPr>
          <w:rFonts w:ascii="Times New Roman" w:hAnsi="Times New Roman"/>
          <w:bCs/>
          <w:szCs w:val="20"/>
        </w:rPr>
      </w:pPr>
      <w:r>
        <w:rPr>
          <w:rFonts w:hint="eastAsia" w:ascii="黑体" w:hAnsi="黑体" w:eastAsia="黑体" w:cs="黑体"/>
        </w:rPr>
        <w:t>2）</w:t>
      </w:r>
      <w:r>
        <w:rPr>
          <w:rFonts w:ascii="Times New Roman" w:hAnsi="Times New Roman"/>
          <w:bCs/>
          <w:szCs w:val="20"/>
        </w:rPr>
        <w:t>测线投影不应与主钢筋重合。</w:t>
      </w:r>
    </w:p>
    <w:p>
      <w:pPr>
        <w:tabs>
          <w:tab w:val="left" w:pos="6020"/>
        </w:tabs>
        <w:spacing w:line="360" w:lineRule="auto"/>
        <w:ind w:firstLine="703" w:firstLineChars="335"/>
        <w:rPr>
          <w:rFonts w:ascii="Times New Roman" w:hAnsi="Times New Roman"/>
          <w:bCs/>
          <w:szCs w:val="20"/>
        </w:rPr>
      </w:pPr>
      <w:r>
        <w:rPr>
          <w:rFonts w:hint="eastAsia" w:ascii="黑体" w:hAnsi="黑体" w:eastAsia="黑体" w:cs="黑体"/>
        </w:rPr>
        <w:t>3）</w:t>
      </w:r>
      <w:r>
        <w:rPr>
          <w:rFonts w:ascii="Times New Roman" w:hAnsi="Times New Roman"/>
          <w:bCs/>
          <w:szCs w:val="20"/>
        </w:rPr>
        <w:t>测试表面应平整，且无饰面层。</w:t>
      </w:r>
    </w:p>
    <w:p>
      <w:pPr>
        <w:tabs>
          <w:tab w:val="left" w:pos="6020"/>
        </w:tabs>
        <w:spacing w:line="360" w:lineRule="auto"/>
        <w:ind w:firstLine="420" w:firstLineChars="200"/>
        <w:rPr>
          <w:rFonts w:ascii="Times New Roman" w:hAnsi="Times New Roman"/>
          <w:bCs/>
          <w:szCs w:val="20"/>
        </w:rPr>
      </w:pPr>
      <w:r>
        <w:rPr>
          <w:rFonts w:hint="eastAsia" w:ascii="黑体" w:hAnsi="黑体" w:eastAsia="黑体" w:cs="黑体"/>
        </w:rPr>
        <w:t>2</w:t>
      </w:r>
      <w:r>
        <w:rPr>
          <w:rFonts w:ascii="Times New Roman" w:hAnsi="Times New Roman" w:eastAsia="黑体"/>
          <w:b/>
          <w:bCs/>
          <w:szCs w:val="20"/>
        </w:rPr>
        <w:t xml:space="preserve">  </w:t>
      </w:r>
      <w:r>
        <w:rPr>
          <w:rFonts w:ascii="Times New Roman" w:hAnsi="Times New Roman"/>
          <w:bCs/>
          <w:szCs w:val="20"/>
        </w:rPr>
        <w:t>一条测线内的测点不宜少于10个，且间距不宜大于10</w:t>
      </w:r>
      <w:r>
        <w:rPr>
          <w:rFonts w:hint="eastAsia" w:ascii="Times New Roman" w:hAnsi="Times New Roman"/>
          <w:bCs/>
          <w:szCs w:val="20"/>
        </w:rPr>
        <w:t>c</w:t>
      </w:r>
      <w:r>
        <w:rPr>
          <w:rFonts w:ascii="Times New Roman" w:hAnsi="Times New Roman"/>
          <w:bCs/>
          <w:szCs w:val="20"/>
        </w:rPr>
        <w:t>m。</w:t>
      </w:r>
    </w:p>
    <w:p>
      <w:pPr>
        <w:spacing w:line="360" w:lineRule="auto"/>
        <w:rPr>
          <w:rFonts w:ascii="Times New Roman" w:hAnsi="Times New Roman"/>
          <w:bCs/>
          <w:szCs w:val="20"/>
        </w:rPr>
      </w:pPr>
      <w:r>
        <w:rPr>
          <w:rFonts w:hint="eastAsia" w:ascii="黑体" w:hAnsi="黑体" w:eastAsia="黑体" w:cs="黑体"/>
        </w:rPr>
        <w:t xml:space="preserve">F.0.4 </w:t>
      </w:r>
      <w:r>
        <w:rPr>
          <w:rFonts w:ascii="Times New Roman" w:hAnsi="Times New Roman" w:eastAsia="黑体"/>
          <w:b/>
          <w:bCs/>
          <w:szCs w:val="20"/>
        </w:rPr>
        <w:t xml:space="preserve"> </w:t>
      </w:r>
      <w:r>
        <w:rPr>
          <w:rFonts w:ascii="Times New Roman" w:hAnsi="Times New Roman"/>
          <w:bCs/>
          <w:szCs w:val="20"/>
        </w:rPr>
        <w:t>表面损伤层厚度检测数据处理应按以下规定执行：</w:t>
      </w:r>
    </w:p>
    <w:p>
      <w:pPr>
        <w:spacing w:line="360" w:lineRule="auto"/>
        <w:ind w:firstLine="411" w:firstLineChars="196"/>
        <w:rPr>
          <w:rFonts w:ascii="Times New Roman" w:hAnsi="Times New Roman"/>
          <w:bCs/>
          <w:szCs w:val="20"/>
        </w:rPr>
      </w:pPr>
      <w:r>
        <w:rPr>
          <w:rFonts w:hint="eastAsia" w:ascii="黑体" w:hAnsi="黑体" w:eastAsia="黑体" w:cs="黑体"/>
        </w:rPr>
        <w:t>1</w:t>
      </w:r>
      <w:r>
        <w:rPr>
          <w:rFonts w:ascii="Times New Roman" w:hAnsi="Times New Roman" w:eastAsia="黑体"/>
          <w:b/>
          <w:bCs/>
          <w:szCs w:val="20"/>
        </w:rPr>
        <w:t xml:space="preserve">  </w:t>
      </w:r>
      <w:r>
        <w:rPr>
          <w:rFonts w:ascii="Times New Roman" w:hAnsi="Times New Roman"/>
          <w:bCs/>
          <w:szCs w:val="20"/>
        </w:rPr>
        <w:t>绘制“时间-距离”关系曲线图，如图</w:t>
      </w:r>
      <w:r>
        <w:rPr>
          <w:rFonts w:hint="eastAsia" w:ascii="Times New Roman" w:hAnsi="Times New Roman"/>
          <w:bCs/>
          <w:szCs w:val="20"/>
        </w:rPr>
        <w:t>F.0.</w:t>
      </w:r>
      <w:r>
        <w:rPr>
          <w:rFonts w:ascii="Times New Roman" w:hAnsi="Times New Roman"/>
          <w:bCs/>
          <w:szCs w:val="20"/>
        </w:rPr>
        <w:t>4所示。</w:t>
      </w:r>
    </w:p>
    <w:p>
      <w:pPr>
        <w:jc w:val="center"/>
        <w:rPr>
          <w:rFonts w:ascii="Times New Roman" w:hAnsi="Times New Roman" w:eastAsia="仿宋_GB2312"/>
          <w:sz w:val="24"/>
          <w:szCs w:val="24"/>
        </w:rPr>
      </w:pPr>
      <w:r>
        <w:rPr>
          <w:rFonts w:ascii="Times New Roman" w:hAnsi="Times New Roman"/>
        </w:rPr>
        <w:drawing>
          <wp:inline distT="0" distB="0" distL="114300" distR="114300">
            <wp:extent cx="2509520" cy="2076450"/>
            <wp:effectExtent l="0" t="0" r="5080" b="0"/>
            <wp:docPr id="1309"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 name="图片 46"/>
                    <pic:cNvPicPr>
                      <a:picLocks noChangeAspect="1"/>
                    </pic:cNvPicPr>
                  </pic:nvPicPr>
                  <pic:blipFill>
                    <a:blip r:embed="rId76"/>
                    <a:srcRect l="16667" r="29167"/>
                    <a:stretch>
                      <a:fillRect/>
                    </a:stretch>
                  </pic:blipFill>
                  <pic:spPr>
                    <a:xfrm>
                      <a:off x="0" y="0"/>
                      <a:ext cx="2509520" cy="2076450"/>
                    </a:xfrm>
                    <a:prstGeom prst="rect">
                      <a:avLst/>
                    </a:prstGeom>
                    <a:noFill/>
                    <a:ln>
                      <a:noFill/>
                    </a:ln>
                  </pic:spPr>
                </pic:pic>
              </a:graphicData>
            </a:graphic>
          </wp:inline>
        </w:drawing>
      </w:r>
    </w:p>
    <w:p>
      <w:pPr>
        <w:spacing w:line="500" w:lineRule="exact"/>
        <w:jc w:val="center"/>
        <w:rPr>
          <w:rFonts w:ascii="Times New Roman" w:hAnsi="Times New Roman" w:eastAsia="黑体"/>
          <w:sz w:val="15"/>
          <w:szCs w:val="15"/>
        </w:rPr>
      </w:pPr>
      <w:r>
        <w:rPr>
          <w:rFonts w:ascii="Times New Roman" w:hAnsi="Times New Roman" w:eastAsia="黑体"/>
          <w:sz w:val="18"/>
          <w:szCs w:val="18"/>
        </w:rPr>
        <w:t>图</w:t>
      </w:r>
      <w:r>
        <w:rPr>
          <w:rFonts w:hint="eastAsia" w:ascii="Times New Roman" w:hAnsi="Times New Roman" w:eastAsia="黑体"/>
          <w:sz w:val="18"/>
          <w:szCs w:val="18"/>
        </w:rPr>
        <w:t>F.0.</w:t>
      </w:r>
      <w:r>
        <w:rPr>
          <w:rFonts w:ascii="Times New Roman" w:hAnsi="Times New Roman" w:eastAsia="黑体"/>
          <w:sz w:val="18"/>
          <w:szCs w:val="18"/>
        </w:rPr>
        <w:t>4 损伤层厚度检测</w:t>
      </w:r>
      <w:r>
        <w:rPr>
          <w:rFonts w:hint="eastAsia" w:ascii="Times New Roman" w:hAnsi="Times New Roman" w:eastAsia="黑体"/>
          <w:sz w:val="18"/>
          <w:szCs w:val="18"/>
        </w:rPr>
        <w:t>“</w:t>
      </w:r>
      <w:r>
        <w:rPr>
          <w:rFonts w:ascii="Times New Roman" w:hAnsi="Times New Roman" w:eastAsia="黑体"/>
          <w:sz w:val="18"/>
          <w:szCs w:val="18"/>
        </w:rPr>
        <w:t>时间-距离</w:t>
      </w:r>
      <w:r>
        <w:rPr>
          <w:rFonts w:hint="eastAsia" w:ascii="Times New Roman" w:hAnsi="Times New Roman" w:eastAsia="黑体"/>
          <w:sz w:val="18"/>
          <w:szCs w:val="18"/>
        </w:rPr>
        <w:t>”</w:t>
      </w:r>
      <w:r>
        <w:rPr>
          <w:rFonts w:ascii="Times New Roman" w:hAnsi="Times New Roman" w:eastAsia="黑体"/>
          <w:sz w:val="18"/>
          <w:szCs w:val="18"/>
        </w:rPr>
        <w:t>关系曲线图</w:t>
      </w:r>
    </w:p>
    <w:p>
      <w:pPr>
        <w:spacing w:line="360" w:lineRule="auto"/>
        <w:ind w:firstLine="451"/>
        <w:rPr>
          <w:rFonts w:ascii="Times New Roman" w:hAnsi="Times New Roman"/>
          <w:bCs/>
          <w:szCs w:val="20"/>
        </w:rPr>
      </w:pPr>
      <w:r>
        <w:rPr>
          <w:rFonts w:hint="eastAsia" w:ascii="黑体" w:hAnsi="黑体" w:eastAsia="黑体" w:cs="黑体"/>
        </w:rPr>
        <w:t>2</w:t>
      </w:r>
      <w:r>
        <w:rPr>
          <w:rFonts w:ascii="Times New Roman" w:hAnsi="Times New Roman"/>
          <w:b/>
          <w:bCs/>
          <w:szCs w:val="20"/>
        </w:rPr>
        <w:t xml:space="preserve">  </w:t>
      </w:r>
      <w:r>
        <w:rPr>
          <w:rFonts w:ascii="Times New Roman" w:hAnsi="Times New Roman"/>
          <w:bCs/>
          <w:szCs w:val="20"/>
        </w:rPr>
        <w:t>用回归分析方法分别求出损伤、未损伤混凝土测距（L）与声时（t）的回归直线方程。</w:t>
      </w:r>
    </w:p>
    <w:p>
      <w:pPr>
        <w:tabs>
          <w:tab w:val="left" w:pos="6020"/>
        </w:tabs>
        <w:spacing w:line="360" w:lineRule="auto"/>
        <w:ind w:firstLine="420" w:firstLineChars="200"/>
        <w:rPr>
          <w:rFonts w:ascii="Times New Roman" w:hAnsi="Times New Roman"/>
          <w:bCs/>
          <w:szCs w:val="20"/>
        </w:rPr>
      </w:pPr>
      <w:r>
        <w:rPr>
          <w:rFonts w:ascii="Times New Roman" w:hAnsi="Times New Roman"/>
          <w:bCs/>
          <w:szCs w:val="20"/>
        </w:rPr>
        <w:t>损伤混凝土</w:t>
      </w:r>
      <w:r>
        <w:rPr>
          <w:rFonts w:ascii="Times New Roman" w:hAnsi="Times New Roman"/>
          <w:bCs/>
          <w:i/>
          <w:szCs w:val="20"/>
        </w:rPr>
        <w:t>L</w:t>
      </w:r>
      <w:r>
        <w:rPr>
          <w:rFonts w:ascii="Times New Roman" w:hAnsi="Times New Roman"/>
          <w:bCs/>
          <w:i/>
          <w:szCs w:val="20"/>
          <w:vertAlign w:val="subscript"/>
        </w:rPr>
        <w:t>f</w:t>
      </w:r>
      <w:r>
        <w:rPr>
          <w:rFonts w:ascii="Times New Roman" w:hAnsi="Times New Roman"/>
          <w:bCs/>
          <w:szCs w:val="20"/>
        </w:rPr>
        <w:t>按公式（</w:t>
      </w:r>
      <w:r>
        <w:rPr>
          <w:rFonts w:hint="eastAsia" w:ascii="Times New Roman" w:hAnsi="Times New Roman"/>
          <w:bCs/>
          <w:szCs w:val="20"/>
        </w:rPr>
        <w:t>F.0.</w:t>
      </w:r>
      <w:r>
        <w:rPr>
          <w:rFonts w:ascii="Times New Roman" w:hAnsi="Times New Roman"/>
          <w:bCs/>
          <w:szCs w:val="20"/>
        </w:rPr>
        <w:t>4-1）计算：</w:t>
      </w:r>
    </w:p>
    <w:p>
      <w:pPr>
        <w:jc w:val="right"/>
        <w:rPr>
          <w:rFonts w:ascii="Times New Roman" w:hAnsi="Times New Roman"/>
          <w:bCs/>
          <w:szCs w:val="20"/>
        </w:rPr>
      </w:pPr>
      <w:r>
        <w:rPr>
          <w:rFonts w:ascii="Times New Roman" w:hAnsi="Times New Roman"/>
          <w:bCs/>
          <w:position w:val="-26"/>
          <w:szCs w:val="20"/>
        </w:rPr>
        <w:drawing>
          <wp:inline distT="0" distB="0" distL="114300" distR="114300">
            <wp:extent cx="1005840" cy="365760"/>
            <wp:effectExtent l="0" t="0" r="0" b="0"/>
            <wp:docPr id="1310"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0" name="图片 47"/>
                    <pic:cNvPicPr>
                      <a:picLocks noChangeAspect="1"/>
                    </pic:cNvPicPr>
                  </pic:nvPicPr>
                  <pic:blipFill>
                    <a:blip r:embed="rId77"/>
                    <a:stretch>
                      <a:fillRect/>
                    </a:stretch>
                  </pic:blipFill>
                  <pic:spPr>
                    <a:xfrm>
                      <a:off x="0" y="0"/>
                      <a:ext cx="1005840" cy="365760"/>
                    </a:xfrm>
                    <a:prstGeom prst="rect">
                      <a:avLst/>
                    </a:prstGeom>
                    <a:noFill/>
                    <a:ln>
                      <a:noFill/>
                    </a:ln>
                  </pic:spPr>
                </pic:pic>
              </a:graphicData>
            </a:graphic>
          </wp:inline>
        </w:drawing>
      </w:r>
      <w:r>
        <w:rPr>
          <w:rFonts w:ascii="Times New Roman" w:hAnsi="Times New Roman"/>
          <w:bCs/>
          <w:szCs w:val="20"/>
        </w:rPr>
        <w:t xml:space="preserve">                     （</w:t>
      </w:r>
      <w:r>
        <w:rPr>
          <w:rFonts w:hint="eastAsia" w:ascii="Times New Roman" w:hAnsi="Times New Roman"/>
          <w:bCs/>
          <w:szCs w:val="20"/>
        </w:rPr>
        <w:t>F.0.</w:t>
      </w:r>
      <w:r>
        <w:rPr>
          <w:rFonts w:ascii="Times New Roman" w:hAnsi="Times New Roman"/>
          <w:bCs/>
          <w:szCs w:val="20"/>
        </w:rPr>
        <w:t>4-1）</w:t>
      </w:r>
    </w:p>
    <w:p>
      <w:pPr>
        <w:tabs>
          <w:tab w:val="left" w:pos="6020"/>
        </w:tabs>
        <w:spacing w:line="360" w:lineRule="auto"/>
        <w:ind w:firstLine="420" w:firstLineChars="200"/>
        <w:rPr>
          <w:rFonts w:ascii="Times New Roman" w:hAnsi="Times New Roman"/>
          <w:bCs/>
          <w:szCs w:val="20"/>
        </w:rPr>
      </w:pPr>
      <w:r>
        <w:rPr>
          <w:rFonts w:ascii="Times New Roman" w:hAnsi="Times New Roman"/>
          <w:bCs/>
          <w:szCs w:val="20"/>
        </w:rPr>
        <w:t>未损伤混凝土</w:t>
      </w:r>
      <w:r>
        <w:rPr>
          <w:rFonts w:ascii="Times New Roman" w:hAnsi="Times New Roman"/>
          <w:bCs/>
          <w:position w:val="-8"/>
          <w:szCs w:val="20"/>
        </w:rPr>
        <w:drawing>
          <wp:inline distT="0" distB="0" distL="114300" distR="114300">
            <wp:extent cx="182880" cy="182880"/>
            <wp:effectExtent l="0" t="0" r="6985" b="5080"/>
            <wp:docPr id="1311"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 name="图片 48"/>
                    <pic:cNvPicPr>
                      <a:picLocks noChangeAspect="1"/>
                    </pic:cNvPicPr>
                  </pic:nvPicPr>
                  <pic:blipFill>
                    <a:blip r:embed="rId78"/>
                    <a:stretch>
                      <a:fillRect/>
                    </a:stretch>
                  </pic:blipFill>
                  <pic:spPr>
                    <a:xfrm>
                      <a:off x="0" y="0"/>
                      <a:ext cx="182880" cy="182880"/>
                    </a:xfrm>
                    <a:prstGeom prst="rect">
                      <a:avLst/>
                    </a:prstGeom>
                    <a:noFill/>
                    <a:ln>
                      <a:noFill/>
                    </a:ln>
                  </pic:spPr>
                </pic:pic>
              </a:graphicData>
            </a:graphic>
          </wp:inline>
        </w:drawing>
      </w:r>
      <w:r>
        <w:rPr>
          <w:rFonts w:ascii="Times New Roman" w:hAnsi="Times New Roman"/>
          <w:bCs/>
          <w:szCs w:val="20"/>
        </w:rPr>
        <w:t>按公式（</w:t>
      </w:r>
      <w:r>
        <w:rPr>
          <w:rFonts w:hint="eastAsia" w:ascii="Times New Roman" w:hAnsi="Times New Roman"/>
          <w:bCs/>
          <w:szCs w:val="20"/>
        </w:rPr>
        <w:t>F.0.</w:t>
      </w:r>
      <w:r>
        <w:rPr>
          <w:rFonts w:ascii="Times New Roman" w:hAnsi="Times New Roman"/>
          <w:bCs/>
          <w:szCs w:val="20"/>
        </w:rPr>
        <w:t>4-2）计算：</w:t>
      </w:r>
    </w:p>
    <w:p>
      <w:pPr>
        <w:ind w:firstLine="420"/>
        <w:jc w:val="right"/>
        <w:rPr>
          <w:rFonts w:ascii="Times New Roman" w:hAnsi="Times New Roman"/>
          <w:bCs/>
          <w:szCs w:val="20"/>
        </w:rPr>
      </w:pPr>
      <w:r>
        <w:rPr>
          <w:rFonts w:ascii="Times New Roman" w:hAnsi="Times New Roman"/>
          <w:bCs/>
          <w:position w:val="-26"/>
          <w:szCs w:val="20"/>
        </w:rPr>
        <w:drawing>
          <wp:inline distT="0" distB="0" distL="114300" distR="114300">
            <wp:extent cx="913765" cy="365760"/>
            <wp:effectExtent l="0" t="0" r="635" b="0"/>
            <wp:docPr id="800"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0" name="图片 49"/>
                    <pic:cNvPicPr>
                      <a:picLocks noChangeAspect="1"/>
                    </pic:cNvPicPr>
                  </pic:nvPicPr>
                  <pic:blipFill>
                    <a:blip r:embed="rId79"/>
                    <a:stretch>
                      <a:fillRect/>
                    </a:stretch>
                  </pic:blipFill>
                  <pic:spPr>
                    <a:xfrm>
                      <a:off x="0" y="0"/>
                      <a:ext cx="913765" cy="365760"/>
                    </a:xfrm>
                    <a:prstGeom prst="rect">
                      <a:avLst/>
                    </a:prstGeom>
                    <a:noFill/>
                    <a:ln>
                      <a:noFill/>
                    </a:ln>
                  </pic:spPr>
                </pic:pic>
              </a:graphicData>
            </a:graphic>
          </wp:inline>
        </w:drawing>
      </w:r>
      <w:r>
        <w:rPr>
          <w:rFonts w:ascii="Times New Roman" w:hAnsi="Times New Roman"/>
          <w:bCs/>
          <w:szCs w:val="20"/>
        </w:rPr>
        <w:t xml:space="preserve">                      （</w:t>
      </w:r>
      <w:r>
        <w:rPr>
          <w:rFonts w:hint="eastAsia" w:ascii="Times New Roman" w:hAnsi="Times New Roman"/>
          <w:bCs/>
          <w:szCs w:val="20"/>
        </w:rPr>
        <w:t>F.0.</w:t>
      </w:r>
      <w:r>
        <w:rPr>
          <w:rFonts w:ascii="Times New Roman" w:hAnsi="Times New Roman"/>
          <w:bCs/>
          <w:szCs w:val="20"/>
        </w:rPr>
        <w:t>4-2）</w:t>
      </w:r>
    </w:p>
    <w:p>
      <w:pPr>
        <w:tabs>
          <w:tab w:val="left" w:pos="6020"/>
        </w:tabs>
        <w:spacing w:line="360" w:lineRule="auto"/>
        <w:rPr>
          <w:rFonts w:ascii="Times New Roman" w:hAnsi="Times New Roman"/>
          <w:bCs/>
          <w:szCs w:val="20"/>
        </w:rPr>
      </w:pPr>
      <w:r>
        <w:rPr>
          <w:rFonts w:ascii="Times New Roman" w:hAnsi="Times New Roman"/>
          <w:bCs/>
          <w:szCs w:val="20"/>
        </w:rPr>
        <w:t xml:space="preserve">式中  </w:t>
      </w:r>
      <w:r>
        <w:rPr>
          <w:rFonts w:ascii="Times New Roman" w:hAnsi="Times New Roman"/>
          <w:bCs/>
          <w:i/>
          <w:szCs w:val="20"/>
        </w:rPr>
        <w:t>L</w:t>
      </w:r>
      <w:r>
        <w:rPr>
          <w:rFonts w:ascii="Times New Roman" w:hAnsi="Times New Roman"/>
          <w:bCs/>
          <w:i/>
          <w:szCs w:val="20"/>
          <w:vertAlign w:val="subscript"/>
        </w:rPr>
        <w:t>f</w:t>
      </w:r>
      <w:r>
        <w:rPr>
          <w:rFonts w:ascii="Times New Roman" w:hAnsi="Times New Roman"/>
          <w:bCs/>
          <w:szCs w:val="20"/>
        </w:rPr>
        <w:t>——拐点前各测点的测距（</w:t>
      </w:r>
      <w:r>
        <w:rPr>
          <w:rFonts w:ascii="Times New Roman" w:hAnsi="Times New Roman"/>
          <w:szCs w:val="21"/>
        </w:rPr>
        <w:t>mm</w:t>
      </w:r>
      <w:r>
        <w:rPr>
          <w:rFonts w:ascii="Times New Roman" w:hAnsi="Times New Roman"/>
          <w:bCs/>
          <w:szCs w:val="20"/>
        </w:rPr>
        <w:t>），对应于图</w:t>
      </w:r>
      <w:r>
        <w:rPr>
          <w:rFonts w:hint="eastAsia" w:ascii="Times New Roman" w:hAnsi="Times New Roman"/>
          <w:bCs/>
          <w:szCs w:val="20"/>
        </w:rPr>
        <w:t>F.0.</w:t>
      </w:r>
      <w:r>
        <w:rPr>
          <w:rFonts w:ascii="Times New Roman" w:hAnsi="Times New Roman"/>
          <w:bCs/>
          <w:szCs w:val="20"/>
        </w:rPr>
        <w:t>4中的L</w:t>
      </w:r>
      <w:r>
        <w:rPr>
          <w:rFonts w:ascii="Times New Roman" w:hAnsi="Times New Roman"/>
          <w:bCs/>
          <w:szCs w:val="20"/>
          <w:vertAlign w:val="subscript"/>
        </w:rPr>
        <w:t>1</w:t>
      </w:r>
      <w:r>
        <w:rPr>
          <w:rFonts w:ascii="Times New Roman" w:hAnsi="Times New Roman"/>
          <w:bCs/>
          <w:szCs w:val="20"/>
        </w:rPr>
        <w:t>、L</w:t>
      </w:r>
      <w:r>
        <w:rPr>
          <w:rFonts w:ascii="Times New Roman" w:hAnsi="Times New Roman"/>
          <w:bCs/>
          <w:szCs w:val="20"/>
          <w:vertAlign w:val="subscript"/>
        </w:rPr>
        <w:t>2</w:t>
      </w:r>
      <w:r>
        <w:rPr>
          <w:rFonts w:ascii="Times New Roman" w:hAnsi="Times New Roman"/>
          <w:bCs/>
          <w:szCs w:val="20"/>
        </w:rPr>
        <w:t>、L</w:t>
      </w:r>
      <w:r>
        <w:rPr>
          <w:rFonts w:ascii="Times New Roman" w:hAnsi="Times New Roman"/>
          <w:bCs/>
          <w:szCs w:val="20"/>
          <w:vertAlign w:val="subscript"/>
        </w:rPr>
        <w:t>3</w:t>
      </w:r>
      <w:r>
        <w:rPr>
          <w:rFonts w:ascii="Times New Roman" w:hAnsi="Times New Roman"/>
          <w:bCs/>
          <w:szCs w:val="20"/>
        </w:rPr>
        <w:t>；</w:t>
      </w:r>
    </w:p>
    <w:p>
      <w:pPr>
        <w:tabs>
          <w:tab w:val="left" w:pos="6020"/>
        </w:tabs>
        <w:spacing w:line="360" w:lineRule="auto"/>
        <w:ind w:firstLine="697" w:firstLineChars="332"/>
        <w:rPr>
          <w:rFonts w:ascii="Times New Roman" w:hAnsi="Times New Roman"/>
          <w:bCs/>
          <w:szCs w:val="20"/>
        </w:rPr>
      </w:pPr>
      <w:r>
        <w:rPr>
          <w:rFonts w:ascii="Times New Roman" w:hAnsi="Times New Roman"/>
          <w:bCs/>
          <w:i/>
          <w:szCs w:val="20"/>
        </w:rPr>
        <w:t>t</w:t>
      </w:r>
      <w:r>
        <w:rPr>
          <w:rFonts w:ascii="Times New Roman" w:hAnsi="Times New Roman"/>
          <w:bCs/>
          <w:i/>
          <w:szCs w:val="20"/>
          <w:vertAlign w:val="subscript"/>
        </w:rPr>
        <w:t>f</w:t>
      </w:r>
      <w:r>
        <w:rPr>
          <w:rFonts w:ascii="Times New Roman" w:hAnsi="Times New Roman"/>
          <w:bCs/>
          <w:szCs w:val="20"/>
        </w:rPr>
        <w:t>——对应于图</w:t>
      </w:r>
      <w:r>
        <w:rPr>
          <w:rFonts w:hint="eastAsia" w:ascii="Times New Roman" w:hAnsi="Times New Roman"/>
          <w:bCs/>
          <w:szCs w:val="20"/>
        </w:rPr>
        <w:t>F.0.</w:t>
      </w:r>
      <w:r>
        <w:rPr>
          <w:rFonts w:ascii="Times New Roman" w:hAnsi="Times New Roman"/>
          <w:bCs/>
          <w:szCs w:val="20"/>
        </w:rPr>
        <w:t>4中L</w:t>
      </w:r>
      <w:r>
        <w:rPr>
          <w:rFonts w:ascii="Times New Roman" w:hAnsi="Times New Roman"/>
          <w:bCs/>
          <w:szCs w:val="20"/>
          <w:vertAlign w:val="subscript"/>
        </w:rPr>
        <w:t>1</w:t>
      </w:r>
      <w:r>
        <w:rPr>
          <w:rFonts w:ascii="Times New Roman" w:hAnsi="Times New Roman"/>
          <w:bCs/>
          <w:szCs w:val="20"/>
        </w:rPr>
        <w:t>、L</w:t>
      </w:r>
      <w:r>
        <w:rPr>
          <w:rFonts w:ascii="Times New Roman" w:hAnsi="Times New Roman"/>
          <w:bCs/>
          <w:szCs w:val="20"/>
          <w:vertAlign w:val="subscript"/>
        </w:rPr>
        <w:t>2</w:t>
      </w:r>
      <w:r>
        <w:rPr>
          <w:rFonts w:ascii="Times New Roman" w:hAnsi="Times New Roman"/>
          <w:bCs/>
          <w:szCs w:val="20"/>
        </w:rPr>
        <w:t>、L</w:t>
      </w:r>
      <w:r>
        <w:rPr>
          <w:rFonts w:ascii="Times New Roman" w:hAnsi="Times New Roman"/>
          <w:bCs/>
          <w:szCs w:val="20"/>
          <w:vertAlign w:val="subscript"/>
        </w:rPr>
        <w:t>3</w:t>
      </w:r>
      <w:r>
        <w:rPr>
          <w:rFonts w:ascii="Times New Roman" w:hAnsi="Times New Roman"/>
          <w:bCs/>
          <w:szCs w:val="20"/>
        </w:rPr>
        <w:t>的声时（</w:t>
      </w:r>
      <w:r>
        <w:rPr>
          <w:rFonts w:ascii="Times New Roman" w:hAnsi="Times New Roman"/>
          <w:szCs w:val="21"/>
        </w:rPr>
        <w:t>µs</w:t>
      </w:r>
      <w:r>
        <w:rPr>
          <w:rFonts w:ascii="Times New Roman" w:hAnsi="Times New Roman"/>
          <w:bCs/>
          <w:szCs w:val="20"/>
        </w:rPr>
        <w:t>）t</w:t>
      </w:r>
      <w:r>
        <w:rPr>
          <w:rFonts w:ascii="Times New Roman" w:hAnsi="Times New Roman"/>
          <w:bCs/>
          <w:szCs w:val="20"/>
          <w:vertAlign w:val="subscript"/>
        </w:rPr>
        <w:t>1</w:t>
      </w:r>
      <w:r>
        <w:rPr>
          <w:rFonts w:ascii="Times New Roman" w:hAnsi="Times New Roman"/>
          <w:bCs/>
          <w:szCs w:val="20"/>
        </w:rPr>
        <w:t>、t</w:t>
      </w:r>
      <w:r>
        <w:rPr>
          <w:rFonts w:ascii="Times New Roman" w:hAnsi="Times New Roman"/>
          <w:bCs/>
          <w:szCs w:val="20"/>
          <w:vertAlign w:val="subscript"/>
        </w:rPr>
        <w:t>2</w:t>
      </w:r>
      <w:r>
        <w:rPr>
          <w:rFonts w:ascii="Times New Roman" w:hAnsi="Times New Roman"/>
          <w:bCs/>
          <w:szCs w:val="20"/>
        </w:rPr>
        <w:t>、t</w:t>
      </w:r>
      <w:r>
        <w:rPr>
          <w:rFonts w:ascii="Times New Roman" w:hAnsi="Times New Roman"/>
          <w:bCs/>
          <w:szCs w:val="20"/>
          <w:vertAlign w:val="subscript"/>
        </w:rPr>
        <w:t>3</w:t>
      </w:r>
      <w:r>
        <w:rPr>
          <w:rFonts w:ascii="Times New Roman" w:hAnsi="Times New Roman"/>
          <w:bCs/>
          <w:szCs w:val="20"/>
        </w:rPr>
        <w:t>；</w:t>
      </w:r>
    </w:p>
    <w:p>
      <w:pPr>
        <w:tabs>
          <w:tab w:val="left" w:pos="6020"/>
        </w:tabs>
        <w:spacing w:line="360" w:lineRule="auto"/>
        <w:ind w:firstLine="598" w:firstLineChars="285"/>
        <w:rPr>
          <w:rFonts w:ascii="Times New Roman" w:hAnsi="Times New Roman"/>
          <w:bCs/>
          <w:szCs w:val="20"/>
        </w:rPr>
      </w:pPr>
      <w:r>
        <w:rPr>
          <w:rFonts w:ascii="Times New Roman" w:hAnsi="Times New Roman"/>
          <w:bCs/>
          <w:i/>
          <w:szCs w:val="20"/>
        </w:rPr>
        <w:t>L</w:t>
      </w:r>
      <w:r>
        <w:rPr>
          <w:rFonts w:ascii="Times New Roman" w:hAnsi="Times New Roman"/>
          <w:bCs/>
          <w:i/>
          <w:szCs w:val="20"/>
          <w:vertAlign w:val="subscript"/>
        </w:rPr>
        <w:t>a</w:t>
      </w:r>
      <w:r>
        <w:rPr>
          <w:rFonts w:ascii="Times New Roman" w:hAnsi="Times New Roman"/>
          <w:bCs/>
          <w:szCs w:val="20"/>
        </w:rPr>
        <w:t>——拐点后各测点的测距（</w:t>
      </w:r>
      <w:r>
        <w:rPr>
          <w:rFonts w:ascii="Times New Roman" w:hAnsi="Times New Roman"/>
          <w:szCs w:val="21"/>
        </w:rPr>
        <w:t>mm</w:t>
      </w:r>
      <w:r>
        <w:rPr>
          <w:rFonts w:ascii="Times New Roman" w:hAnsi="Times New Roman"/>
          <w:bCs/>
          <w:szCs w:val="20"/>
        </w:rPr>
        <w:t>），对应于图</w:t>
      </w:r>
      <w:r>
        <w:rPr>
          <w:rFonts w:hint="eastAsia" w:ascii="Times New Roman" w:hAnsi="Times New Roman"/>
          <w:bCs/>
          <w:szCs w:val="20"/>
        </w:rPr>
        <w:t>E.0.</w:t>
      </w:r>
      <w:r>
        <w:rPr>
          <w:rFonts w:ascii="Times New Roman" w:hAnsi="Times New Roman"/>
          <w:bCs/>
          <w:szCs w:val="20"/>
        </w:rPr>
        <w:t>4中的L</w:t>
      </w:r>
      <w:r>
        <w:rPr>
          <w:rFonts w:ascii="Times New Roman" w:hAnsi="Times New Roman"/>
          <w:bCs/>
          <w:szCs w:val="20"/>
          <w:vertAlign w:val="subscript"/>
        </w:rPr>
        <w:t>4</w:t>
      </w:r>
      <w:r>
        <w:rPr>
          <w:rFonts w:ascii="Times New Roman" w:hAnsi="Times New Roman"/>
          <w:bCs/>
          <w:szCs w:val="20"/>
        </w:rPr>
        <w:t>、L</w:t>
      </w:r>
      <w:r>
        <w:rPr>
          <w:rFonts w:ascii="Times New Roman" w:hAnsi="Times New Roman"/>
          <w:bCs/>
          <w:szCs w:val="20"/>
          <w:vertAlign w:val="subscript"/>
        </w:rPr>
        <w:t>5</w:t>
      </w:r>
      <w:r>
        <w:rPr>
          <w:rFonts w:ascii="Times New Roman" w:hAnsi="Times New Roman"/>
          <w:bCs/>
          <w:szCs w:val="20"/>
        </w:rPr>
        <w:t>、L</w:t>
      </w:r>
      <w:r>
        <w:rPr>
          <w:rFonts w:ascii="Times New Roman" w:hAnsi="Times New Roman"/>
          <w:bCs/>
          <w:szCs w:val="20"/>
          <w:vertAlign w:val="subscript"/>
        </w:rPr>
        <w:t>6</w:t>
      </w:r>
      <w:r>
        <w:rPr>
          <w:rFonts w:ascii="Times New Roman" w:hAnsi="Times New Roman"/>
          <w:bCs/>
          <w:szCs w:val="20"/>
        </w:rPr>
        <w:t>；</w:t>
      </w:r>
    </w:p>
    <w:p>
      <w:pPr>
        <w:tabs>
          <w:tab w:val="left" w:pos="6020"/>
        </w:tabs>
        <w:spacing w:line="360" w:lineRule="auto"/>
        <w:ind w:firstLine="676" w:firstLineChars="322"/>
        <w:rPr>
          <w:rFonts w:ascii="Times New Roman" w:hAnsi="Times New Roman"/>
          <w:bCs/>
          <w:szCs w:val="20"/>
        </w:rPr>
      </w:pPr>
      <w:r>
        <w:rPr>
          <w:rFonts w:ascii="Times New Roman" w:hAnsi="Times New Roman"/>
          <w:bCs/>
          <w:i/>
          <w:szCs w:val="20"/>
        </w:rPr>
        <w:t>t</w:t>
      </w:r>
      <w:r>
        <w:rPr>
          <w:rFonts w:ascii="Times New Roman" w:hAnsi="Times New Roman"/>
          <w:bCs/>
          <w:i/>
          <w:szCs w:val="20"/>
          <w:vertAlign w:val="subscript"/>
        </w:rPr>
        <w:t>a</w:t>
      </w:r>
      <w:r>
        <w:rPr>
          <w:rFonts w:ascii="Times New Roman" w:hAnsi="Times New Roman"/>
          <w:bCs/>
          <w:szCs w:val="20"/>
        </w:rPr>
        <w:t>——对应于测距L</w:t>
      </w:r>
      <w:r>
        <w:rPr>
          <w:rFonts w:ascii="Times New Roman" w:hAnsi="Times New Roman"/>
          <w:bCs/>
          <w:szCs w:val="20"/>
          <w:vertAlign w:val="subscript"/>
        </w:rPr>
        <w:t>4</w:t>
      </w:r>
      <w:r>
        <w:rPr>
          <w:rFonts w:ascii="Times New Roman" w:hAnsi="Times New Roman"/>
          <w:bCs/>
          <w:szCs w:val="20"/>
        </w:rPr>
        <w:t>、L</w:t>
      </w:r>
      <w:r>
        <w:rPr>
          <w:rFonts w:ascii="Times New Roman" w:hAnsi="Times New Roman"/>
          <w:bCs/>
          <w:szCs w:val="20"/>
          <w:vertAlign w:val="subscript"/>
        </w:rPr>
        <w:t>5</w:t>
      </w:r>
      <w:r>
        <w:rPr>
          <w:rFonts w:ascii="Times New Roman" w:hAnsi="Times New Roman"/>
          <w:bCs/>
          <w:szCs w:val="20"/>
        </w:rPr>
        <w:t>、L</w:t>
      </w:r>
      <w:r>
        <w:rPr>
          <w:rFonts w:ascii="Times New Roman" w:hAnsi="Times New Roman"/>
          <w:bCs/>
          <w:szCs w:val="20"/>
          <w:vertAlign w:val="subscript"/>
        </w:rPr>
        <w:t>6</w:t>
      </w:r>
      <w:r>
        <w:rPr>
          <w:rFonts w:ascii="Times New Roman" w:hAnsi="Times New Roman"/>
          <w:bCs/>
          <w:szCs w:val="20"/>
        </w:rPr>
        <w:t>的声时（</w:t>
      </w:r>
      <w:r>
        <w:rPr>
          <w:rFonts w:ascii="Times New Roman" w:hAnsi="Times New Roman"/>
          <w:szCs w:val="21"/>
        </w:rPr>
        <w:t>µs</w:t>
      </w:r>
      <w:r>
        <w:rPr>
          <w:rFonts w:ascii="Times New Roman" w:hAnsi="Times New Roman"/>
          <w:bCs/>
          <w:szCs w:val="20"/>
        </w:rPr>
        <w:t>）t</w:t>
      </w:r>
      <w:r>
        <w:rPr>
          <w:rFonts w:ascii="Times New Roman" w:hAnsi="Times New Roman"/>
          <w:bCs/>
          <w:szCs w:val="20"/>
          <w:vertAlign w:val="subscript"/>
        </w:rPr>
        <w:t>4</w:t>
      </w:r>
      <w:r>
        <w:rPr>
          <w:rFonts w:ascii="Times New Roman" w:hAnsi="Times New Roman"/>
          <w:bCs/>
          <w:szCs w:val="20"/>
        </w:rPr>
        <w:t>、t</w:t>
      </w:r>
      <w:r>
        <w:rPr>
          <w:rFonts w:ascii="Times New Roman" w:hAnsi="Times New Roman"/>
          <w:bCs/>
          <w:szCs w:val="20"/>
          <w:vertAlign w:val="subscript"/>
        </w:rPr>
        <w:t>5</w:t>
      </w:r>
      <w:r>
        <w:rPr>
          <w:rFonts w:ascii="Times New Roman" w:hAnsi="Times New Roman"/>
          <w:bCs/>
          <w:szCs w:val="20"/>
        </w:rPr>
        <w:t>、t</w:t>
      </w:r>
      <w:r>
        <w:rPr>
          <w:rFonts w:ascii="Times New Roman" w:hAnsi="Times New Roman"/>
          <w:bCs/>
          <w:szCs w:val="20"/>
          <w:vertAlign w:val="subscript"/>
        </w:rPr>
        <w:t>6</w:t>
      </w:r>
      <w:r>
        <w:rPr>
          <w:rFonts w:ascii="Times New Roman" w:hAnsi="Times New Roman"/>
          <w:bCs/>
          <w:szCs w:val="20"/>
        </w:rPr>
        <w:t>；</w:t>
      </w:r>
    </w:p>
    <w:p>
      <w:pPr>
        <w:tabs>
          <w:tab w:val="left" w:pos="6020"/>
        </w:tabs>
        <w:spacing w:line="360" w:lineRule="auto"/>
        <w:ind w:firstLine="283" w:firstLineChars="135"/>
        <w:rPr>
          <w:rFonts w:ascii="Times New Roman" w:hAnsi="Times New Roman"/>
          <w:bCs/>
          <w:szCs w:val="20"/>
        </w:rPr>
      </w:pPr>
      <w:r>
        <w:rPr>
          <w:rFonts w:ascii="Times New Roman" w:hAnsi="Times New Roman"/>
          <w:bCs/>
          <w:i/>
          <w:szCs w:val="20"/>
        </w:rPr>
        <w:t>a</w:t>
      </w:r>
      <w:r>
        <w:rPr>
          <w:rFonts w:ascii="Times New Roman" w:hAnsi="Times New Roman"/>
          <w:bCs/>
          <w:szCs w:val="20"/>
          <w:vertAlign w:val="subscript"/>
        </w:rPr>
        <w:t>1</w:t>
      </w:r>
      <w:r>
        <w:rPr>
          <w:rFonts w:ascii="Times New Roman" w:hAnsi="Times New Roman"/>
          <w:bCs/>
          <w:szCs w:val="20"/>
        </w:rPr>
        <w:t>、</w:t>
      </w:r>
      <w:r>
        <w:rPr>
          <w:rFonts w:ascii="Times New Roman" w:hAnsi="Times New Roman"/>
          <w:bCs/>
          <w:i/>
          <w:szCs w:val="20"/>
        </w:rPr>
        <w:t>b</w:t>
      </w:r>
      <w:r>
        <w:rPr>
          <w:rFonts w:ascii="Times New Roman" w:hAnsi="Times New Roman"/>
          <w:bCs/>
          <w:szCs w:val="20"/>
          <w:vertAlign w:val="subscript"/>
        </w:rPr>
        <w:t>1</w:t>
      </w:r>
      <w:r>
        <w:rPr>
          <w:rFonts w:ascii="Times New Roman" w:hAnsi="Times New Roman"/>
          <w:bCs/>
          <w:szCs w:val="20"/>
        </w:rPr>
        <w:t>——回归系数，即图</w:t>
      </w:r>
      <w:r>
        <w:rPr>
          <w:rFonts w:hint="eastAsia" w:ascii="Times New Roman" w:hAnsi="Times New Roman"/>
          <w:bCs/>
          <w:szCs w:val="20"/>
        </w:rPr>
        <w:t>F.0.</w:t>
      </w:r>
      <w:r>
        <w:rPr>
          <w:rFonts w:ascii="Times New Roman" w:hAnsi="Times New Roman"/>
          <w:bCs/>
          <w:szCs w:val="20"/>
        </w:rPr>
        <w:t>4中损伤混凝土直线的截距和斜率；</w:t>
      </w:r>
    </w:p>
    <w:p>
      <w:pPr>
        <w:tabs>
          <w:tab w:val="left" w:pos="6020"/>
        </w:tabs>
        <w:spacing w:line="360" w:lineRule="auto"/>
        <w:ind w:firstLine="273" w:firstLineChars="130"/>
        <w:rPr>
          <w:rFonts w:ascii="Times New Roman" w:hAnsi="Times New Roman"/>
          <w:bCs/>
          <w:szCs w:val="20"/>
        </w:rPr>
      </w:pPr>
      <w:r>
        <w:rPr>
          <w:rFonts w:ascii="Times New Roman" w:hAnsi="Times New Roman"/>
          <w:bCs/>
          <w:i/>
          <w:szCs w:val="20"/>
        </w:rPr>
        <w:t>a</w:t>
      </w:r>
      <w:r>
        <w:rPr>
          <w:rFonts w:ascii="Times New Roman" w:hAnsi="Times New Roman"/>
          <w:bCs/>
          <w:szCs w:val="20"/>
          <w:vertAlign w:val="subscript"/>
        </w:rPr>
        <w:t>2</w:t>
      </w:r>
      <w:r>
        <w:rPr>
          <w:rFonts w:ascii="Times New Roman" w:hAnsi="Times New Roman"/>
          <w:bCs/>
          <w:szCs w:val="20"/>
        </w:rPr>
        <w:t>、</w:t>
      </w:r>
      <w:r>
        <w:rPr>
          <w:rFonts w:ascii="Times New Roman" w:hAnsi="Times New Roman"/>
          <w:bCs/>
          <w:i/>
          <w:szCs w:val="20"/>
        </w:rPr>
        <w:t>b</w:t>
      </w:r>
      <w:r>
        <w:rPr>
          <w:rFonts w:ascii="Times New Roman" w:hAnsi="Times New Roman"/>
          <w:bCs/>
          <w:szCs w:val="20"/>
          <w:vertAlign w:val="subscript"/>
        </w:rPr>
        <w:t>2</w:t>
      </w:r>
      <w:r>
        <w:rPr>
          <w:rFonts w:ascii="Times New Roman" w:hAnsi="Times New Roman"/>
          <w:bCs/>
          <w:szCs w:val="20"/>
        </w:rPr>
        <w:t>——回归系数，即图</w:t>
      </w:r>
      <w:r>
        <w:rPr>
          <w:rFonts w:hint="eastAsia" w:ascii="Times New Roman" w:hAnsi="Times New Roman"/>
          <w:bCs/>
          <w:szCs w:val="20"/>
        </w:rPr>
        <w:t>F.0.</w:t>
      </w:r>
      <w:r>
        <w:rPr>
          <w:rFonts w:ascii="Times New Roman" w:hAnsi="Times New Roman"/>
          <w:bCs/>
          <w:szCs w:val="20"/>
        </w:rPr>
        <w:t>4中未损伤混凝土直线的截距和斜率。</w:t>
      </w:r>
    </w:p>
    <w:p>
      <w:pPr>
        <w:spacing w:line="360" w:lineRule="auto"/>
        <w:ind w:firstLine="420" w:firstLineChars="200"/>
        <w:jc w:val="left"/>
        <w:rPr>
          <w:rFonts w:ascii="Times New Roman" w:hAnsi="Times New Roman"/>
          <w:bCs/>
          <w:szCs w:val="20"/>
        </w:rPr>
      </w:pPr>
      <w:r>
        <w:rPr>
          <w:rFonts w:hint="eastAsia" w:ascii="黑体" w:hAnsi="黑体" w:eastAsia="黑体" w:cs="黑体"/>
        </w:rPr>
        <w:t>3</w:t>
      </w:r>
      <w:r>
        <w:rPr>
          <w:rFonts w:ascii="Times New Roman" w:hAnsi="Times New Roman" w:eastAsia="黑体"/>
          <w:b/>
          <w:bCs/>
          <w:szCs w:val="20"/>
        </w:rPr>
        <w:t xml:space="preserve">  </w:t>
      </w:r>
      <w:r>
        <w:rPr>
          <w:rFonts w:ascii="Times New Roman" w:hAnsi="Times New Roman"/>
          <w:bCs/>
          <w:szCs w:val="20"/>
        </w:rPr>
        <w:t>混凝土表面损伤层厚度应按式（</w:t>
      </w:r>
      <w:r>
        <w:rPr>
          <w:rFonts w:hint="eastAsia" w:ascii="Times New Roman" w:hAnsi="Times New Roman"/>
          <w:bCs/>
          <w:szCs w:val="20"/>
        </w:rPr>
        <w:t>F.0.</w:t>
      </w:r>
      <w:r>
        <w:rPr>
          <w:rFonts w:ascii="Times New Roman" w:hAnsi="Times New Roman"/>
          <w:bCs/>
          <w:szCs w:val="20"/>
        </w:rPr>
        <w:t>4-3）和（</w:t>
      </w:r>
      <w:r>
        <w:rPr>
          <w:rFonts w:hint="eastAsia" w:ascii="Times New Roman" w:hAnsi="Times New Roman"/>
          <w:bCs/>
          <w:szCs w:val="20"/>
        </w:rPr>
        <w:t>F.0.</w:t>
      </w:r>
      <w:r>
        <w:rPr>
          <w:rFonts w:ascii="Times New Roman" w:hAnsi="Times New Roman"/>
          <w:bCs/>
          <w:szCs w:val="20"/>
        </w:rPr>
        <w:t>4-4）计算：</w:t>
      </w:r>
    </w:p>
    <w:p>
      <w:pPr>
        <w:jc w:val="right"/>
        <w:rPr>
          <w:rFonts w:ascii="Times New Roman" w:hAnsi="Times New Roman"/>
          <w:bCs/>
          <w:szCs w:val="20"/>
        </w:rPr>
      </w:pPr>
      <w:r>
        <w:rPr>
          <w:rFonts w:ascii="Times New Roman" w:hAnsi="Times New Roman"/>
          <w:bCs/>
          <w:position w:val="-22"/>
          <w:szCs w:val="20"/>
        </w:rPr>
        <w:drawing>
          <wp:inline distT="0" distB="0" distL="114300" distR="114300">
            <wp:extent cx="1097280" cy="457200"/>
            <wp:effectExtent l="0" t="0" r="0" b="0"/>
            <wp:docPr id="801"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1" name="图片 50"/>
                    <pic:cNvPicPr>
                      <a:picLocks noChangeAspect="1"/>
                    </pic:cNvPicPr>
                  </pic:nvPicPr>
                  <pic:blipFill>
                    <a:blip r:embed="rId80"/>
                    <a:stretch>
                      <a:fillRect/>
                    </a:stretch>
                  </pic:blipFill>
                  <pic:spPr>
                    <a:xfrm>
                      <a:off x="0" y="0"/>
                      <a:ext cx="1097280" cy="457200"/>
                    </a:xfrm>
                    <a:prstGeom prst="rect">
                      <a:avLst/>
                    </a:prstGeom>
                    <a:noFill/>
                    <a:ln>
                      <a:noFill/>
                    </a:ln>
                  </pic:spPr>
                </pic:pic>
              </a:graphicData>
            </a:graphic>
          </wp:inline>
        </w:drawing>
      </w:r>
      <w:r>
        <w:rPr>
          <w:rFonts w:ascii="Times New Roman" w:hAnsi="Times New Roman"/>
          <w:bCs/>
          <w:szCs w:val="20"/>
        </w:rPr>
        <w:t xml:space="preserve">                      （</w:t>
      </w:r>
      <w:r>
        <w:rPr>
          <w:rFonts w:hint="eastAsia" w:ascii="Times New Roman" w:hAnsi="Times New Roman"/>
          <w:bCs/>
          <w:szCs w:val="20"/>
        </w:rPr>
        <w:t>F.0.</w:t>
      </w:r>
      <w:r>
        <w:rPr>
          <w:rFonts w:ascii="Times New Roman" w:hAnsi="Times New Roman"/>
          <w:bCs/>
          <w:szCs w:val="20"/>
        </w:rPr>
        <w:t>4-3）</w:t>
      </w:r>
    </w:p>
    <w:p>
      <w:pPr>
        <w:jc w:val="right"/>
        <w:rPr>
          <w:rFonts w:ascii="Times New Roman" w:hAnsi="Times New Roman"/>
          <w:bCs/>
          <w:szCs w:val="20"/>
        </w:rPr>
      </w:pPr>
      <w:r>
        <w:rPr>
          <w:rFonts w:ascii="Times New Roman" w:hAnsi="Times New Roman"/>
          <w:bCs/>
          <w:position w:val="-24"/>
          <w:szCs w:val="20"/>
        </w:rPr>
        <w:drawing>
          <wp:inline distT="0" distB="0" distL="114300" distR="114300">
            <wp:extent cx="1188720" cy="457200"/>
            <wp:effectExtent l="0" t="0" r="11430" b="0"/>
            <wp:docPr id="802"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2" name="图片 51"/>
                    <pic:cNvPicPr>
                      <a:picLocks noChangeAspect="1"/>
                    </pic:cNvPicPr>
                  </pic:nvPicPr>
                  <pic:blipFill>
                    <a:blip r:embed="rId81"/>
                    <a:stretch>
                      <a:fillRect/>
                    </a:stretch>
                  </pic:blipFill>
                  <pic:spPr>
                    <a:xfrm>
                      <a:off x="0" y="0"/>
                      <a:ext cx="1188720" cy="457200"/>
                    </a:xfrm>
                    <a:prstGeom prst="rect">
                      <a:avLst/>
                    </a:prstGeom>
                    <a:noFill/>
                    <a:ln>
                      <a:noFill/>
                    </a:ln>
                  </pic:spPr>
                </pic:pic>
              </a:graphicData>
            </a:graphic>
          </wp:inline>
        </w:drawing>
      </w:r>
      <w:r>
        <w:rPr>
          <w:rFonts w:ascii="Times New Roman" w:hAnsi="Times New Roman"/>
          <w:bCs/>
          <w:szCs w:val="20"/>
        </w:rPr>
        <w:t xml:space="preserve">                     （</w:t>
      </w:r>
      <w:r>
        <w:rPr>
          <w:rFonts w:hint="eastAsia" w:ascii="Times New Roman" w:hAnsi="Times New Roman"/>
          <w:bCs/>
          <w:szCs w:val="20"/>
        </w:rPr>
        <w:t>F.0.</w:t>
      </w:r>
      <w:r>
        <w:rPr>
          <w:rFonts w:ascii="Times New Roman" w:hAnsi="Times New Roman"/>
          <w:bCs/>
          <w:szCs w:val="20"/>
        </w:rPr>
        <w:t>4-4）</w:t>
      </w:r>
    </w:p>
    <w:p>
      <w:pPr>
        <w:tabs>
          <w:tab w:val="left" w:pos="6020"/>
        </w:tabs>
        <w:spacing w:line="360" w:lineRule="auto"/>
        <w:rPr>
          <w:rFonts w:ascii="Times New Roman" w:hAnsi="Times New Roman"/>
          <w:bCs/>
          <w:szCs w:val="20"/>
        </w:rPr>
      </w:pPr>
      <w:r>
        <w:rPr>
          <w:rFonts w:ascii="Times New Roman" w:hAnsi="Times New Roman"/>
          <w:bCs/>
          <w:szCs w:val="20"/>
        </w:rPr>
        <w:t xml:space="preserve">式中  </w:t>
      </w:r>
      <w:r>
        <w:rPr>
          <w:rFonts w:ascii="Times New Roman" w:hAnsi="Times New Roman"/>
          <w:bCs/>
          <w:i/>
          <w:szCs w:val="20"/>
        </w:rPr>
        <w:t>L</w:t>
      </w:r>
      <w:r>
        <w:rPr>
          <w:rFonts w:ascii="Times New Roman" w:hAnsi="Times New Roman"/>
          <w:bCs/>
          <w:szCs w:val="20"/>
          <w:vertAlign w:val="subscript"/>
        </w:rPr>
        <w:t>0</w:t>
      </w:r>
      <w:r>
        <w:rPr>
          <w:rFonts w:ascii="Times New Roman" w:hAnsi="Times New Roman"/>
          <w:bCs/>
          <w:szCs w:val="20"/>
        </w:rPr>
        <w:t>——拐点的测距，</w:t>
      </w:r>
      <w:r>
        <w:rPr>
          <w:rFonts w:ascii="Times New Roman" w:hAnsi="Times New Roman"/>
          <w:szCs w:val="21"/>
        </w:rPr>
        <w:t>mm</w:t>
      </w:r>
      <w:r>
        <w:rPr>
          <w:rFonts w:ascii="Times New Roman" w:hAnsi="Times New Roman"/>
          <w:bCs/>
          <w:szCs w:val="20"/>
        </w:rPr>
        <w:t>。</w:t>
      </w:r>
    </w:p>
    <w:p>
      <w:pPr>
        <w:tabs>
          <w:tab w:val="left" w:pos="6020"/>
        </w:tabs>
        <w:spacing w:line="360" w:lineRule="auto"/>
        <w:ind w:firstLine="541" w:firstLineChars="258"/>
        <w:rPr>
          <w:rFonts w:ascii="Times New Roman" w:hAnsi="Times New Roman"/>
          <w:bCs/>
          <w:szCs w:val="20"/>
        </w:rPr>
      </w:pPr>
      <w:r>
        <w:rPr>
          <w:rFonts w:ascii="Times New Roman" w:hAnsi="Times New Roman"/>
          <w:bCs/>
          <w:position w:val="-14"/>
          <w:szCs w:val="20"/>
        </w:rPr>
        <w:drawing>
          <wp:inline distT="0" distB="0" distL="114300" distR="114300">
            <wp:extent cx="182880" cy="182880"/>
            <wp:effectExtent l="0" t="0" r="0" b="6350"/>
            <wp:docPr id="803"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3" name="图片 52"/>
                    <pic:cNvPicPr>
                      <a:picLocks noChangeAspect="1"/>
                    </pic:cNvPicPr>
                  </pic:nvPicPr>
                  <pic:blipFill>
                    <a:blip r:embed="rId82"/>
                    <a:stretch>
                      <a:fillRect/>
                    </a:stretch>
                  </pic:blipFill>
                  <pic:spPr>
                    <a:xfrm>
                      <a:off x="0" y="0"/>
                      <a:ext cx="182880" cy="182880"/>
                    </a:xfrm>
                    <a:prstGeom prst="rect">
                      <a:avLst/>
                    </a:prstGeom>
                    <a:noFill/>
                    <a:ln>
                      <a:noFill/>
                    </a:ln>
                  </pic:spPr>
                </pic:pic>
              </a:graphicData>
            </a:graphic>
          </wp:inline>
        </w:drawing>
      </w:r>
      <w:r>
        <w:rPr>
          <w:rFonts w:ascii="Times New Roman" w:hAnsi="Times New Roman"/>
          <w:bCs/>
          <w:szCs w:val="20"/>
        </w:rPr>
        <w:t>——损伤层厚度，</w:t>
      </w:r>
      <w:r>
        <w:rPr>
          <w:rFonts w:ascii="Times New Roman" w:hAnsi="Times New Roman"/>
          <w:szCs w:val="21"/>
        </w:rPr>
        <w:t>mm</w:t>
      </w:r>
      <w:r>
        <w:rPr>
          <w:rFonts w:ascii="Times New Roman" w:hAnsi="Times New Roman"/>
          <w:bCs/>
          <w:szCs w:val="20"/>
        </w:rPr>
        <w:t>。</w:t>
      </w:r>
    </w:p>
    <w:p>
      <w:pPr>
        <w:tabs>
          <w:tab w:val="left" w:pos="6020"/>
        </w:tabs>
        <w:spacing w:line="360" w:lineRule="auto"/>
        <w:rPr>
          <w:rFonts w:ascii="Times New Roman" w:hAnsi="Times New Roman"/>
          <w:bCs/>
          <w:szCs w:val="20"/>
        </w:rPr>
      </w:pPr>
      <w:r>
        <w:rPr>
          <w:rFonts w:hint="eastAsia" w:ascii="黑体" w:hAnsi="黑体" w:eastAsia="黑体" w:cs="黑体"/>
        </w:rPr>
        <w:t>F.0.5</w:t>
      </w:r>
      <w:r>
        <w:rPr>
          <w:rFonts w:ascii="Times New Roman" w:hAnsi="Times New Roman" w:eastAsia="黑体"/>
          <w:b/>
          <w:bCs/>
          <w:szCs w:val="20"/>
        </w:rPr>
        <w:t xml:space="preserve">  </w:t>
      </w:r>
      <w:r>
        <w:rPr>
          <w:rFonts w:hint="eastAsia" w:ascii="Times New Roman" w:hAnsi="Times New Roman"/>
          <w:bCs/>
          <w:szCs w:val="20"/>
        </w:rPr>
        <w:t>结构</w:t>
      </w:r>
      <w:r>
        <w:rPr>
          <w:rFonts w:ascii="Times New Roman" w:hAnsi="Times New Roman"/>
          <w:bCs/>
          <w:szCs w:val="20"/>
        </w:rPr>
        <w:t>厚度检测应符合下列要求：</w:t>
      </w:r>
    </w:p>
    <w:p>
      <w:pPr>
        <w:tabs>
          <w:tab w:val="left" w:pos="6020"/>
        </w:tabs>
        <w:spacing w:line="360" w:lineRule="auto"/>
        <w:ind w:firstLine="420" w:firstLineChars="200"/>
        <w:rPr>
          <w:rFonts w:ascii="Times New Roman" w:hAnsi="Times New Roman"/>
          <w:bCs/>
          <w:szCs w:val="20"/>
        </w:rPr>
      </w:pPr>
      <w:r>
        <w:rPr>
          <w:rFonts w:hint="eastAsia" w:ascii="黑体" w:hAnsi="黑体" w:eastAsia="黑体" w:cs="黑体"/>
        </w:rPr>
        <w:t>1</w:t>
      </w:r>
      <w:r>
        <w:rPr>
          <w:rFonts w:ascii="Times New Roman" w:hAnsi="Times New Roman"/>
          <w:bCs/>
          <w:szCs w:val="20"/>
        </w:rPr>
        <w:t xml:space="preserve">  具有一对相对平行的测试面；</w:t>
      </w:r>
    </w:p>
    <w:p>
      <w:pPr>
        <w:tabs>
          <w:tab w:val="left" w:pos="6020"/>
        </w:tabs>
        <w:spacing w:line="360" w:lineRule="auto"/>
        <w:ind w:firstLine="420" w:firstLineChars="200"/>
        <w:rPr>
          <w:rFonts w:ascii="Times New Roman" w:hAnsi="Times New Roman"/>
          <w:bCs/>
          <w:szCs w:val="20"/>
        </w:rPr>
      </w:pPr>
      <w:r>
        <w:rPr>
          <w:rFonts w:hint="eastAsia" w:ascii="黑体" w:hAnsi="黑体" w:eastAsia="黑体" w:cs="黑体"/>
        </w:rPr>
        <w:t xml:space="preserve">2 </w:t>
      </w:r>
      <w:r>
        <w:rPr>
          <w:rFonts w:ascii="Times New Roman" w:hAnsi="Times New Roman"/>
          <w:bCs/>
          <w:szCs w:val="20"/>
        </w:rPr>
        <w:t xml:space="preserve"> 在测试面上均匀划出网格线，网格边长亦为20cm～100cm。</w:t>
      </w:r>
    </w:p>
    <w:p>
      <w:pPr>
        <w:tabs>
          <w:tab w:val="left" w:pos="6020"/>
        </w:tabs>
        <w:spacing w:line="360" w:lineRule="auto"/>
        <w:rPr>
          <w:rFonts w:ascii="Times New Roman" w:hAnsi="Times New Roman"/>
          <w:bCs/>
          <w:szCs w:val="20"/>
        </w:rPr>
      </w:pPr>
      <w:r>
        <w:rPr>
          <w:rFonts w:hint="eastAsia" w:ascii="黑体" w:hAnsi="黑体" w:eastAsia="黑体" w:cs="黑体"/>
        </w:rPr>
        <w:t xml:space="preserve">F.0.6 </w:t>
      </w:r>
      <w:r>
        <w:rPr>
          <w:rFonts w:ascii="Times New Roman" w:hAnsi="Times New Roman" w:eastAsia="黑体"/>
          <w:b/>
          <w:bCs/>
          <w:szCs w:val="20"/>
        </w:rPr>
        <w:t xml:space="preserve"> </w:t>
      </w:r>
      <w:r>
        <w:rPr>
          <w:rFonts w:ascii="Times New Roman" w:hAnsi="Times New Roman"/>
          <w:bCs/>
          <w:szCs w:val="20"/>
        </w:rPr>
        <w:t>结构厚度检测结果应按以下规定执行：</w:t>
      </w:r>
    </w:p>
    <w:p>
      <w:pPr>
        <w:tabs>
          <w:tab w:val="left" w:pos="6020"/>
        </w:tabs>
        <w:spacing w:line="360" w:lineRule="auto"/>
        <w:ind w:firstLine="411" w:firstLineChars="196"/>
        <w:rPr>
          <w:rFonts w:ascii="Times New Roman" w:hAnsi="Times New Roman"/>
          <w:bCs/>
          <w:szCs w:val="20"/>
        </w:rPr>
      </w:pPr>
      <w:r>
        <w:rPr>
          <w:rFonts w:hint="eastAsia" w:ascii="黑体" w:hAnsi="黑体" w:eastAsia="黑体" w:cs="黑体"/>
        </w:rPr>
        <w:t>1</w:t>
      </w:r>
      <w:r>
        <w:rPr>
          <w:rFonts w:ascii="Times New Roman" w:hAnsi="Times New Roman" w:eastAsia="黑体"/>
          <w:b/>
          <w:bCs/>
          <w:szCs w:val="20"/>
        </w:rPr>
        <w:t xml:space="preserve">  </w:t>
      </w:r>
      <w:r>
        <w:rPr>
          <w:rFonts w:ascii="Times New Roman" w:hAnsi="Times New Roman"/>
          <w:bCs/>
          <w:szCs w:val="20"/>
        </w:rPr>
        <w:t>绘制图形及网格分布，将波速标于图中的各测点处。</w:t>
      </w:r>
    </w:p>
    <w:p>
      <w:pPr>
        <w:tabs>
          <w:tab w:val="left" w:pos="6020"/>
        </w:tabs>
        <w:spacing w:line="360" w:lineRule="auto"/>
        <w:ind w:firstLine="420" w:firstLineChars="200"/>
        <w:rPr>
          <w:rFonts w:ascii="Times New Roman" w:hAnsi="Times New Roman"/>
          <w:bCs/>
          <w:szCs w:val="20"/>
        </w:rPr>
      </w:pPr>
      <w:r>
        <w:rPr>
          <w:rFonts w:hint="eastAsia" w:ascii="黑体" w:hAnsi="黑体" w:eastAsia="黑体" w:cs="黑体"/>
        </w:rPr>
        <w:t>2</w:t>
      </w:r>
      <w:r>
        <w:rPr>
          <w:rFonts w:ascii="Times New Roman" w:hAnsi="Times New Roman" w:eastAsia="黑体"/>
          <w:b/>
          <w:bCs/>
          <w:szCs w:val="20"/>
        </w:rPr>
        <w:t xml:space="preserve">  </w:t>
      </w:r>
      <w:r>
        <w:rPr>
          <w:rFonts w:ascii="Times New Roman" w:hAnsi="Times New Roman"/>
          <w:bCs/>
          <w:szCs w:val="20"/>
        </w:rPr>
        <w:t>结构厚度应按式（</w:t>
      </w:r>
      <w:r>
        <w:rPr>
          <w:rFonts w:hint="eastAsia" w:ascii="Times New Roman" w:hAnsi="Times New Roman"/>
          <w:bCs/>
          <w:szCs w:val="20"/>
        </w:rPr>
        <w:t>F.0.</w:t>
      </w:r>
      <w:r>
        <w:rPr>
          <w:rFonts w:ascii="Times New Roman" w:hAnsi="Times New Roman"/>
          <w:bCs/>
          <w:szCs w:val="20"/>
        </w:rPr>
        <w:t>6）计算：</w:t>
      </w:r>
    </w:p>
    <w:p>
      <w:pPr>
        <w:tabs>
          <w:tab w:val="left" w:pos="6020"/>
        </w:tabs>
        <w:spacing w:line="360" w:lineRule="auto"/>
        <w:jc w:val="right"/>
        <w:rPr>
          <w:rFonts w:ascii="Times New Roman" w:hAnsi="Times New Roman"/>
          <w:szCs w:val="21"/>
        </w:rPr>
      </w:pPr>
      <w:r>
        <w:rPr>
          <w:rFonts w:ascii="Times New Roman" w:hAnsi="Times New Roman"/>
          <w:position w:val="-6"/>
          <w:szCs w:val="21"/>
        </w:rPr>
        <w:drawing>
          <wp:inline distT="0" distB="0" distL="114300" distR="114300">
            <wp:extent cx="457200" cy="182880"/>
            <wp:effectExtent l="0" t="0" r="0" b="6985"/>
            <wp:docPr id="804"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4" name="图片 53"/>
                    <pic:cNvPicPr>
                      <a:picLocks noChangeAspect="1"/>
                    </pic:cNvPicPr>
                  </pic:nvPicPr>
                  <pic:blipFill>
                    <a:blip r:embed="rId83"/>
                    <a:stretch>
                      <a:fillRect/>
                    </a:stretch>
                  </pic:blipFill>
                  <pic:spPr>
                    <a:xfrm>
                      <a:off x="0" y="0"/>
                      <a:ext cx="457200" cy="182880"/>
                    </a:xfrm>
                    <a:prstGeom prst="rect">
                      <a:avLst/>
                    </a:prstGeom>
                    <a:noFill/>
                    <a:ln>
                      <a:noFill/>
                    </a:ln>
                  </pic:spPr>
                </pic:pic>
              </a:graphicData>
            </a:graphic>
          </wp:inline>
        </w:drawing>
      </w:r>
      <w:r>
        <w:rPr>
          <w:rFonts w:hint="eastAsia" w:ascii="Times New Roman" w:hAnsi="Times New Roman"/>
          <w:szCs w:val="21"/>
        </w:rPr>
        <w:t>×1000</w:t>
      </w:r>
      <w:r>
        <w:rPr>
          <w:rFonts w:ascii="Times New Roman" w:hAnsi="Times New Roman"/>
          <w:szCs w:val="21"/>
        </w:rPr>
        <w:t xml:space="preserve">                            （</w:t>
      </w:r>
      <w:r>
        <w:rPr>
          <w:rFonts w:hint="eastAsia" w:ascii="Times New Roman" w:hAnsi="Times New Roman"/>
          <w:bCs/>
          <w:szCs w:val="20"/>
        </w:rPr>
        <w:t>F</w:t>
      </w:r>
      <w:r>
        <w:rPr>
          <w:rFonts w:hint="eastAsia" w:ascii="Times New Roman" w:hAnsi="Times New Roman"/>
          <w:szCs w:val="21"/>
        </w:rPr>
        <w:t>.0.</w:t>
      </w:r>
      <w:r>
        <w:rPr>
          <w:rFonts w:ascii="Times New Roman" w:hAnsi="Times New Roman"/>
          <w:szCs w:val="21"/>
        </w:rPr>
        <w:t>6）</w:t>
      </w:r>
    </w:p>
    <w:p>
      <w:pPr>
        <w:spacing w:line="360" w:lineRule="auto"/>
        <w:rPr>
          <w:rFonts w:ascii="Times New Roman" w:hAnsi="Times New Roman"/>
          <w:szCs w:val="21"/>
        </w:rPr>
      </w:pPr>
      <w:r>
        <w:rPr>
          <w:rFonts w:ascii="Times New Roman" w:hAnsi="Times New Roman"/>
          <w:szCs w:val="21"/>
        </w:rPr>
        <w:t xml:space="preserve">式中  </w:t>
      </w:r>
      <w:r>
        <w:rPr>
          <w:rFonts w:ascii="Times New Roman" w:hAnsi="Times New Roman"/>
          <w:i/>
          <w:szCs w:val="21"/>
        </w:rPr>
        <w:t>H</w:t>
      </w:r>
      <w:r>
        <w:rPr>
          <w:rFonts w:ascii="Times New Roman" w:hAnsi="Times New Roman"/>
          <w:szCs w:val="21"/>
        </w:rPr>
        <w:t>——混凝土结构厚度，</w:t>
      </w:r>
      <w:r>
        <w:rPr>
          <w:rFonts w:hint="eastAsia" w:ascii="Times New Roman" w:hAnsi="Times New Roman"/>
          <w:szCs w:val="21"/>
        </w:rPr>
        <w:t>m</w:t>
      </w:r>
      <w:r>
        <w:rPr>
          <w:rFonts w:ascii="Times New Roman" w:hAnsi="Times New Roman"/>
          <w:szCs w:val="21"/>
        </w:rPr>
        <w:t>m；</w:t>
      </w:r>
    </w:p>
    <w:p>
      <w:pPr>
        <w:spacing w:line="360" w:lineRule="auto"/>
        <w:ind w:firstLine="661" w:firstLineChars="315"/>
        <w:rPr>
          <w:rFonts w:ascii="Times New Roman" w:hAnsi="Times New Roman"/>
          <w:szCs w:val="21"/>
        </w:rPr>
      </w:pPr>
      <w:r>
        <w:rPr>
          <w:rFonts w:ascii="Times New Roman" w:hAnsi="Times New Roman"/>
          <w:i/>
          <w:szCs w:val="21"/>
        </w:rPr>
        <w:t>V</w:t>
      </w:r>
      <w:r>
        <w:rPr>
          <w:rFonts w:ascii="Times New Roman" w:hAnsi="Times New Roman"/>
          <w:szCs w:val="21"/>
        </w:rPr>
        <w:t>——混凝土声速值，m/s；</w:t>
      </w:r>
    </w:p>
    <w:p>
      <w:pPr>
        <w:spacing w:line="360" w:lineRule="auto"/>
        <w:ind w:firstLine="707" w:firstLineChars="337"/>
        <w:rPr>
          <w:rFonts w:ascii="Times New Roman" w:hAnsi="Times New Roman"/>
          <w:bCs/>
          <w:szCs w:val="20"/>
        </w:rPr>
      </w:pPr>
      <w:r>
        <w:rPr>
          <w:rFonts w:ascii="Times New Roman" w:hAnsi="Times New Roman"/>
          <w:i/>
          <w:szCs w:val="21"/>
        </w:rPr>
        <w:t>t</w:t>
      </w:r>
      <w:r>
        <w:rPr>
          <w:rFonts w:ascii="Times New Roman" w:hAnsi="Times New Roman"/>
          <w:szCs w:val="21"/>
        </w:rPr>
        <w:t>——</w:t>
      </w:r>
      <w:r>
        <w:rPr>
          <w:rFonts w:ascii="Times New Roman" w:hAnsi="Times New Roman"/>
          <w:bCs/>
          <w:szCs w:val="20"/>
        </w:rPr>
        <w:t>超声波在混凝土结构上的传播时间，</w:t>
      </w:r>
      <w:r>
        <w:rPr>
          <w:rFonts w:ascii="Times New Roman" w:hAnsi="Times New Roman"/>
          <w:szCs w:val="21"/>
        </w:rPr>
        <w:t>s</w:t>
      </w:r>
      <w:r>
        <w:rPr>
          <w:rFonts w:ascii="Times New Roman" w:hAnsi="Times New Roman"/>
          <w:bCs/>
          <w:szCs w:val="20"/>
        </w:rPr>
        <w:t>。</w:t>
      </w:r>
    </w:p>
    <w:p>
      <w:pPr>
        <w:spacing w:line="360" w:lineRule="auto"/>
        <w:rPr>
          <w:rFonts w:hint="eastAsia" w:ascii="宋体" w:hAnsi="宋体" w:eastAsia="宋体" w:cs="宋体"/>
        </w:rPr>
      </w:pPr>
    </w:p>
    <w:p>
      <w:pPr>
        <w:rPr>
          <w:rFonts w:hint="eastAsia" w:ascii="宋体" w:hAnsi="宋体" w:eastAsia="宋体" w:cs="宋体"/>
        </w:rPr>
      </w:pPr>
      <w:r>
        <w:rPr>
          <w:rFonts w:hint="eastAsia" w:ascii="宋体" w:hAnsi="宋体" w:eastAsia="宋体" w:cs="宋体"/>
        </w:rPr>
        <w:br w:type="page"/>
      </w:r>
    </w:p>
    <w:p>
      <w:pPr>
        <w:pStyle w:val="2"/>
        <w:rPr>
          <w:rFonts w:hint="eastAsia" w:ascii="黑体" w:hAnsi="黑体" w:eastAsia="黑体" w:cs="黑体"/>
          <w:b w:val="0"/>
          <w:bCs w:val="0"/>
          <w:sz w:val="28"/>
          <w:szCs w:val="28"/>
          <w:highlight w:val="yellow"/>
        </w:rPr>
      </w:pPr>
      <w:bookmarkStart w:id="198" w:name="_Toc14935"/>
      <w:bookmarkStart w:id="199" w:name="_Toc4634"/>
      <w:bookmarkStart w:id="200" w:name="_Toc14880"/>
      <w:r>
        <w:rPr>
          <w:rFonts w:hint="eastAsia" w:ascii="黑体" w:hAnsi="黑体" w:eastAsia="黑体" w:cs="黑体"/>
          <w:b w:val="0"/>
          <w:bCs w:val="0"/>
          <w:sz w:val="28"/>
          <w:szCs w:val="28"/>
        </w:rPr>
        <w:t>附录G  水下建筑物表观缺陷检测技术</w:t>
      </w:r>
      <w:bookmarkEnd w:id="198"/>
    </w:p>
    <w:p>
      <w:pPr>
        <w:pStyle w:val="3"/>
        <w:snapToGrid w:val="0"/>
        <w:spacing w:beforeLines="50" w:afterLines="50" w:line="360" w:lineRule="auto"/>
        <w:jc w:val="center"/>
        <w:rPr>
          <w:rFonts w:ascii="黑体" w:hAnsi="黑体" w:cs="黑体"/>
          <w:sz w:val="24"/>
          <w:szCs w:val="24"/>
        </w:rPr>
      </w:pPr>
      <w:bookmarkStart w:id="201" w:name="_Toc2771"/>
      <w:bookmarkStart w:id="202" w:name="_Toc26497"/>
      <w:bookmarkStart w:id="203" w:name="_Toc31021"/>
      <w:r>
        <w:rPr>
          <w:rFonts w:ascii="黑体" w:hAnsi="黑体" w:cs="黑体"/>
          <w:sz w:val="24"/>
          <w:szCs w:val="24"/>
        </w:rPr>
        <w:t>G.1  多波束声呐技术</w:t>
      </w:r>
      <w:bookmarkEnd w:id="201"/>
      <w:bookmarkEnd w:id="202"/>
      <w:bookmarkEnd w:id="203"/>
    </w:p>
    <w:p>
      <w:pPr>
        <w:autoSpaceDE w:val="0"/>
        <w:autoSpaceDN w:val="0"/>
        <w:spacing w:line="360" w:lineRule="auto"/>
        <w:rPr>
          <w:rFonts w:ascii="Times New Roman" w:hAnsi="Times New Roman"/>
          <w:kern w:val="0"/>
          <w:szCs w:val="21"/>
        </w:rPr>
      </w:pPr>
      <w:r>
        <w:rPr>
          <w:rFonts w:hint="eastAsia" w:ascii="黑体" w:hAnsi="黑体" w:eastAsia="黑体" w:cs="黑体"/>
        </w:rPr>
        <w:t xml:space="preserve">G.1.1 </w:t>
      </w:r>
      <w:r>
        <w:rPr>
          <w:rFonts w:hint="eastAsia" w:ascii="Times New Roman" w:hAnsi="Times New Roman"/>
          <w:b/>
          <w:bCs/>
          <w:szCs w:val="21"/>
        </w:rPr>
        <w:t xml:space="preserve"> </w:t>
      </w:r>
      <w:r>
        <w:rPr>
          <w:rFonts w:hint="eastAsia" w:ascii="Times New Roman" w:hAnsi="Times New Roman"/>
          <w:kern w:val="0"/>
          <w:szCs w:val="21"/>
        </w:rPr>
        <w:t>多波束声呐技术宜用于水工建筑物水下外观缺陷检测</w:t>
      </w:r>
      <w:r>
        <w:rPr>
          <w:rFonts w:ascii="Times New Roman" w:hAnsi="Times New Roman"/>
          <w:kern w:val="0"/>
          <w:szCs w:val="21"/>
        </w:rPr>
        <w:t>。</w:t>
      </w:r>
    </w:p>
    <w:p>
      <w:pPr>
        <w:spacing w:line="360" w:lineRule="auto"/>
        <w:rPr>
          <w:rFonts w:ascii="Times New Roman" w:hAnsi="Times New Roman"/>
          <w:kern w:val="0"/>
          <w:szCs w:val="21"/>
        </w:rPr>
      </w:pPr>
      <w:r>
        <w:rPr>
          <w:rFonts w:hint="eastAsia" w:ascii="黑体" w:hAnsi="黑体" w:eastAsia="黑体" w:cs="黑体"/>
        </w:rPr>
        <w:t>G.1.2</w:t>
      </w:r>
      <w:r>
        <w:rPr>
          <w:rFonts w:ascii="E-BZ" w:hAnsi="E-BZ" w:eastAsia="E-BZ" w:cs="E-BZ"/>
          <w:color w:val="000000"/>
          <w:szCs w:val="21"/>
        </w:rPr>
        <w:t xml:space="preserve"> </w:t>
      </w:r>
      <w:r>
        <w:rPr>
          <w:rFonts w:hint="eastAsia" w:ascii="E-BZ" w:hAnsi="E-BZ" w:cs="E-BZ"/>
          <w:color w:val="000000"/>
          <w:szCs w:val="21"/>
        </w:rPr>
        <w:t xml:space="preserve"> </w:t>
      </w:r>
      <w:r>
        <w:rPr>
          <w:rFonts w:ascii="Times New Roman" w:hAnsi="Times New Roman"/>
          <w:kern w:val="0"/>
          <w:szCs w:val="21"/>
        </w:rPr>
        <w:t>系统配置要求可参照JT/T 790的相关要求</w:t>
      </w:r>
      <w:r>
        <w:rPr>
          <w:rFonts w:hint="eastAsia" w:ascii="Times New Roman" w:hAnsi="Times New Roman"/>
          <w:kern w:val="0"/>
          <w:szCs w:val="21"/>
        </w:rPr>
        <w:t>，</w:t>
      </w:r>
      <w:r>
        <w:rPr>
          <w:rFonts w:ascii="Times New Roman" w:hAnsi="Times New Roman"/>
          <w:kern w:val="0"/>
          <w:szCs w:val="21"/>
        </w:rPr>
        <w:t>并应符合下列规定</w:t>
      </w:r>
      <w:r>
        <w:rPr>
          <w:rFonts w:hint="eastAsia" w:ascii="Times New Roman" w:hAnsi="Times New Roman"/>
          <w:kern w:val="0"/>
          <w:szCs w:val="21"/>
        </w:rPr>
        <w:t>：</w:t>
      </w:r>
    </w:p>
    <w:p>
      <w:pPr>
        <w:autoSpaceDE w:val="0"/>
        <w:autoSpaceDN w:val="0"/>
        <w:spacing w:line="360" w:lineRule="auto"/>
        <w:ind w:firstLine="420" w:firstLineChars="200"/>
        <w:rPr>
          <w:rFonts w:ascii="Times New Roman" w:hAnsi="Times New Roman"/>
          <w:kern w:val="0"/>
          <w:szCs w:val="21"/>
        </w:rPr>
      </w:pPr>
      <w:r>
        <w:rPr>
          <w:rFonts w:hint="eastAsia" w:ascii="黑体" w:hAnsi="黑体" w:eastAsia="黑体" w:cs="黑体"/>
        </w:rPr>
        <w:t>1</w:t>
      </w:r>
      <w:r>
        <w:rPr>
          <w:rFonts w:hint="eastAsia" w:ascii="Times New Roman" w:hAnsi="Times New Roman"/>
          <w:b/>
          <w:bCs/>
          <w:szCs w:val="21"/>
        </w:rPr>
        <w:t xml:space="preserve">  </w:t>
      </w:r>
      <w:r>
        <w:rPr>
          <w:rFonts w:ascii="Times New Roman" w:hAnsi="Times New Roman"/>
          <w:kern w:val="0"/>
          <w:szCs w:val="21"/>
        </w:rPr>
        <w:t>量程分辨率宜不大于1°×2°。</w:t>
      </w:r>
    </w:p>
    <w:p>
      <w:pPr>
        <w:autoSpaceDE w:val="0"/>
        <w:autoSpaceDN w:val="0"/>
        <w:spacing w:line="360" w:lineRule="auto"/>
        <w:ind w:firstLine="420" w:firstLineChars="200"/>
        <w:rPr>
          <w:rFonts w:ascii="Times New Roman" w:hAnsi="Times New Roman"/>
          <w:b/>
          <w:bCs/>
          <w:szCs w:val="21"/>
        </w:rPr>
      </w:pPr>
      <w:r>
        <w:rPr>
          <w:rFonts w:hint="eastAsia" w:ascii="黑体" w:hAnsi="黑体" w:eastAsia="黑体" w:cs="黑体"/>
        </w:rPr>
        <w:t xml:space="preserve">2 </w:t>
      </w:r>
      <w:r>
        <w:rPr>
          <w:rFonts w:hint="eastAsia" w:ascii="Times New Roman" w:hAnsi="Times New Roman"/>
          <w:b/>
          <w:bCs/>
          <w:szCs w:val="21"/>
        </w:rPr>
        <w:t xml:space="preserve"> </w:t>
      </w:r>
      <w:r>
        <w:rPr>
          <w:rFonts w:ascii="Times New Roman" w:hAnsi="Times New Roman"/>
          <w:kern w:val="0"/>
          <w:szCs w:val="21"/>
        </w:rPr>
        <w:t xml:space="preserve">距离分辨率应不大于2cm。 </w:t>
      </w:r>
    </w:p>
    <w:p>
      <w:pPr>
        <w:autoSpaceDE w:val="0"/>
        <w:autoSpaceDN w:val="0"/>
        <w:spacing w:line="360" w:lineRule="auto"/>
        <w:rPr>
          <w:rFonts w:ascii="Times New Roman" w:hAnsi="Times New Roman"/>
          <w:b/>
          <w:bCs/>
          <w:szCs w:val="21"/>
        </w:rPr>
      </w:pPr>
      <w:r>
        <w:rPr>
          <w:rFonts w:hint="eastAsia" w:ascii="黑体" w:hAnsi="黑体" w:eastAsia="黑体" w:cs="黑体"/>
        </w:rPr>
        <w:t xml:space="preserve">G.1.3 </w:t>
      </w:r>
      <w:r>
        <w:rPr>
          <w:rFonts w:hint="eastAsia" w:ascii="Times New Roman" w:hAnsi="Times New Roman"/>
          <w:b/>
          <w:bCs/>
          <w:szCs w:val="21"/>
        </w:rPr>
        <w:t xml:space="preserve"> </w:t>
      </w:r>
      <w:r>
        <w:rPr>
          <w:rFonts w:ascii="Times New Roman" w:hAnsi="Times New Roman"/>
          <w:kern w:val="0"/>
          <w:szCs w:val="21"/>
        </w:rPr>
        <w:t>工作布置可参照JT/T 790的相关要求</w:t>
      </w:r>
      <w:r>
        <w:rPr>
          <w:rFonts w:hint="eastAsia" w:ascii="Times New Roman" w:hAnsi="Times New Roman"/>
          <w:kern w:val="0"/>
          <w:szCs w:val="21"/>
        </w:rPr>
        <w:t>，</w:t>
      </w:r>
      <w:r>
        <w:rPr>
          <w:rFonts w:ascii="Times New Roman" w:hAnsi="Times New Roman"/>
          <w:kern w:val="0"/>
          <w:szCs w:val="21"/>
        </w:rPr>
        <w:t>并应符合下列规定</w:t>
      </w:r>
      <w:r>
        <w:rPr>
          <w:rFonts w:ascii="Times New Roman" w:hAnsi="Times New Roman"/>
          <w:b/>
          <w:bCs/>
          <w:szCs w:val="21"/>
        </w:rPr>
        <w:t xml:space="preserve">: </w:t>
      </w:r>
    </w:p>
    <w:p>
      <w:pPr>
        <w:autoSpaceDE w:val="0"/>
        <w:autoSpaceDN w:val="0"/>
        <w:spacing w:line="360" w:lineRule="auto"/>
        <w:ind w:firstLine="420" w:firstLineChars="200"/>
        <w:rPr>
          <w:rFonts w:ascii="Times New Roman" w:hAnsi="Times New Roman"/>
          <w:b/>
          <w:bCs/>
          <w:szCs w:val="21"/>
        </w:rPr>
      </w:pPr>
      <w:r>
        <w:rPr>
          <w:rFonts w:hint="eastAsia" w:ascii="黑体" w:hAnsi="黑体" w:eastAsia="黑体" w:cs="黑体"/>
        </w:rPr>
        <w:t>1</w:t>
      </w:r>
      <w:r>
        <w:rPr>
          <w:rFonts w:ascii="Times New Roman" w:hAnsi="Times New Roman"/>
          <w:b/>
          <w:bCs/>
          <w:szCs w:val="21"/>
        </w:rPr>
        <w:t xml:space="preserve"> </w:t>
      </w:r>
      <w:r>
        <w:rPr>
          <w:rFonts w:hint="eastAsia" w:ascii="Times New Roman" w:hAnsi="Times New Roman"/>
          <w:b/>
          <w:bCs/>
          <w:szCs w:val="21"/>
        </w:rPr>
        <w:t xml:space="preserve"> </w:t>
      </w:r>
      <w:r>
        <w:rPr>
          <w:rFonts w:ascii="Times New Roman" w:hAnsi="Times New Roman"/>
          <w:kern w:val="0"/>
          <w:szCs w:val="21"/>
        </w:rPr>
        <w:t>测线布置应覆盖全部待检测区域</w:t>
      </w:r>
      <w:r>
        <w:rPr>
          <w:rFonts w:hint="eastAsia" w:ascii="Times New Roman" w:hAnsi="Times New Roman"/>
          <w:kern w:val="0"/>
          <w:szCs w:val="21"/>
        </w:rPr>
        <w:t>，</w:t>
      </w:r>
      <w:r>
        <w:rPr>
          <w:rFonts w:ascii="Times New Roman" w:hAnsi="Times New Roman"/>
          <w:kern w:val="0"/>
          <w:szCs w:val="21"/>
        </w:rPr>
        <w:t xml:space="preserve">测量船速宜不大于2.5m/s。 </w:t>
      </w:r>
      <w:r>
        <w:rPr>
          <w:rFonts w:hint="eastAsia" w:ascii="Times New Roman" w:hAnsi="Times New Roman"/>
          <w:b/>
          <w:bCs/>
          <w:szCs w:val="21"/>
        </w:rPr>
        <w:t xml:space="preserve"> </w:t>
      </w:r>
    </w:p>
    <w:p>
      <w:pPr>
        <w:autoSpaceDE w:val="0"/>
        <w:autoSpaceDN w:val="0"/>
        <w:spacing w:line="360" w:lineRule="auto"/>
        <w:ind w:firstLine="420" w:firstLineChars="200"/>
        <w:rPr>
          <w:rFonts w:ascii="Times New Roman" w:hAnsi="Times New Roman"/>
          <w:b/>
          <w:bCs/>
          <w:szCs w:val="21"/>
        </w:rPr>
      </w:pPr>
      <w:r>
        <w:rPr>
          <w:rFonts w:hint="eastAsia" w:ascii="黑体" w:hAnsi="黑体" w:eastAsia="黑体" w:cs="黑体"/>
        </w:rPr>
        <w:t>2</w:t>
      </w:r>
      <w:r>
        <w:rPr>
          <w:rFonts w:ascii="Times New Roman" w:hAnsi="Times New Roman"/>
          <w:b/>
          <w:bCs/>
          <w:szCs w:val="21"/>
        </w:rPr>
        <w:t xml:space="preserve"> </w:t>
      </w:r>
      <w:r>
        <w:rPr>
          <w:rFonts w:hint="eastAsia" w:ascii="Times New Roman" w:hAnsi="Times New Roman"/>
          <w:b/>
          <w:bCs/>
          <w:szCs w:val="21"/>
        </w:rPr>
        <w:t xml:space="preserve"> </w:t>
      </w:r>
      <w:r>
        <w:rPr>
          <w:rFonts w:ascii="Times New Roman" w:hAnsi="Times New Roman"/>
          <w:kern w:val="0"/>
          <w:szCs w:val="21"/>
        </w:rPr>
        <w:t>测线布置应涵盖测量测线、校准测线的布置。</w:t>
      </w:r>
      <w:r>
        <w:rPr>
          <w:rFonts w:ascii="Times New Roman" w:hAnsi="Times New Roman"/>
          <w:b/>
          <w:bCs/>
          <w:szCs w:val="21"/>
        </w:rPr>
        <w:t xml:space="preserve"> </w:t>
      </w:r>
    </w:p>
    <w:p>
      <w:pPr>
        <w:autoSpaceDE w:val="0"/>
        <w:autoSpaceDN w:val="0"/>
        <w:spacing w:line="360" w:lineRule="auto"/>
        <w:ind w:firstLine="420" w:firstLineChars="200"/>
        <w:rPr>
          <w:rFonts w:ascii="Times New Roman" w:hAnsi="Times New Roman"/>
          <w:b/>
          <w:bCs/>
          <w:szCs w:val="21"/>
        </w:rPr>
      </w:pPr>
      <w:r>
        <w:rPr>
          <w:rFonts w:hint="eastAsia" w:ascii="黑体" w:hAnsi="黑体" w:eastAsia="黑体" w:cs="黑体"/>
        </w:rPr>
        <w:t>3</w:t>
      </w:r>
      <w:r>
        <w:rPr>
          <w:rFonts w:ascii="Times New Roman" w:hAnsi="Times New Roman"/>
          <w:b/>
          <w:bCs/>
          <w:szCs w:val="21"/>
        </w:rPr>
        <w:t xml:space="preserve"> </w:t>
      </w:r>
      <w:r>
        <w:rPr>
          <w:rFonts w:hint="eastAsia" w:ascii="Times New Roman" w:hAnsi="Times New Roman"/>
          <w:b/>
          <w:bCs/>
          <w:szCs w:val="21"/>
        </w:rPr>
        <w:t xml:space="preserve"> </w:t>
      </w:r>
      <w:r>
        <w:rPr>
          <w:rFonts w:ascii="Times New Roman" w:hAnsi="Times New Roman"/>
          <w:kern w:val="0"/>
          <w:szCs w:val="21"/>
        </w:rPr>
        <w:t xml:space="preserve">测线布置方向宜选择平行于等深线走向、建筑物轴线方向或测区的长边等。 </w:t>
      </w:r>
    </w:p>
    <w:p>
      <w:pPr>
        <w:autoSpaceDE w:val="0"/>
        <w:autoSpaceDN w:val="0"/>
        <w:spacing w:line="360" w:lineRule="auto"/>
        <w:ind w:firstLine="420" w:firstLineChars="200"/>
        <w:rPr>
          <w:rFonts w:ascii="E-BZ" w:hAnsi="E-BZ" w:eastAsia="E-BZ" w:cs="E-BZ"/>
          <w:color w:val="000000"/>
          <w:szCs w:val="21"/>
        </w:rPr>
      </w:pPr>
      <w:r>
        <w:rPr>
          <w:rFonts w:hint="eastAsia" w:ascii="黑体" w:hAnsi="黑体" w:eastAsia="黑体" w:cs="黑体"/>
        </w:rPr>
        <w:t xml:space="preserve">4 </w:t>
      </w:r>
      <w:r>
        <w:rPr>
          <w:rFonts w:hint="eastAsia" w:ascii="Times New Roman" w:hAnsi="Times New Roman"/>
          <w:b/>
          <w:bCs/>
          <w:szCs w:val="21"/>
        </w:rPr>
        <w:t xml:space="preserve"> </w:t>
      </w:r>
      <w:r>
        <w:rPr>
          <w:rFonts w:ascii="Times New Roman" w:hAnsi="Times New Roman"/>
          <w:kern w:val="0"/>
          <w:szCs w:val="21"/>
        </w:rPr>
        <w:t>测线应平直</w:t>
      </w:r>
      <w:r>
        <w:rPr>
          <w:rFonts w:hint="eastAsia" w:ascii="Times New Roman" w:hAnsi="Times New Roman"/>
          <w:kern w:val="0"/>
          <w:szCs w:val="21"/>
        </w:rPr>
        <w:t>，</w:t>
      </w:r>
      <w:r>
        <w:rPr>
          <w:rFonts w:ascii="Times New Roman" w:hAnsi="Times New Roman"/>
          <w:kern w:val="0"/>
          <w:szCs w:val="21"/>
        </w:rPr>
        <w:t>可随水工建筑物的形状变化而平缓弯曲</w:t>
      </w:r>
      <w:r>
        <w:rPr>
          <w:rFonts w:hint="eastAsia" w:ascii="Times New Roman" w:hAnsi="Times New Roman"/>
          <w:kern w:val="0"/>
          <w:szCs w:val="21"/>
        </w:rPr>
        <w:t>，</w:t>
      </w:r>
      <w:r>
        <w:rPr>
          <w:rFonts w:ascii="Times New Roman" w:hAnsi="Times New Roman"/>
          <w:kern w:val="0"/>
          <w:szCs w:val="21"/>
        </w:rPr>
        <w:t>调转方向时应暂停数据采集。</w:t>
      </w:r>
      <w:r>
        <w:rPr>
          <w:rFonts w:ascii="E-BZ" w:hAnsi="E-BZ" w:eastAsia="E-BZ" w:cs="E-BZ"/>
          <w:color w:val="000000"/>
          <w:szCs w:val="21"/>
        </w:rPr>
        <w:t xml:space="preserve"> </w:t>
      </w:r>
    </w:p>
    <w:p>
      <w:pPr>
        <w:autoSpaceDE w:val="0"/>
        <w:autoSpaceDN w:val="0"/>
        <w:spacing w:line="360" w:lineRule="auto"/>
        <w:ind w:firstLine="420" w:firstLineChars="200"/>
        <w:rPr>
          <w:rFonts w:ascii="E-BZ" w:hAnsi="E-BZ" w:eastAsia="E-BZ" w:cs="E-BZ"/>
          <w:color w:val="000000"/>
          <w:szCs w:val="21"/>
        </w:rPr>
      </w:pPr>
      <w:r>
        <w:rPr>
          <w:rFonts w:hint="eastAsia" w:ascii="黑体" w:hAnsi="黑体" w:eastAsia="黑体" w:cs="黑体"/>
        </w:rPr>
        <w:t xml:space="preserve">5 </w:t>
      </w:r>
      <w:r>
        <w:rPr>
          <w:rFonts w:hint="eastAsia" w:ascii="E-BZ" w:hAnsi="E-BZ" w:cs="E-BZ"/>
          <w:color w:val="000000"/>
          <w:szCs w:val="21"/>
        </w:rPr>
        <w:t xml:space="preserve"> </w:t>
      </w:r>
      <w:r>
        <w:rPr>
          <w:rFonts w:hint="eastAsia" w:ascii="宋体" w:hAnsi="宋体" w:cs="宋体"/>
          <w:color w:val="000000"/>
          <w:szCs w:val="21"/>
        </w:rPr>
        <w:t>移动式多波束声呐测线间距不宜大于有效测深宽度的</w:t>
      </w:r>
      <w:r>
        <w:rPr>
          <w:rFonts w:ascii="Times New Roman" w:hAnsi="Times New Roman"/>
          <w:kern w:val="0"/>
          <w:szCs w:val="21"/>
        </w:rPr>
        <w:t>80</w:t>
      </w:r>
      <w:r>
        <w:rPr>
          <w:rFonts w:hint="eastAsia" w:ascii="Times New Roman" w:hAnsi="Times New Roman"/>
          <w:kern w:val="0"/>
          <w:szCs w:val="21"/>
        </w:rPr>
        <w:t>%</w:t>
      </w:r>
      <w:r>
        <w:rPr>
          <w:rFonts w:hint="eastAsia" w:ascii="宋体" w:hAnsi="宋体" w:cs="宋体"/>
          <w:color w:val="000000"/>
          <w:szCs w:val="21"/>
        </w:rPr>
        <w:t>。在重点检测水域，测深线的间距不应大于有效测深宽度的</w:t>
      </w:r>
      <w:r>
        <w:rPr>
          <w:rFonts w:hint="eastAsia" w:ascii="Times New Roman" w:hAnsi="Times New Roman"/>
          <w:kern w:val="0"/>
          <w:szCs w:val="21"/>
        </w:rPr>
        <w:t>50%</w:t>
      </w:r>
      <w:r>
        <w:rPr>
          <w:rFonts w:hint="eastAsia" w:ascii="E-BZ" w:hAnsi="E-BZ" w:cs="E-BZ"/>
          <w:color w:val="000000"/>
          <w:szCs w:val="21"/>
        </w:rPr>
        <w:t>，</w:t>
      </w:r>
      <w:r>
        <w:rPr>
          <w:rFonts w:hint="eastAsia" w:ascii="宋体" w:hAnsi="宋体" w:cs="宋体"/>
          <w:color w:val="000000"/>
          <w:szCs w:val="21"/>
        </w:rPr>
        <w:t>相邻测线重合覆盖宜不小于</w:t>
      </w:r>
      <w:r>
        <w:rPr>
          <w:rFonts w:ascii="Times New Roman" w:hAnsi="Times New Roman"/>
          <w:kern w:val="0"/>
          <w:szCs w:val="21"/>
        </w:rPr>
        <w:t>20</w:t>
      </w:r>
      <w:r>
        <w:rPr>
          <w:rFonts w:hint="eastAsia" w:ascii="Times New Roman" w:hAnsi="Times New Roman"/>
          <w:kern w:val="0"/>
          <w:szCs w:val="21"/>
        </w:rPr>
        <w:t>%</w:t>
      </w:r>
      <w:r>
        <w:rPr>
          <w:rFonts w:hint="eastAsia" w:ascii="宋体" w:hAnsi="宋体" w:cs="宋体"/>
          <w:color w:val="000000"/>
          <w:szCs w:val="21"/>
        </w:rPr>
        <w:t>。</w:t>
      </w:r>
      <w:r>
        <w:rPr>
          <w:rFonts w:ascii="E-BZ" w:hAnsi="E-BZ" w:eastAsia="E-BZ" w:cs="E-BZ"/>
          <w:color w:val="000000"/>
          <w:szCs w:val="21"/>
        </w:rPr>
        <w:t xml:space="preserve"> </w:t>
      </w:r>
    </w:p>
    <w:p>
      <w:pPr>
        <w:autoSpaceDE w:val="0"/>
        <w:autoSpaceDN w:val="0"/>
        <w:spacing w:line="360" w:lineRule="auto"/>
        <w:ind w:firstLine="420" w:firstLineChars="200"/>
        <w:rPr>
          <w:rFonts w:ascii="E-BZ" w:hAnsi="E-BZ" w:eastAsia="E-BZ" w:cs="E-BZ"/>
          <w:color w:val="000000"/>
          <w:szCs w:val="21"/>
        </w:rPr>
      </w:pPr>
      <w:r>
        <w:rPr>
          <w:rFonts w:hint="eastAsia" w:ascii="黑体" w:hAnsi="黑体" w:eastAsia="黑体" w:cs="黑体"/>
        </w:rPr>
        <w:t xml:space="preserve">6 </w:t>
      </w:r>
      <w:r>
        <w:rPr>
          <w:rFonts w:hint="eastAsia" w:ascii="E-BZ" w:hAnsi="E-BZ" w:cs="E-BZ"/>
          <w:color w:val="000000"/>
          <w:szCs w:val="21"/>
        </w:rPr>
        <w:t xml:space="preserve"> </w:t>
      </w:r>
      <w:r>
        <w:rPr>
          <w:rFonts w:hint="eastAsia" w:ascii="宋体" w:hAnsi="宋体" w:cs="宋体"/>
          <w:color w:val="000000"/>
          <w:szCs w:val="21"/>
        </w:rPr>
        <w:t>测站式多波束声呐应控制测站间距，采集数据重合度宜不小于</w:t>
      </w:r>
      <w:r>
        <w:rPr>
          <w:rFonts w:ascii="Times New Roman" w:hAnsi="Times New Roman"/>
          <w:kern w:val="0"/>
          <w:szCs w:val="21"/>
        </w:rPr>
        <w:t>30</w:t>
      </w:r>
      <w:r>
        <w:rPr>
          <w:rFonts w:hint="eastAsia" w:ascii="Times New Roman" w:hAnsi="Times New Roman"/>
          <w:kern w:val="0"/>
          <w:szCs w:val="21"/>
        </w:rPr>
        <w:t>%</w:t>
      </w:r>
      <w:r>
        <w:rPr>
          <w:rFonts w:hint="eastAsia" w:ascii="宋体" w:hAnsi="宋体" w:cs="宋体"/>
          <w:color w:val="000000"/>
          <w:szCs w:val="21"/>
        </w:rPr>
        <w:t>。</w:t>
      </w:r>
      <w:r>
        <w:rPr>
          <w:rFonts w:ascii="E-BZ" w:hAnsi="E-BZ" w:eastAsia="E-BZ" w:cs="E-BZ"/>
          <w:color w:val="000000"/>
          <w:szCs w:val="21"/>
        </w:rPr>
        <w:t xml:space="preserve"> </w:t>
      </w:r>
    </w:p>
    <w:p>
      <w:pPr>
        <w:autoSpaceDE w:val="0"/>
        <w:autoSpaceDN w:val="0"/>
        <w:spacing w:line="360" w:lineRule="auto"/>
        <w:ind w:firstLine="420" w:firstLineChars="200"/>
        <w:rPr>
          <w:rFonts w:ascii="E-BZ" w:hAnsi="E-BZ" w:eastAsia="E-BZ" w:cs="E-BZ"/>
          <w:color w:val="000000"/>
          <w:szCs w:val="21"/>
        </w:rPr>
      </w:pPr>
      <w:r>
        <w:rPr>
          <w:rFonts w:hint="eastAsia" w:ascii="黑体" w:hAnsi="黑体" w:eastAsia="黑体" w:cs="黑体"/>
        </w:rPr>
        <w:t>7</w:t>
      </w:r>
      <w:r>
        <w:rPr>
          <w:rFonts w:ascii="E-BZ" w:hAnsi="E-BZ" w:eastAsia="E-BZ" w:cs="E-BZ"/>
          <w:color w:val="000000"/>
          <w:szCs w:val="21"/>
        </w:rPr>
        <w:t xml:space="preserve"> </w:t>
      </w:r>
      <w:r>
        <w:rPr>
          <w:rFonts w:hint="eastAsia" w:ascii="E-BZ" w:hAnsi="E-BZ" w:cs="E-BZ"/>
          <w:color w:val="000000"/>
          <w:szCs w:val="21"/>
        </w:rPr>
        <w:t xml:space="preserve"> </w:t>
      </w:r>
      <w:r>
        <w:rPr>
          <w:rFonts w:hint="eastAsia" w:ascii="宋体" w:hAnsi="宋体" w:cs="宋体"/>
          <w:color w:val="000000"/>
          <w:szCs w:val="21"/>
        </w:rPr>
        <w:t>测线长度应综合考虑水域水流情况、定位数据稳定接收情况和姿态补偿数据等因素。</w:t>
      </w:r>
      <w:r>
        <w:rPr>
          <w:rFonts w:ascii="E-BZ" w:hAnsi="E-BZ" w:eastAsia="E-BZ" w:cs="E-BZ"/>
          <w:color w:val="000000"/>
          <w:szCs w:val="21"/>
        </w:rPr>
        <w:t xml:space="preserve"> </w:t>
      </w:r>
    </w:p>
    <w:p>
      <w:pPr>
        <w:autoSpaceDE w:val="0"/>
        <w:autoSpaceDN w:val="0"/>
        <w:spacing w:line="360" w:lineRule="auto"/>
        <w:ind w:firstLine="420" w:firstLineChars="200"/>
        <w:rPr>
          <w:rFonts w:ascii="E-BZ" w:hAnsi="E-BZ" w:eastAsia="E-BZ" w:cs="E-BZ"/>
          <w:color w:val="000000"/>
          <w:szCs w:val="21"/>
        </w:rPr>
      </w:pPr>
      <w:r>
        <w:rPr>
          <w:rFonts w:hint="eastAsia" w:ascii="黑体" w:hAnsi="黑体" w:eastAsia="黑体" w:cs="黑体"/>
        </w:rPr>
        <w:t xml:space="preserve">8 </w:t>
      </w:r>
      <w:r>
        <w:rPr>
          <w:rFonts w:hint="eastAsia" w:ascii="E-BZ" w:hAnsi="E-BZ" w:cs="E-BZ"/>
          <w:color w:val="000000"/>
          <w:szCs w:val="21"/>
        </w:rPr>
        <w:t xml:space="preserve"> </w:t>
      </w:r>
      <w:r>
        <w:rPr>
          <w:rFonts w:hint="eastAsia" w:ascii="宋体" w:hAnsi="宋体" w:cs="宋体"/>
          <w:color w:val="000000"/>
          <w:szCs w:val="21"/>
        </w:rPr>
        <w:t>校准测线为</w:t>
      </w:r>
      <w:r>
        <w:rPr>
          <w:rFonts w:hint="eastAsia" w:ascii="Times New Roman" w:hAnsi="Times New Roman"/>
          <w:kern w:val="0"/>
          <w:szCs w:val="21"/>
        </w:rPr>
        <w:t>2</w:t>
      </w:r>
      <w:r>
        <w:rPr>
          <w:rFonts w:hint="eastAsia" w:ascii="宋体" w:hAnsi="宋体" w:cs="宋体"/>
          <w:color w:val="000000"/>
          <w:szCs w:val="21"/>
        </w:rPr>
        <w:t>条往返测线重合覆盖宜不小于</w:t>
      </w:r>
      <w:r>
        <w:rPr>
          <w:rFonts w:ascii="Times New Roman" w:hAnsi="Times New Roman"/>
          <w:kern w:val="0"/>
          <w:szCs w:val="21"/>
        </w:rPr>
        <w:t>50</w:t>
      </w:r>
      <w:r>
        <w:rPr>
          <w:rFonts w:hint="eastAsia" w:ascii="Times New Roman" w:hAnsi="Times New Roman"/>
          <w:kern w:val="0"/>
          <w:szCs w:val="21"/>
        </w:rPr>
        <w:t>%，</w:t>
      </w:r>
      <w:r>
        <w:rPr>
          <w:rFonts w:hint="eastAsia" w:ascii="宋体" w:hAnsi="宋体" w:cs="宋体"/>
          <w:color w:val="000000"/>
          <w:szCs w:val="21"/>
        </w:rPr>
        <w:t>应垂直于等深线方向或地形地貌起伏的方向</w:t>
      </w:r>
      <w:r>
        <w:rPr>
          <w:rFonts w:hint="eastAsia" w:ascii="E-BZ" w:hAnsi="E-BZ" w:cs="E-BZ"/>
          <w:color w:val="000000"/>
          <w:szCs w:val="21"/>
        </w:rPr>
        <w:t>，</w:t>
      </w:r>
      <w:r>
        <w:rPr>
          <w:rFonts w:hint="eastAsia" w:ascii="宋体" w:hAnsi="宋体" w:cs="宋体"/>
          <w:color w:val="000000"/>
          <w:szCs w:val="21"/>
        </w:rPr>
        <w:t>不应平行于测线。</w:t>
      </w:r>
      <w:r>
        <w:rPr>
          <w:rFonts w:ascii="E-BZ" w:hAnsi="E-BZ" w:eastAsia="E-BZ" w:cs="E-BZ"/>
          <w:color w:val="000000"/>
          <w:szCs w:val="21"/>
        </w:rPr>
        <w:t xml:space="preserve"> </w:t>
      </w:r>
    </w:p>
    <w:p>
      <w:pPr>
        <w:autoSpaceDE w:val="0"/>
        <w:autoSpaceDN w:val="0"/>
        <w:spacing w:line="360" w:lineRule="auto"/>
        <w:ind w:firstLine="420" w:firstLineChars="200"/>
        <w:rPr>
          <w:rFonts w:ascii="E-BZ" w:hAnsi="E-BZ" w:eastAsia="E-BZ" w:cs="E-BZ"/>
          <w:color w:val="000000"/>
          <w:szCs w:val="21"/>
        </w:rPr>
      </w:pPr>
      <w:r>
        <w:rPr>
          <w:rFonts w:hint="eastAsia" w:ascii="黑体" w:hAnsi="黑体" w:eastAsia="黑体" w:cs="黑体"/>
        </w:rPr>
        <w:t xml:space="preserve">9 </w:t>
      </w:r>
      <w:r>
        <w:rPr>
          <w:rFonts w:hint="eastAsia" w:ascii="E-BZ" w:hAnsi="E-BZ" w:cs="E-BZ"/>
          <w:color w:val="000000"/>
          <w:szCs w:val="21"/>
        </w:rPr>
        <w:t xml:space="preserve"> </w:t>
      </w:r>
      <w:r>
        <w:rPr>
          <w:rFonts w:hint="eastAsia" w:ascii="宋体" w:hAnsi="宋体" w:cs="宋体"/>
          <w:color w:val="000000"/>
          <w:szCs w:val="21"/>
        </w:rPr>
        <w:t>针对不同水域环境应调整声呐检测信号的激发能量、增益</w:t>
      </w:r>
      <w:r>
        <w:rPr>
          <w:rFonts w:hint="eastAsia" w:ascii="FZSSK--GBK1-0" w:hAnsi="FZSSK--GBK1-0" w:cs="FZSSK--GBK1-0"/>
          <w:color w:val="000000"/>
          <w:szCs w:val="21"/>
        </w:rPr>
        <w:t>、</w:t>
      </w:r>
      <w:r>
        <w:rPr>
          <w:rFonts w:hint="eastAsia" w:ascii="宋体" w:hAnsi="宋体" w:cs="宋体"/>
          <w:color w:val="000000"/>
          <w:szCs w:val="21"/>
        </w:rPr>
        <w:t>强度及滤波参数。</w:t>
      </w:r>
      <w:r>
        <w:rPr>
          <w:rFonts w:ascii="E-BZ" w:hAnsi="E-BZ" w:eastAsia="E-BZ" w:cs="E-BZ"/>
          <w:color w:val="000000"/>
          <w:szCs w:val="21"/>
        </w:rPr>
        <w:t xml:space="preserve"> </w:t>
      </w:r>
    </w:p>
    <w:p>
      <w:pPr>
        <w:autoSpaceDE w:val="0"/>
        <w:autoSpaceDN w:val="0"/>
        <w:spacing w:line="360" w:lineRule="auto"/>
        <w:ind w:firstLine="420" w:firstLineChars="200"/>
        <w:rPr>
          <w:rFonts w:ascii="E-BZ" w:hAnsi="E-BZ" w:eastAsia="E-BZ" w:cs="E-BZ"/>
          <w:color w:val="000000"/>
          <w:szCs w:val="21"/>
        </w:rPr>
      </w:pPr>
      <w:r>
        <w:rPr>
          <w:rFonts w:hint="eastAsia" w:ascii="黑体" w:hAnsi="黑体" w:eastAsia="黑体" w:cs="黑体"/>
        </w:rPr>
        <w:t xml:space="preserve">10 </w:t>
      </w:r>
      <w:r>
        <w:rPr>
          <w:rFonts w:hint="eastAsia" w:ascii="E-BZ" w:hAnsi="E-BZ" w:cs="E-BZ"/>
          <w:color w:val="000000"/>
          <w:szCs w:val="21"/>
        </w:rPr>
        <w:t xml:space="preserve"> </w:t>
      </w:r>
      <w:r>
        <w:rPr>
          <w:rFonts w:hint="eastAsia" w:ascii="宋体" w:hAnsi="宋体" w:cs="宋体"/>
          <w:color w:val="000000"/>
          <w:szCs w:val="21"/>
        </w:rPr>
        <w:t>针对不同深度、相对多波束换能器距离不同的水工建筑物应及时调整声呐测程，如发现覆盖不足或水深漏空等情况</w:t>
      </w:r>
      <w:r>
        <w:rPr>
          <w:rFonts w:hint="eastAsia" w:ascii="E-BZ" w:hAnsi="E-BZ" w:cs="E-BZ"/>
          <w:color w:val="000000"/>
          <w:szCs w:val="21"/>
        </w:rPr>
        <w:t>，</w:t>
      </w:r>
      <w:r>
        <w:rPr>
          <w:rFonts w:hint="eastAsia" w:ascii="宋体" w:hAnsi="宋体" w:cs="宋体"/>
          <w:color w:val="000000"/>
          <w:szCs w:val="21"/>
        </w:rPr>
        <w:t>应及时增加测站或测线。</w:t>
      </w:r>
      <w:r>
        <w:rPr>
          <w:rFonts w:ascii="E-BZ" w:hAnsi="E-BZ" w:eastAsia="E-BZ" w:cs="E-BZ"/>
          <w:color w:val="000000"/>
          <w:szCs w:val="21"/>
        </w:rPr>
        <w:t xml:space="preserve"> </w:t>
      </w:r>
    </w:p>
    <w:p>
      <w:pPr>
        <w:autoSpaceDE w:val="0"/>
        <w:autoSpaceDN w:val="0"/>
        <w:spacing w:line="360" w:lineRule="auto"/>
        <w:ind w:firstLine="420" w:firstLineChars="200"/>
        <w:rPr>
          <w:rFonts w:ascii="E-BZ" w:hAnsi="E-BZ" w:eastAsia="E-BZ" w:cs="E-BZ"/>
          <w:color w:val="000000"/>
          <w:szCs w:val="21"/>
        </w:rPr>
      </w:pPr>
      <w:r>
        <w:rPr>
          <w:rFonts w:hint="eastAsia" w:ascii="黑体" w:hAnsi="黑体" w:eastAsia="黑体" w:cs="黑体"/>
        </w:rPr>
        <w:t>11</w:t>
      </w:r>
      <w:r>
        <w:rPr>
          <w:rFonts w:ascii="E-BZ" w:hAnsi="E-BZ" w:eastAsia="E-BZ" w:cs="E-BZ"/>
          <w:color w:val="000000"/>
          <w:szCs w:val="21"/>
        </w:rPr>
        <w:t xml:space="preserve"> </w:t>
      </w:r>
      <w:r>
        <w:rPr>
          <w:rFonts w:hint="eastAsia" w:ascii="E-BZ" w:hAnsi="E-BZ" w:cs="E-BZ"/>
          <w:color w:val="000000"/>
          <w:szCs w:val="21"/>
        </w:rPr>
        <w:t xml:space="preserve"> </w:t>
      </w:r>
      <w:r>
        <w:rPr>
          <w:rFonts w:hint="eastAsia" w:ascii="宋体" w:hAnsi="宋体" w:cs="宋体"/>
          <w:color w:val="000000"/>
          <w:szCs w:val="21"/>
        </w:rPr>
        <w:t>针对水工建筑物的陡立面、拐角、垂角等水下结构的数据采集</w:t>
      </w:r>
      <w:r>
        <w:rPr>
          <w:rFonts w:hint="eastAsia" w:ascii="E-BZ" w:hAnsi="E-BZ" w:cs="E-BZ"/>
          <w:color w:val="000000"/>
          <w:szCs w:val="21"/>
        </w:rPr>
        <w:t>，</w:t>
      </w:r>
      <w:r>
        <w:rPr>
          <w:rFonts w:hint="eastAsia" w:ascii="宋体" w:hAnsi="宋体" w:cs="宋体"/>
          <w:color w:val="000000"/>
          <w:szCs w:val="21"/>
        </w:rPr>
        <w:t>应适当调整声呐采集信号的参数，测线覆盖不宜少于</w:t>
      </w:r>
      <w:r>
        <w:rPr>
          <w:rFonts w:hint="eastAsia" w:ascii="Times New Roman" w:hAnsi="Times New Roman"/>
          <w:kern w:val="0"/>
          <w:szCs w:val="21"/>
        </w:rPr>
        <w:t>3</w:t>
      </w:r>
      <w:r>
        <w:rPr>
          <w:rFonts w:hint="eastAsia" w:ascii="宋体" w:hAnsi="宋体" w:cs="宋体"/>
          <w:color w:val="000000"/>
          <w:szCs w:val="21"/>
        </w:rPr>
        <w:t>条。</w:t>
      </w:r>
      <w:r>
        <w:rPr>
          <w:rFonts w:ascii="E-BZ" w:hAnsi="E-BZ" w:eastAsia="E-BZ" w:cs="E-BZ"/>
          <w:color w:val="000000"/>
          <w:szCs w:val="21"/>
        </w:rPr>
        <w:t xml:space="preserve"> </w:t>
      </w:r>
    </w:p>
    <w:p>
      <w:pPr>
        <w:autoSpaceDE w:val="0"/>
        <w:autoSpaceDN w:val="0"/>
        <w:spacing w:line="360" w:lineRule="auto"/>
        <w:ind w:firstLine="420" w:firstLineChars="200"/>
        <w:rPr>
          <w:rFonts w:ascii="E-BZ" w:hAnsi="E-BZ" w:eastAsia="E-BZ" w:cs="E-BZ"/>
          <w:color w:val="000000"/>
          <w:szCs w:val="21"/>
        </w:rPr>
      </w:pPr>
      <w:r>
        <w:rPr>
          <w:rFonts w:hint="eastAsia" w:ascii="黑体" w:hAnsi="黑体" w:eastAsia="黑体" w:cs="黑体"/>
        </w:rPr>
        <w:t>12</w:t>
      </w:r>
      <w:r>
        <w:rPr>
          <w:rFonts w:ascii="Times New Roman" w:hAnsi="Times New Roman"/>
          <w:b/>
          <w:bCs/>
          <w:szCs w:val="21"/>
        </w:rPr>
        <w:t xml:space="preserve"> </w:t>
      </w:r>
      <w:r>
        <w:rPr>
          <w:rFonts w:hint="eastAsia" w:ascii="Times New Roman" w:hAnsi="Times New Roman"/>
          <w:b/>
          <w:bCs/>
          <w:szCs w:val="21"/>
        </w:rPr>
        <w:t xml:space="preserve"> </w:t>
      </w:r>
      <w:r>
        <w:rPr>
          <w:rFonts w:hint="eastAsia" w:ascii="宋体" w:hAnsi="宋体" w:cs="宋体"/>
          <w:color w:val="000000"/>
          <w:szCs w:val="21"/>
        </w:rPr>
        <w:t>针对发现的水下结构异常部位应加密测线或多次覆盖。</w:t>
      </w:r>
    </w:p>
    <w:p>
      <w:pPr>
        <w:autoSpaceDE w:val="0"/>
        <w:autoSpaceDN w:val="0"/>
        <w:spacing w:line="360" w:lineRule="auto"/>
        <w:rPr>
          <w:rFonts w:ascii="Times New Roman" w:hAnsi="Times New Roman"/>
          <w:kern w:val="0"/>
          <w:szCs w:val="21"/>
        </w:rPr>
      </w:pPr>
      <w:r>
        <w:rPr>
          <w:rFonts w:hint="eastAsia" w:ascii="黑体" w:hAnsi="黑体" w:eastAsia="黑体" w:cs="黑体"/>
        </w:rPr>
        <w:t xml:space="preserve">G.1.4 </w:t>
      </w:r>
      <w:r>
        <w:rPr>
          <w:rFonts w:hint="eastAsia" w:ascii="Times New Roman" w:hAnsi="Times New Roman"/>
          <w:b/>
          <w:bCs/>
          <w:szCs w:val="21"/>
        </w:rPr>
        <w:t xml:space="preserve"> </w:t>
      </w:r>
      <w:r>
        <w:rPr>
          <w:rFonts w:ascii="Times New Roman" w:hAnsi="Times New Roman"/>
          <w:kern w:val="0"/>
          <w:szCs w:val="21"/>
        </w:rPr>
        <w:t>数据处理、图件制作除应符合JT/T 790的规定外</w:t>
      </w:r>
      <w:r>
        <w:rPr>
          <w:rFonts w:hint="eastAsia" w:ascii="Times New Roman" w:hAnsi="Times New Roman"/>
          <w:kern w:val="0"/>
          <w:szCs w:val="21"/>
        </w:rPr>
        <w:t>，</w:t>
      </w:r>
      <w:r>
        <w:rPr>
          <w:rFonts w:ascii="Times New Roman" w:hAnsi="Times New Roman"/>
          <w:kern w:val="0"/>
          <w:szCs w:val="21"/>
        </w:rPr>
        <w:t>还应符合下列规定</w:t>
      </w:r>
      <w:r>
        <w:rPr>
          <w:rFonts w:hint="eastAsia" w:ascii="Times New Roman" w:hAnsi="Times New Roman"/>
          <w:kern w:val="0"/>
          <w:szCs w:val="21"/>
        </w:rPr>
        <w:t>：</w:t>
      </w:r>
      <w:r>
        <w:rPr>
          <w:rFonts w:ascii="Times New Roman" w:hAnsi="Times New Roman"/>
          <w:kern w:val="0"/>
          <w:szCs w:val="21"/>
        </w:rPr>
        <w:t xml:space="preserve"> </w:t>
      </w:r>
    </w:p>
    <w:p>
      <w:pPr>
        <w:autoSpaceDE w:val="0"/>
        <w:autoSpaceDN w:val="0"/>
        <w:spacing w:line="360" w:lineRule="auto"/>
        <w:ind w:firstLine="420" w:firstLineChars="200"/>
        <w:rPr>
          <w:rFonts w:ascii="Times New Roman" w:hAnsi="Times New Roman"/>
          <w:kern w:val="0"/>
          <w:szCs w:val="21"/>
        </w:rPr>
      </w:pPr>
      <w:r>
        <w:rPr>
          <w:rFonts w:hint="eastAsia" w:ascii="黑体" w:hAnsi="黑体" w:eastAsia="黑体" w:cs="黑体"/>
        </w:rPr>
        <w:t xml:space="preserve">1  </w:t>
      </w:r>
      <w:r>
        <w:rPr>
          <w:rFonts w:ascii="Times New Roman" w:hAnsi="Times New Roman"/>
          <w:kern w:val="0"/>
          <w:szCs w:val="21"/>
        </w:rPr>
        <w:t>每条测线信息、数据处理参数及异常区域处理</w:t>
      </w:r>
      <w:r>
        <w:rPr>
          <w:rFonts w:hint="eastAsia" w:ascii="Times New Roman" w:hAnsi="Times New Roman"/>
          <w:kern w:val="0"/>
          <w:szCs w:val="21"/>
        </w:rPr>
        <w:t>，</w:t>
      </w:r>
      <w:r>
        <w:rPr>
          <w:rFonts w:ascii="Times New Roman" w:hAnsi="Times New Roman"/>
          <w:kern w:val="0"/>
          <w:szCs w:val="21"/>
        </w:rPr>
        <w:t xml:space="preserve">应做好过程记录。 </w:t>
      </w:r>
    </w:p>
    <w:p>
      <w:pPr>
        <w:autoSpaceDE w:val="0"/>
        <w:autoSpaceDN w:val="0"/>
        <w:spacing w:line="360" w:lineRule="auto"/>
        <w:ind w:firstLine="420" w:firstLineChars="200"/>
        <w:rPr>
          <w:rFonts w:ascii="Times New Roman" w:hAnsi="Times New Roman"/>
          <w:kern w:val="0"/>
          <w:szCs w:val="21"/>
        </w:rPr>
      </w:pPr>
      <w:r>
        <w:rPr>
          <w:rFonts w:hint="eastAsia" w:ascii="黑体" w:hAnsi="黑体" w:eastAsia="黑体" w:cs="黑体"/>
        </w:rPr>
        <w:t>2</w:t>
      </w:r>
      <w:r>
        <w:rPr>
          <w:rFonts w:ascii="Times New Roman" w:hAnsi="Times New Roman"/>
          <w:kern w:val="0"/>
          <w:szCs w:val="21"/>
        </w:rPr>
        <w:t xml:space="preserve"> </w:t>
      </w:r>
      <w:r>
        <w:rPr>
          <w:rFonts w:hint="eastAsia" w:ascii="Times New Roman" w:hAnsi="Times New Roman"/>
          <w:kern w:val="0"/>
          <w:szCs w:val="21"/>
        </w:rPr>
        <w:t xml:space="preserve"> </w:t>
      </w:r>
      <w:r>
        <w:rPr>
          <w:rFonts w:ascii="Times New Roman" w:hAnsi="Times New Roman"/>
          <w:kern w:val="0"/>
          <w:szCs w:val="21"/>
        </w:rPr>
        <w:t>宜与工程资料及历次检测资料对比</w:t>
      </w:r>
      <w:r>
        <w:rPr>
          <w:rFonts w:hint="eastAsia" w:ascii="Times New Roman" w:hAnsi="Times New Roman"/>
          <w:kern w:val="0"/>
          <w:szCs w:val="21"/>
        </w:rPr>
        <w:t>，</w:t>
      </w:r>
      <w:r>
        <w:rPr>
          <w:rFonts w:ascii="Times New Roman" w:hAnsi="Times New Roman"/>
          <w:kern w:val="0"/>
          <w:szCs w:val="21"/>
        </w:rPr>
        <w:t xml:space="preserve">分析外观缺陷或异常部位形态、体量变化。 </w:t>
      </w:r>
    </w:p>
    <w:p>
      <w:pPr>
        <w:autoSpaceDE w:val="0"/>
        <w:autoSpaceDN w:val="0"/>
        <w:spacing w:line="360" w:lineRule="auto"/>
        <w:ind w:firstLine="420" w:firstLineChars="200"/>
        <w:rPr>
          <w:rFonts w:ascii="Times New Roman" w:hAnsi="Times New Roman"/>
          <w:kern w:val="0"/>
          <w:szCs w:val="21"/>
        </w:rPr>
      </w:pPr>
      <w:r>
        <w:rPr>
          <w:rFonts w:hint="eastAsia" w:ascii="黑体" w:hAnsi="黑体" w:eastAsia="黑体" w:cs="黑体"/>
        </w:rPr>
        <w:t>3</w:t>
      </w:r>
      <w:r>
        <w:rPr>
          <w:rFonts w:ascii="Times New Roman" w:hAnsi="Times New Roman"/>
          <w:kern w:val="0"/>
          <w:szCs w:val="21"/>
        </w:rPr>
        <w:t xml:space="preserve"> </w:t>
      </w:r>
      <w:r>
        <w:rPr>
          <w:rFonts w:hint="eastAsia" w:ascii="Times New Roman" w:hAnsi="Times New Roman"/>
          <w:kern w:val="0"/>
          <w:szCs w:val="21"/>
        </w:rPr>
        <w:t xml:space="preserve"> </w:t>
      </w:r>
      <w:r>
        <w:rPr>
          <w:rFonts w:ascii="Times New Roman" w:hAnsi="Times New Roman"/>
          <w:kern w:val="0"/>
          <w:szCs w:val="21"/>
        </w:rPr>
        <w:t>水下检测成果图应标注水流方向、结构物名称、里程桩号、高程等信息。水下典型剖面宜包括外观缺陷部位</w:t>
      </w:r>
      <w:r>
        <w:rPr>
          <w:rFonts w:hint="eastAsia" w:ascii="Times New Roman" w:hAnsi="Times New Roman"/>
          <w:kern w:val="0"/>
          <w:szCs w:val="21"/>
        </w:rPr>
        <w:t>，</w:t>
      </w:r>
      <w:r>
        <w:rPr>
          <w:rFonts w:ascii="Times New Roman" w:hAnsi="Times New Roman"/>
          <w:kern w:val="0"/>
          <w:szCs w:val="21"/>
        </w:rPr>
        <w:t xml:space="preserve">剖面处形态变化特征。 </w:t>
      </w:r>
    </w:p>
    <w:p>
      <w:pPr>
        <w:autoSpaceDE w:val="0"/>
        <w:autoSpaceDN w:val="0"/>
        <w:spacing w:line="360" w:lineRule="auto"/>
        <w:ind w:firstLine="420" w:firstLineChars="200"/>
        <w:rPr>
          <w:rFonts w:ascii="Times New Roman" w:hAnsi="Times New Roman"/>
          <w:kern w:val="0"/>
          <w:szCs w:val="21"/>
        </w:rPr>
      </w:pPr>
      <w:r>
        <w:rPr>
          <w:rFonts w:hint="eastAsia" w:ascii="黑体" w:hAnsi="黑体" w:eastAsia="黑体" w:cs="黑体"/>
        </w:rPr>
        <w:t xml:space="preserve">4  </w:t>
      </w:r>
      <w:r>
        <w:rPr>
          <w:rFonts w:ascii="Times New Roman" w:hAnsi="Times New Roman"/>
          <w:kern w:val="0"/>
          <w:szCs w:val="21"/>
        </w:rPr>
        <w:t>成果图件宜根据制图比例尺和项目要求</w:t>
      </w:r>
      <w:r>
        <w:rPr>
          <w:rFonts w:hint="eastAsia" w:ascii="Times New Roman" w:hAnsi="Times New Roman"/>
          <w:kern w:val="0"/>
          <w:szCs w:val="21"/>
        </w:rPr>
        <w:t>，</w:t>
      </w:r>
      <w:r>
        <w:rPr>
          <w:rFonts w:ascii="Times New Roman" w:hAnsi="Times New Roman"/>
          <w:kern w:val="0"/>
          <w:szCs w:val="21"/>
        </w:rPr>
        <w:t>对符合质量要 求的多波束水深数据进行抽稀</w:t>
      </w:r>
      <w:r>
        <w:rPr>
          <w:rFonts w:hint="eastAsia" w:ascii="Times New Roman" w:hAnsi="Times New Roman"/>
          <w:kern w:val="0"/>
          <w:szCs w:val="21"/>
        </w:rPr>
        <w:t>，</w:t>
      </w:r>
      <w:r>
        <w:rPr>
          <w:rFonts w:ascii="Times New Roman" w:hAnsi="Times New Roman"/>
          <w:kern w:val="0"/>
          <w:szCs w:val="21"/>
        </w:rPr>
        <w:t xml:space="preserve">水深点图上间距不宜大于5mm。 </w:t>
      </w:r>
    </w:p>
    <w:p>
      <w:pPr>
        <w:autoSpaceDE w:val="0"/>
        <w:autoSpaceDN w:val="0"/>
        <w:spacing w:line="360" w:lineRule="auto"/>
        <w:rPr>
          <w:rFonts w:ascii="Times New Roman" w:hAnsi="Times New Roman"/>
          <w:b/>
          <w:bCs/>
          <w:szCs w:val="21"/>
        </w:rPr>
      </w:pPr>
      <w:r>
        <w:rPr>
          <w:rFonts w:hint="eastAsia" w:ascii="黑体" w:hAnsi="黑体" w:eastAsia="黑体" w:cs="黑体"/>
        </w:rPr>
        <w:t xml:space="preserve">G.1.5  </w:t>
      </w:r>
      <w:r>
        <w:rPr>
          <w:rFonts w:ascii="Times New Roman" w:hAnsi="Times New Roman"/>
          <w:kern w:val="0"/>
          <w:szCs w:val="21"/>
        </w:rPr>
        <w:t>根据数据处理结果</w:t>
      </w:r>
      <w:r>
        <w:rPr>
          <w:rFonts w:hint="eastAsia" w:ascii="Times New Roman" w:hAnsi="Times New Roman"/>
          <w:kern w:val="0"/>
          <w:szCs w:val="21"/>
        </w:rPr>
        <w:t>，</w:t>
      </w:r>
      <w:r>
        <w:rPr>
          <w:rFonts w:ascii="Times New Roman" w:hAnsi="Times New Roman"/>
          <w:kern w:val="0"/>
          <w:szCs w:val="21"/>
        </w:rPr>
        <w:t>发现测区内相邻测量测线的重叠带宽度不符合规定</w:t>
      </w:r>
      <w:r>
        <w:rPr>
          <w:rFonts w:hint="eastAsia" w:ascii="Times New Roman" w:hAnsi="Times New Roman"/>
          <w:kern w:val="0"/>
          <w:szCs w:val="21"/>
        </w:rPr>
        <w:t>，</w:t>
      </w:r>
      <w:r>
        <w:rPr>
          <w:rFonts w:ascii="Times New Roman" w:hAnsi="Times New Roman"/>
          <w:kern w:val="0"/>
          <w:szCs w:val="21"/>
        </w:rPr>
        <w:t>或测区范围不满足要求</w:t>
      </w:r>
      <w:r>
        <w:rPr>
          <w:rFonts w:hint="eastAsia" w:ascii="Times New Roman" w:hAnsi="Times New Roman"/>
          <w:kern w:val="0"/>
          <w:szCs w:val="21"/>
        </w:rPr>
        <w:t>，</w:t>
      </w:r>
      <w:r>
        <w:rPr>
          <w:rFonts w:ascii="Times New Roman" w:hAnsi="Times New Roman"/>
          <w:kern w:val="0"/>
          <w:szCs w:val="21"/>
        </w:rPr>
        <w:t>应进行补测。</w:t>
      </w:r>
    </w:p>
    <w:p>
      <w:pPr>
        <w:autoSpaceDE w:val="0"/>
        <w:autoSpaceDN w:val="0"/>
        <w:spacing w:line="360" w:lineRule="auto"/>
        <w:rPr>
          <w:rFonts w:ascii="Times New Roman" w:hAnsi="Times New Roman"/>
          <w:kern w:val="0"/>
          <w:szCs w:val="21"/>
        </w:rPr>
      </w:pPr>
      <w:r>
        <w:rPr>
          <w:rFonts w:hint="eastAsia" w:ascii="黑体" w:hAnsi="黑体" w:eastAsia="黑体" w:cs="黑体"/>
        </w:rPr>
        <w:t xml:space="preserve">G.1.6  </w:t>
      </w:r>
      <w:r>
        <w:rPr>
          <w:rFonts w:ascii="Times New Roman" w:hAnsi="Times New Roman"/>
          <w:kern w:val="0"/>
          <w:szCs w:val="21"/>
        </w:rPr>
        <w:t>检测过程中发现下列问题时应进行重测</w:t>
      </w:r>
      <w:r>
        <w:rPr>
          <w:rFonts w:hint="eastAsia" w:ascii="Times New Roman" w:hAnsi="Times New Roman"/>
          <w:kern w:val="0"/>
          <w:szCs w:val="21"/>
        </w:rPr>
        <w:t>：</w:t>
      </w:r>
      <w:r>
        <w:rPr>
          <w:rFonts w:ascii="Times New Roman" w:hAnsi="Times New Roman"/>
          <w:kern w:val="0"/>
          <w:szCs w:val="21"/>
        </w:rPr>
        <w:t xml:space="preserve"> </w:t>
      </w:r>
    </w:p>
    <w:p>
      <w:pPr>
        <w:autoSpaceDE w:val="0"/>
        <w:autoSpaceDN w:val="0"/>
        <w:spacing w:line="360" w:lineRule="auto"/>
        <w:ind w:firstLine="420" w:firstLineChars="200"/>
        <w:rPr>
          <w:rFonts w:ascii="Times New Roman" w:hAnsi="Times New Roman"/>
          <w:kern w:val="0"/>
          <w:szCs w:val="21"/>
        </w:rPr>
      </w:pPr>
      <w:r>
        <w:rPr>
          <w:rFonts w:hint="eastAsia" w:ascii="黑体" w:hAnsi="黑体" w:eastAsia="黑体" w:cs="黑体"/>
        </w:rPr>
        <w:t>1</w:t>
      </w:r>
      <w:r>
        <w:rPr>
          <w:rFonts w:ascii="Times New Roman" w:hAnsi="Times New Roman"/>
          <w:b/>
          <w:bCs/>
          <w:szCs w:val="21"/>
        </w:rPr>
        <w:t xml:space="preserve"> </w:t>
      </w:r>
      <w:r>
        <w:rPr>
          <w:rFonts w:hint="eastAsia" w:ascii="Times New Roman" w:hAnsi="Times New Roman"/>
          <w:b/>
          <w:bCs/>
          <w:szCs w:val="21"/>
        </w:rPr>
        <w:t xml:space="preserve"> </w:t>
      </w:r>
      <w:r>
        <w:rPr>
          <w:rFonts w:ascii="Times New Roman" w:hAnsi="Times New Roman"/>
          <w:kern w:val="0"/>
          <w:szCs w:val="21"/>
        </w:rPr>
        <w:t>相邻测量测线或不同测量日期所测水深拼接误差超过限值</w:t>
      </w:r>
      <w:r>
        <w:rPr>
          <w:rFonts w:hint="eastAsia" w:ascii="Times New Roman" w:hAnsi="Times New Roman"/>
          <w:kern w:val="0"/>
          <w:szCs w:val="21"/>
        </w:rPr>
        <w:t>，</w:t>
      </w:r>
      <w:r>
        <w:rPr>
          <w:rFonts w:ascii="Times New Roman" w:hAnsi="Times New Roman"/>
          <w:kern w:val="0"/>
          <w:szCs w:val="21"/>
        </w:rPr>
        <w:t xml:space="preserve">经校正修正后仍无法拼接重合。 </w:t>
      </w:r>
    </w:p>
    <w:p>
      <w:pPr>
        <w:autoSpaceDE w:val="0"/>
        <w:autoSpaceDN w:val="0"/>
        <w:spacing w:line="360" w:lineRule="auto"/>
        <w:ind w:firstLine="420" w:firstLineChars="200"/>
        <w:rPr>
          <w:rFonts w:ascii="Times New Roman" w:hAnsi="Times New Roman"/>
          <w:kern w:val="0"/>
          <w:szCs w:val="21"/>
        </w:rPr>
      </w:pPr>
      <w:r>
        <w:rPr>
          <w:rFonts w:hint="eastAsia" w:ascii="黑体" w:hAnsi="黑体" w:eastAsia="黑体" w:cs="黑体"/>
        </w:rPr>
        <w:t>2</w:t>
      </w:r>
      <w:r>
        <w:rPr>
          <w:rFonts w:ascii="Times New Roman" w:hAnsi="Times New Roman"/>
          <w:kern w:val="0"/>
          <w:szCs w:val="21"/>
        </w:rPr>
        <w:t xml:space="preserve"> </w:t>
      </w:r>
      <w:r>
        <w:rPr>
          <w:rFonts w:hint="eastAsia" w:ascii="Times New Roman" w:hAnsi="Times New Roman"/>
          <w:kern w:val="0"/>
          <w:szCs w:val="21"/>
        </w:rPr>
        <w:t xml:space="preserve"> </w:t>
      </w:r>
      <w:r>
        <w:rPr>
          <w:rFonts w:ascii="Times New Roman" w:hAnsi="Times New Roman"/>
          <w:kern w:val="0"/>
          <w:szCs w:val="21"/>
        </w:rPr>
        <w:t xml:space="preserve">探测数据精度无法达到分辨最小外观缺陷的要求。 </w:t>
      </w:r>
    </w:p>
    <w:p>
      <w:pPr>
        <w:autoSpaceDE w:val="0"/>
        <w:autoSpaceDN w:val="0"/>
        <w:spacing w:line="360" w:lineRule="auto"/>
        <w:ind w:firstLine="420" w:firstLineChars="200"/>
        <w:rPr>
          <w:rFonts w:ascii="Times New Roman" w:hAnsi="Times New Roman"/>
          <w:kern w:val="0"/>
          <w:szCs w:val="21"/>
        </w:rPr>
      </w:pPr>
      <w:r>
        <w:rPr>
          <w:rFonts w:hint="eastAsia" w:ascii="黑体" w:hAnsi="黑体" w:eastAsia="黑体" w:cs="黑体"/>
        </w:rPr>
        <w:t xml:space="preserve">3  </w:t>
      </w:r>
      <w:r>
        <w:rPr>
          <w:rFonts w:ascii="Times New Roman" w:hAnsi="Times New Roman"/>
          <w:kern w:val="0"/>
          <w:szCs w:val="21"/>
        </w:rPr>
        <w:t>水位控制、潮位数据资料不符合有关测量规范的要求。</w:t>
      </w:r>
    </w:p>
    <w:p>
      <w:pPr>
        <w:autoSpaceDE w:val="0"/>
        <w:autoSpaceDN w:val="0"/>
        <w:spacing w:line="360" w:lineRule="auto"/>
        <w:ind w:firstLine="420" w:firstLineChars="200"/>
        <w:rPr>
          <w:rFonts w:ascii="Times New Roman" w:hAnsi="Times New Roman"/>
          <w:kern w:val="0"/>
          <w:szCs w:val="21"/>
        </w:rPr>
      </w:pPr>
      <w:r>
        <w:rPr>
          <w:rFonts w:hint="eastAsia" w:ascii="黑体" w:hAnsi="黑体" w:eastAsia="黑体" w:cs="黑体"/>
        </w:rPr>
        <w:t>4</w:t>
      </w:r>
      <w:r>
        <w:rPr>
          <w:rFonts w:ascii="Times New Roman" w:hAnsi="Times New Roman"/>
          <w:kern w:val="0"/>
          <w:szCs w:val="21"/>
        </w:rPr>
        <w:t xml:space="preserve"> </w:t>
      </w:r>
      <w:r>
        <w:rPr>
          <w:rFonts w:hint="eastAsia" w:ascii="Times New Roman" w:hAnsi="Times New Roman"/>
          <w:kern w:val="0"/>
          <w:szCs w:val="21"/>
        </w:rPr>
        <w:t xml:space="preserve"> </w:t>
      </w:r>
      <w:r>
        <w:rPr>
          <w:rFonts w:ascii="Times New Roman" w:hAnsi="Times New Roman"/>
          <w:kern w:val="0"/>
          <w:szCs w:val="21"/>
        </w:rPr>
        <w:t>水深异常、数据质量不满足精度要求。</w:t>
      </w:r>
    </w:p>
    <w:p>
      <w:pPr>
        <w:autoSpaceDE w:val="0"/>
        <w:autoSpaceDN w:val="0"/>
        <w:spacing w:line="360" w:lineRule="auto"/>
        <w:ind w:firstLine="420" w:firstLineChars="200"/>
        <w:rPr>
          <w:rFonts w:ascii="Times New Roman" w:hAnsi="Times New Roman"/>
          <w:kern w:val="0"/>
          <w:szCs w:val="21"/>
        </w:rPr>
      </w:pPr>
      <w:r>
        <w:rPr>
          <w:rFonts w:hint="eastAsia" w:ascii="黑体" w:hAnsi="黑体" w:eastAsia="黑体" w:cs="黑体"/>
        </w:rPr>
        <w:t xml:space="preserve">5 </w:t>
      </w:r>
      <w:r>
        <w:rPr>
          <w:rFonts w:ascii="Times New Roman" w:hAnsi="Times New Roman"/>
          <w:kern w:val="0"/>
          <w:szCs w:val="21"/>
        </w:rPr>
        <w:t xml:space="preserve"> 水深测量测线与校准测线水深比对时</w:t>
      </w:r>
      <w:r>
        <w:rPr>
          <w:rFonts w:hint="eastAsia" w:ascii="Times New Roman" w:hAnsi="Times New Roman"/>
          <w:kern w:val="0"/>
          <w:szCs w:val="21"/>
        </w:rPr>
        <w:t>，</w:t>
      </w:r>
      <w:r>
        <w:rPr>
          <w:rFonts w:ascii="Times New Roman" w:hAnsi="Times New Roman"/>
          <w:kern w:val="0"/>
          <w:szCs w:val="21"/>
        </w:rPr>
        <w:t>超过限值的点数超过比对总点数的15%。</w:t>
      </w:r>
    </w:p>
    <w:p>
      <w:pPr>
        <w:autoSpaceDE w:val="0"/>
        <w:autoSpaceDN w:val="0"/>
        <w:spacing w:line="360" w:lineRule="auto"/>
        <w:ind w:firstLine="420" w:firstLineChars="200"/>
        <w:rPr>
          <w:rFonts w:ascii="Times New Roman" w:hAnsi="Times New Roman"/>
          <w:kern w:val="0"/>
          <w:szCs w:val="21"/>
        </w:rPr>
      </w:pPr>
    </w:p>
    <w:p>
      <w:pPr>
        <w:pStyle w:val="3"/>
        <w:snapToGrid w:val="0"/>
        <w:spacing w:beforeLines="50" w:afterLines="50" w:line="360" w:lineRule="auto"/>
        <w:jc w:val="center"/>
        <w:rPr>
          <w:rFonts w:ascii="黑体" w:hAnsi="黑体" w:cs="黑体"/>
          <w:sz w:val="24"/>
          <w:szCs w:val="24"/>
        </w:rPr>
      </w:pPr>
      <w:bookmarkStart w:id="204" w:name="_Toc28830"/>
      <w:bookmarkStart w:id="205" w:name="_Toc20180"/>
      <w:bookmarkStart w:id="206" w:name="_Toc27193"/>
      <w:r>
        <w:rPr>
          <w:rFonts w:ascii="黑体" w:hAnsi="黑体" w:cs="黑体"/>
          <w:sz w:val="24"/>
          <w:szCs w:val="24"/>
        </w:rPr>
        <w:t>G.2  成像声呐技术</w:t>
      </w:r>
      <w:bookmarkEnd w:id="204"/>
      <w:bookmarkEnd w:id="205"/>
      <w:bookmarkEnd w:id="206"/>
    </w:p>
    <w:p>
      <w:pPr>
        <w:autoSpaceDE w:val="0"/>
        <w:autoSpaceDN w:val="0"/>
        <w:spacing w:line="360" w:lineRule="auto"/>
        <w:rPr>
          <w:rFonts w:ascii="Times New Roman" w:hAnsi="Times New Roman"/>
          <w:kern w:val="0"/>
          <w:szCs w:val="21"/>
        </w:rPr>
      </w:pPr>
      <w:r>
        <w:rPr>
          <w:rFonts w:hint="eastAsia" w:ascii="黑体" w:hAnsi="黑体" w:eastAsia="黑体" w:cs="黑体"/>
        </w:rPr>
        <w:t>G.2.1</w:t>
      </w:r>
      <w:r>
        <w:rPr>
          <w:rFonts w:ascii="Times New Roman" w:hAnsi="Times New Roman"/>
          <w:kern w:val="0"/>
          <w:szCs w:val="21"/>
        </w:rPr>
        <w:t xml:space="preserve"> </w:t>
      </w:r>
      <w:r>
        <w:rPr>
          <w:rFonts w:hint="eastAsia" w:ascii="Times New Roman" w:hAnsi="Times New Roman"/>
          <w:kern w:val="0"/>
          <w:szCs w:val="21"/>
        </w:rPr>
        <w:t xml:space="preserve"> </w:t>
      </w:r>
      <w:r>
        <w:rPr>
          <w:rFonts w:ascii="Times New Roman" w:hAnsi="Times New Roman"/>
          <w:kern w:val="0"/>
          <w:szCs w:val="21"/>
        </w:rPr>
        <w:t xml:space="preserve">成像声呐技术宜用于水工建筑物水下表观状态、外观缺陷详查。 </w:t>
      </w:r>
    </w:p>
    <w:p>
      <w:pPr>
        <w:autoSpaceDE w:val="0"/>
        <w:autoSpaceDN w:val="0"/>
        <w:spacing w:line="360" w:lineRule="auto"/>
        <w:rPr>
          <w:rFonts w:ascii="Times New Roman" w:hAnsi="Times New Roman"/>
          <w:kern w:val="0"/>
          <w:szCs w:val="21"/>
        </w:rPr>
      </w:pPr>
      <w:r>
        <w:rPr>
          <w:rFonts w:hint="eastAsia" w:ascii="黑体" w:hAnsi="黑体" w:eastAsia="黑体" w:cs="黑体"/>
        </w:rPr>
        <w:t xml:space="preserve">G.2.2  </w:t>
      </w:r>
      <w:r>
        <w:rPr>
          <w:rFonts w:ascii="Times New Roman" w:hAnsi="Times New Roman"/>
          <w:kern w:val="0"/>
          <w:szCs w:val="21"/>
        </w:rPr>
        <w:t>系统配置要求应符合下列规定</w:t>
      </w:r>
      <w:r>
        <w:rPr>
          <w:rFonts w:hint="eastAsia" w:ascii="Times New Roman" w:hAnsi="Times New Roman"/>
          <w:kern w:val="0"/>
          <w:szCs w:val="21"/>
        </w:rPr>
        <w:t>：</w:t>
      </w:r>
      <w:r>
        <w:rPr>
          <w:rFonts w:ascii="Times New Roman" w:hAnsi="Times New Roman"/>
          <w:kern w:val="0"/>
          <w:szCs w:val="21"/>
        </w:rPr>
        <w:t xml:space="preserve"> </w:t>
      </w:r>
    </w:p>
    <w:p>
      <w:pPr>
        <w:autoSpaceDE w:val="0"/>
        <w:autoSpaceDN w:val="0"/>
        <w:spacing w:line="360" w:lineRule="auto"/>
        <w:ind w:firstLine="420" w:firstLineChars="200"/>
        <w:rPr>
          <w:rFonts w:ascii="Times New Roman" w:hAnsi="Times New Roman"/>
          <w:kern w:val="0"/>
          <w:szCs w:val="21"/>
        </w:rPr>
      </w:pPr>
      <w:r>
        <w:rPr>
          <w:rFonts w:hint="eastAsia" w:ascii="黑体" w:hAnsi="黑体" w:eastAsia="黑体" w:cs="黑体"/>
        </w:rPr>
        <w:t xml:space="preserve">1  </w:t>
      </w:r>
      <w:r>
        <w:rPr>
          <w:rFonts w:ascii="Times New Roman" w:hAnsi="Times New Roman"/>
          <w:kern w:val="0"/>
          <w:szCs w:val="21"/>
        </w:rPr>
        <w:t>成像声呐定位可采用水面或水下作业载具的定位系统</w:t>
      </w:r>
      <w:r>
        <w:rPr>
          <w:rFonts w:hint="eastAsia" w:ascii="Times New Roman" w:hAnsi="Times New Roman"/>
          <w:kern w:val="0"/>
          <w:szCs w:val="21"/>
        </w:rPr>
        <w:t>，</w:t>
      </w:r>
      <w:r>
        <w:rPr>
          <w:rFonts w:ascii="Times New Roman" w:hAnsi="Times New Roman"/>
          <w:kern w:val="0"/>
          <w:szCs w:val="21"/>
        </w:rPr>
        <w:t xml:space="preserve">也可根据声呐影像识别的周边结构物的相对位置关系判定。 </w:t>
      </w:r>
    </w:p>
    <w:p>
      <w:pPr>
        <w:autoSpaceDE w:val="0"/>
        <w:autoSpaceDN w:val="0"/>
        <w:spacing w:line="360" w:lineRule="auto"/>
        <w:ind w:firstLine="420" w:firstLineChars="200"/>
        <w:rPr>
          <w:rFonts w:ascii="Times New Roman" w:hAnsi="Times New Roman"/>
          <w:kern w:val="0"/>
          <w:szCs w:val="21"/>
        </w:rPr>
      </w:pPr>
      <w:r>
        <w:rPr>
          <w:rFonts w:hint="eastAsia" w:ascii="黑体" w:hAnsi="黑体" w:eastAsia="黑体" w:cs="黑体"/>
        </w:rPr>
        <w:t>2</w:t>
      </w:r>
      <w:r>
        <w:rPr>
          <w:rFonts w:ascii="Times New Roman" w:hAnsi="Times New Roman"/>
          <w:kern w:val="0"/>
          <w:szCs w:val="21"/>
        </w:rPr>
        <w:t xml:space="preserve"> </w:t>
      </w:r>
      <w:r>
        <w:rPr>
          <w:rFonts w:hint="eastAsia" w:ascii="Times New Roman" w:hAnsi="Times New Roman"/>
          <w:kern w:val="0"/>
          <w:szCs w:val="21"/>
        </w:rPr>
        <w:t xml:space="preserve"> </w:t>
      </w:r>
      <w:r>
        <w:rPr>
          <w:rFonts w:ascii="Times New Roman" w:hAnsi="Times New Roman"/>
          <w:kern w:val="0"/>
          <w:szCs w:val="21"/>
        </w:rPr>
        <w:t>成像声呐的最大探测距离不宜大于100m</w:t>
      </w:r>
      <w:r>
        <w:rPr>
          <w:rFonts w:hint="eastAsia" w:ascii="Times New Roman" w:hAnsi="Times New Roman"/>
          <w:kern w:val="0"/>
          <w:szCs w:val="21"/>
        </w:rPr>
        <w:t>，</w:t>
      </w:r>
      <w:r>
        <w:rPr>
          <w:rFonts w:ascii="Times New Roman" w:hAnsi="Times New Roman"/>
          <w:kern w:val="0"/>
          <w:szCs w:val="21"/>
        </w:rPr>
        <w:t xml:space="preserve">距离分辨率应不大于1.5cm。 </w:t>
      </w:r>
    </w:p>
    <w:p>
      <w:pPr>
        <w:autoSpaceDE w:val="0"/>
        <w:autoSpaceDN w:val="0"/>
        <w:spacing w:line="360" w:lineRule="auto"/>
        <w:rPr>
          <w:rFonts w:ascii="Times New Roman" w:hAnsi="Times New Roman"/>
          <w:kern w:val="0"/>
          <w:szCs w:val="21"/>
        </w:rPr>
      </w:pPr>
      <w:r>
        <w:rPr>
          <w:rFonts w:hint="eastAsia" w:ascii="黑体" w:hAnsi="黑体" w:eastAsia="黑体" w:cs="黑体"/>
        </w:rPr>
        <w:t>G.2.3</w:t>
      </w:r>
      <w:r>
        <w:rPr>
          <w:rFonts w:ascii="Times New Roman" w:hAnsi="Times New Roman"/>
          <w:b/>
          <w:bCs/>
          <w:szCs w:val="20"/>
        </w:rPr>
        <w:t xml:space="preserve"> </w:t>
      </w:r>
      <w:r>
        <w:rPr>
          <w:rFonts w:hint="eastAsia" w:ascii="Times New Roman" w:hAnsi="Times New Roman"/>
          <w:b/>
          <w:bCs/>
          <w:szCs w:val="20"/>
        </w:rPr>
        <w:t xml:space="preserve"> </w:t>
      </w:r>
      <w:r>
        <w:rPr>
          <w:rFonts w:ascii="Times New Roman" w:hAnsi="Times New Roman"/>
          <w:kern w:val="0"/>
          <w:szCs w:val="21"/>
        </w:rPr>
        <w:t>工作布置和现场工作应符合下列规定</w:t>
      </w:r>
      <w:r>
        <w:rPr>
          <w:rFonts w:hint="eastAsia" w:ascii="Times New Roman" w:hAnsi="Times New Roman"/>
          <w:kern w:val="0"/>
          <w:szCs w:val="21"/>
        </w:rPr>
        <w:t>：</w:t>
      </w:r>
      <w:r>
        <w:rPr>
          <w:rFonts w:ascii="Times New Roman" w:hAnsi="Times New Roman"/>
          <w:kern w:val="0"/>
          <w:szCs w:val="21"/>
        </w:rPr>
        <w:t xml:space="preserve"> </w:t>
      </w:r>
    </w:p>
    <w:p>
      <w:pPr>
        <w:autoSpaceDE w:val="0"/>
        <w:autoSpaceDN w:val="0"/>
        <w:spacing w:line="360" w:lineRule="auto"/>
        <w:ind w:firstLine="420" w:firstLineChars="200"/>
        <w:rPr>
          <w:rFonts w:ascii="Times New Roman" w:hAnsi="Times New Roman"/>
          <w:b/>
          <w:bCs/>
          <w:szCs w:val="20"/>
        </w:rPr>
      </w:pPr>
      <w:r>
        <w:rPr>
          <w:rFonts w:hint="eastAsia" w:ascii="黑体" w:hAnsi="黑体" w:eastAsia="黑体" w:cs="黑体"/>
        </w:rPr>
        <w:t>1</w:t>
      </w:r>
      <w:r>
        <w:rPr>
          <w:rFonts w:ascii="Times New Roman" w:hAnsi="Times New Roman"/>
          <w:b/>
          <w:bCs/>
          <w:szCs w:val="20"/>
        </w:rPr>
        <w:t xml:space="preserve"> </w:t>
      </w:r>
      <w:r>
        <w:rPr>
          <w:rFonts w:hint="eastAsia" w:ascii="Times New Roman" w:hAnsi="Times New Roman"/>
          <w:b/>
          <w:bCs/>
          <w:szCs w:val="20"/>
        </w:rPr>
        <w:t xml:space="preserve"> </w:t>
      </w:r>
      <w:r>
        <w:rPr>
          <w:rFonts w:ascii="Times New Roman" w:hAnsi="Times New Roman"/>
          <w:kern w:val="0"/>
          <w:szCs w:val="21"/>
        </w:rPr>
        <w:t xml:space="preserve">应遵循由远及近、由整体至局部的布置原则。 </w:t>
      </w:r>
    </w:p>
    <w:p>
      <w:pPr>
        <w:autoSpaceDE w:val="0"/>
        <w:autoSpaceDN w:val="0"/>
        <w:spacing w:line="360" w:lineRule="auto"/>
        <w:ind w:firstLine="420" w:firstLineChars="200"/>
        <w:rPr>
          <w:rFonts w:ascii="Times New Roman" w:hAnsi="Times New Roman"/>
          <w:b/>
          <w:bCs/>
          <w:szCs w:val="20"/>
        </w:rPr>
      </w:pPr>
      <w:r>
        <w:rPr>
          <w:rFonts w:hint="eastAsia" w:ascii="黑体" w:hAnsi="黑体" w:eastAsia="黑体" w:cs="黑体"/>
        </w:rPr>
        <w:t xml:space="preserve">2 </w:t>
      </w:r>
      <w:r>
        <w:rPr>
          <w:rFonts w:ascii="Times New Roman" w:hAnsi="Times New Roman"/>
          <w:b/>
          <w:bCs/>
          <w:szCs w:val="20"/>
        </w:rPr>
        <w:t xml:space="preserve"> </w:t>
      </w:r>
      <w:r>
        <w:rPr>
          <w:rFonts w:ascii="Times New Roman" w:hAnsi="Times New Roman"/>
          <w:kern w:val="0"/>
          <w:szCs w:val="21"/>
        </w:rPr>
        <w:t>应根据测区水域环境</w:t>
      </w:r>
      <w:r>
        <w:rPr>
          <w:rFonts w:hint="eastAsia" w:ascii="Times New Roman" w:hAnsi="Times New Roman"/>
          <w:kern w:val="0"/>
          <w:szCs w:val="21"/>
        </w:rPr>
        <w:t>，</w:t>
      </w:r>
      <w:r>
        <w:rPr>
          <w:rFonts w:ascii="Times New Roman" w:hAnsi="Times New Roman"/>
          <w:kern w:val="0"/>
          <w:szCs w:val="21"/>
        </w:rPr>
        <w:t>调整声速、强度、伽马值</w:t>
      </w:r>
      <w:r>
        <w:rPr>
          <w:rFonts w:hint="eastAsia" w:ascii="Times New Roman" w:hAnsi="Times New Roman"/>
          <w:kern w:val="0"/>
          <w:szCs w:val="21"/>
        </w:rPr>
        <w:t>，</w:t>
      </w:r>
      <w:r>
        <w:rPr>
          <w:rFonts w:ascii="Times New Roman" w:hAnsi="Times New Roman"/>
          <w:kern w:val="0"/>
          <w:szCs w:val="21"/>
        </w:rPr>
        <w:t xml:space="preserve">保证能够分辨最小目标。 </w:t>
      </w:r>
    </w:p>
    <w:p>
      <w:pPr>
        <w:autoSpaceDE w:val="0"/>
        <w:autoSpaceDN w:val="0"/>
        <w:spacing w:line="360" w:lineRule="auto"/>
        <w:ind w:firstLine="420" w:firstLineChars="200"/>
        <w:rPr>
          <w:rFonts w:ascii="Times New Roman" w:hAnsi="Times New Roman"/>
          <w:kern w:val="0"/>
          <w:szCs w:val="21"/>
        </w:rPr>
      </w:pPr>
      <w:r>
        <w:rPr>
          <w:rFonts w:hint="eastAsia" w:ascii="黑体" w:hAnsi="黑体" w:eastAsia="黑体" w:cs="黑体"/>
        </w:rPr>
        <w:t>3</w:t>
      </w:r>
      <w:r>
        <w:rPr>
          <w:rFonts w:ascii="Times New Roman" w:hAnsi="Times New Roman"/>
          <w:b/>
          <w:bCs/>
          <w:szCs w:val="20"/>
        </w:rPr>
        <w:t xml:space="preserve"> </w:t>
      </w:r>
      <w:r>
        <w:rPr>
          <w:rFonts w:hint="eastAsia" w:ascii="Times New Roman" w:hAnsi="Times New Roman"/>
          <w:b/>
          <w:bCs/>
          <w:szCs w:val="20"/>
        </w:rPr>
        <w:t xml:space="preserve"> </w:t>
      </w:r>
      <w:r>
        <w:rPr>
          <w:rFonts w:ascii="Times New Roman" w:hAnsi="Times New Roman"/>
          <w:kern w:val="0"/>
          <w:szCs w:val="21"/>
        </w:rPr>
        <w:t>应根据目标物体形态</w:t>
      </w:r>
      <w:r>
        <w:rPr>
          <w:rFonts w:hint="eastAsia" w:ascii="Times New Roman" w:hAnsi="Times New Roman"/>
          <w:kern w:val="0"/>
          <w:szCs w:val="21"/>
        </w:rPr>
        <w:t>，</w:t>
      </w:r>
      <w:r>
        <w:rPr>
          <w:rFonts w:ascii="Times New Roman" w:hAnsi="Times New Roman"/>
          <w:kern w:val="0"/>
          <w:szCs w:val="21"/>
        </w:rPr>
        <w:t>将声呐传感器的安装角度朝向被测面</w:t>
      </w:r>
      <w:r>
        <w:rPr>
          <w:rFonts w:hint="eastAsia" w:ascii="Times New Roman" w:hAnsi="Times New Roman"/>
          <w:kern w:val="0"/>
          <w:szCs w:val="21"/>
        </w:rPr>
        <w:t>，</w:t>
      </w:r>
      <w:r>
        <w:rPr>
          <w:rFonts w:ascii="Times New Roman" w:hAnsi="Times New Roman"/>
          <w:kern w:val="0"/>
          <w:szCs w:val="21"/>
        </w:rPr>
        <w:t xml:space="preserve">并使被测物在最佳量程范围内。 </w:t>
      </w:r>
    </w:p>
    <w:p>
      <w:pPr>
        <w:autoSpaceDE w:val="0"/>
        <w:autoSpaceDN w:val="0"/>
        <w:spacing w:line="360" w:lineRule="auto"/>
        <w:ind w:firstLine="420" w:firstLineChars="200"/>
        <w:rPr>
          <w:rFonts w:ascii="Times New Roman" w:hAnsi="Times New Roman"/>
          <w:b/>
          <w:bCs/>
          <w:szCs w:val="20"/>
        </w:rPr>
      </w:pPr>
      <w:r>
        <w:rPr>
          <w:rFonts w:hint="eastAsia" w:ascii="黑体" w:hAnsi="黑体" w:eastAsia="黑体" w:cs="黑体"/>
        </w:rPr>
        <w:t xml:space="preserve">4  </w:t>
      </w:r>
      <w:r>
        <w:rPr>
          <w:rFonts w:ascii="Times New Roman" w:hAnsi="Times New Roman"/>
          <w:kern w:val="0"/>
          <w:szCs w:val="21"/>
        </w:rPr>
        <w:t>对于水质浑浊的水域</w:t>
      </w:r>
      <w:r>
        <w:rPr>
          <w:rFonts w:hint="eastAsia" w:ascii="Times New Roman" w:hAnsi="Times New Roman"/>
          <w:kern w:val="0"/>
          <w:szCs w:val="21"/>
        </w:rPr>
        <w:t>，</w:t>
      </w:r>
      <w:r>
        <w:rPr>
          <w:rFonts w:ascii="Times New Roman" w:hAnsi="Times New Roman"/>
          <w:kern w:val="0"/>
          <w:szCs w:val="21"/>
        </w:rPr>
        <w:t>应采用成像声呐辅助导引载具定位水下外观缺陷。</w:t>
      </w:r>
    </w:p>
    <w:p>
      <w:pPr>
        <w:autoSpaceDE w:val="0"/>
        <w:autoSpaceDN w:val="0"/>
        <w:spacing w:line="360" w:lineRule="auto"/>
        <w:rPr>
          <w:rFonts w:ascii="Times New Roman" w:hAnsi="Times New Roman"/>
          <w:kern w:val="0"/>
          <w:szCs w:val="21"/>
        </w:rPr>
      </w:pPr>
      <w:r>
        <w:rPr>
          <w:rFonts w:hint="eastAsia" w:ascii="黑体" w:hAnsi="黑体" w:eastAsia="黑体" w:cs="黑体"/>
        </w:rPr>
        <w:t>G.2.4</w:t>
      </w:r>
      <w:r>
        <w:rPr>
          <w:rFonts w:ascii="Times New Roman" w:hAnsi="Times New Roman"/>
          <w:kern w:val="0"/>
          <w:szCs w:val="21"/>
        </w:rPr>
        <w:t xml:space="preserve"> </w:t>
      </w:r>
      <w:r>
        <w:rPr>
          <w:rFonts w:hint="eastAsia" w:ascii="Times New Roman" w:hAnsi="Times New Roman"/>
          <w:kern w:val="0"/>
          <w:szCs w:val="21"/>
        </w:rPr>
        <w:t xml:space="preserve"> </w:t>
      </w:r>
      <w:r>
        <w:rPr>
          <w:rFonts w:ascii="Times New Roman" w:hAnsi="Times New Roman"/>
          <w:kern w:val="0"/>
          <w:szCs w:val="21"/>
        </w:rPr>
        <w:t>成像声呐数据采集时应记录测线走向、长度、位置及时间</w:t>
      </w:r>
      <w:r>
        <w:rPr>
          <w:rFonts w:hint="eastAsia" w:ascii="Times New Roman" w:hAnsi="Times New Roman"/>
          <w:kern w:val="0"/>
          <w:szCs w:val="21"/>
        </w:rPr>
        <w:t>，</w:t>
      </w:r>
      <w:r>
        <w:rPr>
          <w:rFonts w:ascii="Times New Roman" w:hAnsi="Times New Roman"/>
          <w:kern w:val="0"/>
          <w:szCs w:val="21"/>
        </w:rPr>
        <w:t>标记并描述外观缺陷出现的时间及性状</w:t>
      </w:r>
      <w:r>
        <w:rPr>
          <w:rFonts w:hint="eastAsia" w:ascii="Times New Roman" w:hAnsi="Times New Roman"/>
          <w:kern w:val="0"/>
          <w:szCs w:val="21"/>
        </w:rPr>
        <w:t>，</w:t>
      </w:r>
      <w:r>
        <w:rPr>
          <w:rFonts w:ascii="Times New Roman" w:hAnsi="Times New Roman"/>
          <w:kern w:val="0"/>
          <w:szCs w:val="21"/>
        </w:rPr>
        <w:t>采集影像应清晰反应目标物的结构形态及表观特征。</w:t>
      </w:r>
    </w:p>
    <w:p>
      <w:pPr>
        <w:autoSpaceDE w:val="0"/>
        <w:autoSpaceDN w:val="0"/>
        <w:spacing w:line="360" w:lineRule="auto"/>
        <w:rPr>
          <w:rFonts w:ascii="Times New Roman" w:hAnsi="Times New Roman"/>
          <w:kern w:val="0"/>
          <w:szCs w:val="21"/>
        </w:rPr>
      </w:pPr>
      <w:r>
        <w:rPr>
          <w:rFonts w:hint="eastAsia" w:ascii="黑体" w:hAnsi="黑体" w:eastAsia="黑体" w:cs="黑体"/>
        </w:rPr>
        <w:t xml:space="preserve">G.2.5  </w:t>
      </w:r>
      <w:r>
        <w:rPr>
          <w:rFonts w:ascii="Times New Roman" w:hAnsi="Times New Roman"/>
          <w:kern w:val="0"/>
          <w:szCs w:val="21"/>
        </w:rPr>
        <w:t>数据处理、图件制作应符合下列规定</w:t>
      </w:r>
      <w:r>
        <w:rPr>
          <w:rFonts w:hint="eastAsia" w:ascii="Times New Roman" w:hAnsi="Times New Roman"/>
          <w:kern w:val="0"/>
          <w:szCs w:val="21"/>
        </w:rPr>
        <w:t>：</w:t>
      </w:r>
      <w:r>
        <w:rPr>
          <w:rFonts w:ascii="Times New Roman" w:hAnsi="Times New Roman"/>
          <w:kern w:val="0"/>
          <w:szCs w:val="21"/>
        </w:rPr>
        <w:t xml:space="preserve"> </w:t>
      </w:r>
    </w:p>
    <w:p>
      <w:pPr>
        <w:autoSpaceDE w:val="0"/>
        <w:autoSpaceDN w:val="0"/>
        <w:spacing w:line="360" w:lineRule="auto"/>
        <w:ind w:firstLine="420" w:firstLineChars="200"/>
        <w:rPr>
          <w:rFonts w:ascii="Times New Roman" w:hAnsi="Times New Roman"/>
          <w:b/>
          <w:bCs/>
          <w:szCs w:val="20"/>
        </w:rPr>
      </w:pPr>
      <w:r>
        <w:rPr>
          <w:rFonts w:hint="eastAsia" w:ascii="黑体" w:hAnsi="黑体" w:eastAsia="黑体" w:cs="黑体"/>
        </w:rPr>
        <w:t xml:space="preserve">1  </w:t>
      </w:r>
      <w:r>
        <w:rPr>
          <w:rFonts w:ascii="Times New Roman" w:hAnsi="Times New Roman"/>
          <w:kern w:val="0"/>
          <w:szCs w:val="21"/>
        </w:rPr>
        <w:t>根据现场记录</w:t>
      </w:r>
      <w:r>
        <w:rPr>
          <w:rFonts w:hint="eastAsia" w:ascii="Times New Roman" w:hAnsi="Times New Roman"/>
          <w:kern w:val="0"/>
          <w:szCs w:val="21"/>
        </w:rPr>
        <w:t>，</w:t>
      </w:r>
      <w:r>
        <w:rPr>
          <w:rFonts w:ascii="Times New Roman" w:hAnsi="Times New Roman"/>
          <w:kern w:val="0"/>
          <w:szCs w:val="21"/>
        </w:rPr>
        <w:t>按检测部位整理成像声呐影像、视频、数据资料。</w:t>
      </w:r>
      <w:r>
        <w:rPr>
          <w:rFonts w:ascii="Times New Roman" w:hAnsi="Times New Roman"/>
          <w:b/>
          <w:bCs/>
          <w:szCs w:val="20"/>
        </w:rPr>
        <w:t xml:space="preserve"> </w:t>
      </w:r>
    </w:p>
    <w:p>
      <w:pPr>
        <w:autoSpaceDE w:val="0"/>
        <w:autoSpaceDN w:val="0"/>
        <w:spacing w:line="360" w:lineRule="auto"/>
        <w:ind w:firstLine="420" w:firstLineChars="200"/>
        <w:rPr>
          <w:rFonts w:ascii="Times New Roman" w:hAnsi="Times New Roman"/>
          <w:b/>
          <w:bCs/>
          <w:szCs w:val="20"/>
        </w:rPr>
      </w:pPr>
      <w:r>
        <w:rPr>
          <w:rFonts w:hint="eastAsia" w:ascii="黑体" w:hAnsi="黑体" w:eastAsia="黑体" w:cs="黑体"/>
        </w:rPr>
        <w:t>2</w:t>
      </w:r>
      <w:r>
        <w:rPr>
          <w:rFonts w:ascii="Times New Roman" w:hAnsi="Times New Roman"/>
          <w:b/>
          <w:bCs/>
          <w:szCs w:val="20"/>
        </w:rPr>
        <w:t xml:space="preserve"> </w:t>
      </w:r>
      <w:r>
        <w:rPr>
          <w:rFonts w:hint="eastAsia" w:ascii="Times New Roman" w:hAnsi="Times New Roman"/>
          <w:b/>
          <w:bCs/>
          <w:szCs w:val="20"/>
        </w:rPr>
        <w:t xml:space="preserve"> </w:t>
      </w:r>
      <w:r>
        <w:rPr>
          <w:rFonts w:ascii="Times New Roman" w:hAnsi="Times New Roman"/>
          <w:kern w:val="0"/>
          <w:szCs w:val="21"/>
        </w:rPr>
        <w:t>成果图件应包括</w:t>
      </w:r>
      <w:r>
        <w:rPr>
          <w:rFonts w:hint="eastAsia" w:ascii="Times New Roman" w:hAnsi="Times New Roman"/>
          <w:kern w:val="0"/>
          <w:szCs w:val="21"/>
        </w:rPr>
        <w:t>：</w:t>
      </w:r>
      <w:r>
        <w:rPr>
          <w:rFonts w:ascii="Times New Roman" w:hAnsi="Times New Roman"/>
          <w:kern w:val="0"/>
          <w:szCs w:val="21"/>
        </w:rPr>
        <w:t>建筑物典型结构影像成果图、局部外观缺陷影像解释成果图、目标物影像拼接镶嵌成果图</w:t>
      </w:r>
      <w:r>
        <w:rPr>
          <w:rFonts w:hint="eastAsia" w:ascii="Times New Roman" w:hAnsi="Times New Roman"/>
          <w:kern w:val="0"/>
          <w:szCs w:val="21"/>
        </w:rPr>
        <w:t>，</w:t>
      </w:r>
      <w:r>
        <w:rPr>
          <w:rFonts w:ascii="Times New Roman" w:hAnsi="Times New Roman"/>
          <w:kern w:val="0"/>
          <w:szCs w:val="21"/>
        </w:rPr>
        <w:t xml:space="preserve">图中应标注尺度、水流方向、形态、与周边结构物的位置关系。 </w:t>
      </w:r>
    </w:p>
    <w:p>
      <w:pPr>
        <w:autoSpaceDE w:val="0"/>
        <w:autoSpaceDN w:val="0"/>
        <w:spacing w:line="360" w:lineRule="auto"/>
        <w:ind w:firstLine="420" w:firstLineChars="200"/>
        <w:rPr>
          <w:rFonts w:ascii="Times New Roman" w:hAnsi="Times New Roman"/>
          <w:b/>
          <w:bCs/>
          <w:szCs w:val="20"/>
        </w:rPr>
      </w:pPr>
      <w:r>
        <w:rPr>
          <w:rFonts w:hint="eastAsia" w:ascii="黑体" w:hAnsi="黑体" w:eastAsia="黑体" w:cs="黑体"/>
        </w:rPr>
        <w:t xml:space="preserve">3  </w:t>
      </w:r>
      <w:r>
        <w:rPr>
          <w:rFonts w:ascii="Times New Roman" w:hAnsi="Times New Roman"/>
          <w:kern w:val="0"/>
          <w:szCs w:val="21"/>
        </w:rPr>
        <w:t xml:space="preserve">宜根据检测成果剪辑成像声呐影像视频。 </w:t>
      </w:r>
    </w:p>
    <w:p>
      <w:pPr>
        <w:autoSpaceDE w:val="0"/>
        <w:autoSpaceDN w:val="0"/>
        <w:spacing w:line="360" w:lineRule="auto"/>
        <w:rPr>
          <w:rFonts w:ascii="Times New Roman" w:hAnsi="Times New Roman"/>
          <w:kern w:val="0"/>
          <w:szCs w:val="21"/>
        </w:rPr>
      </w:pPr>
      <w:r>
        <w:rPr>
          <w:rFonts w:hint="eastAsia" w:ascii="黑体" w:hAnsi="黑体" w:eastAsia="黑体" w:cs="黑体"/>
        </w:rPr>
        <w:t xml:space="preserve">G.2.6  </w:t>
      </w:r>
      <w:r>
        <w:rPr>
          <w:rFonts w:ascii="Times New Roman" w:hAnsi="Times New Roman"/>
          <w:kern w:val="0"/>
          <w:szCs w:val="21"/>
        </w:rPr>
        <w:t>发现下列问题时应重测</w:t>
      </w:r>
      <w:r>
        <w:rPr>
          <w:rFonts w:hint="eastAsia" w:ascii="Times New Roman" w:hAnsi="Times New Roman"/>
          <w:kern w:val="0"/>
          <w:szCs w:val="21"/>
        </w:rPr>
        <w:t>：</w:t>
      </w:r>
    </w:p>
    <w:p>
      <w:pPr>
        <w:autoSpaceDE w:val="0"/>
        <w:autoSpaceDN w:val="0"/>
        <w:spacing w:line="360" w:lineRule="auto"/>
        <w:ind w:firstLine="420" w:firstLineChars="200"/>
        <w:rPr>
          <w:rFonts w:ascii="Times New Roman" w:hAnsi="Times New Roman"/>
          <w:b/>
          <w:bCs/>
          <w:szCs w:val="20"/>
        </w:rPr>
      </w:pPr>
      <w:r>
        <w:rPr>
          <w:rFonts w:hint="eastAsia" w:ascii="黑体" w:hAnsi="黑体" w:eastAsia="黑体" w:cs="黑体"/>
        </w:rPr>
        <w:t>1</w:t>
      </w:r>
      <w:r>
        <w:rPr>
          <w:rFonts w:ascii="Times New Roman" w:hAnsi="Times New Roman"/>
          <w:b/>
          <w:bCs/>
          <w:szCs w:val="20"/>
        </w:rPr>
        <w:t xml:space="preserve"> </w:t>
      </w:r>
      <w:r>
        <w:rPr>
          <w:rFonts w:hint="eastAsia" w:ascii="Times New Roman" w:hAnsi="Times New Roman"/>
          <w:b/>
          <w:bCs/>
          <w:szCs w:val="20"/>
        </w:rPr>
        <w:t xml:space="preserve"> </w:t>
      </w:r>
      <w:r>
        <w:rPr>
          <w:rFonts w:ascii="Times New Roman" w:hAnsi="Times New Roman"/>
          <w:kern w:val="0"/>
          <w:szCs w:val="21"/>
        </w:rPr>
        <w:t>成像不清晰。</w:t>
      </w:r>
      <w:r>
        <w:rPr>
          <w:rFonts w:ascii="Times New Roman" w:hAnsi="Times New Roman"/>
          <w:b/>
          <w:bCs/>
          <w:szCs w:val="20"/>
        </w:rPr>
        <w:t xml:space="preserve"> </w:t>
      </w:r>
    </w:p>
    <w:p>
      <w:pPr>
        <w:autoSpaceDE w:val="0"/>
        <w:autoSpaceDN w:val="0"/>
        <w:spacing w:line="360" w:lineRule="auto"/>
        <w:ind w:firstLine="420" w:firstLineChars="200"/>
        <w:rPr>
          <w:rFonts w:ascii="Times New Roman" w:hAnsi="Times New Roman"/>
          <w:kern w:val="0"/>
          <w:szCs w:val="21"/>
        </w:rPr>
      </w:pPr>
      <w:r>
        <w:rPr>
          <w:rFonts w:hint="eastAsia" w:ascii="黑体" w:hAnsi="黑体" w:eastAsia="黑体" w:cs="黑体"/>
        </w:rPr>
        <w:t>2</w:t>
      </w:r>
      <w:r>
        <w:rPr>
          <w:rFonts w:ascii="Times New Roman" w:hAnsi="Times New Roman"/>
          <w:b/>
          <w:bCs/>
          <w:szCs w:val="20"/>
        </w:rPr>
        <w:t xml:space="preserve"> </w:t>
      </w:r>
      <w:r>
        <w:rPr>
          <w:rFonts w:hint="eastAsia" w:ascii="Times New Roman" w:hAnsi="Times New Roman"/>
          <w:b/>
          <w:bCs/>
          <w:szCs w:val="20"/>
        </w:rPr>
        <w:t xml:space="preserve"> </w:t>
      </w:r>
      <w:r>
        <w:rPr>
          <w:rFonts w:ascii="Times New Roman" w:hAnsi="Times New Roman"/>
          <w:kern w:val="0"/>
          <w:szCs w:val="21"/>
        </w:rPr>
        <w:t>无法识别外观缺陷影像。</w:t>
      </w:r>
    </w:p>
    <w:p>
      <w:pPr>
        <w:autoSpaceDE w:val="0"/>
        <w:autoSpaceDN w:val="0"/>
        <w:spacing w:line="360" w:lineRule="auto"/>
        <w:ind w:firstLine="420" w:firstLineChars="200"/>
        <w:rPr>
          <w:rFonts w:ascii="Times New Roman" w:hAnsi="Times New Roman"/>
          <w:kern w:val="0"/>
          <w:szCs w:val="21"/>
        </w:rPr>
      </w:pPr>
    </w:p>
    <w:p>
      <w:pPr>
        <w:pStyle w:val="3"/>
        <w:snapToGrid w:val="0"/>
        <w:spacing w:beforeLines="50" w:afterLines="50" w:line="360" w:lineRule="auto"/>
        <w:jc w:val="center"/>
        <w:rPr>
          <w:rFonts w:ascii="黑体" w:hAnsi="黑体" w:cs="黑体"/>
          <w:sz w:val="24"/>
          <w:szCs w:val="24"/>
        </w:rPr>
      </w:pPr>
      <w:bookmarkStart w:id="207" w:name="_Toc4875"/>
      <w:bookmarkStart w:id="208" w:name="_Toc3863"/>
      <w:bookmarkStart w:id="209" w:name="_Toc18393"/>
      <w:r>
        <w:rPr>
          <w:rFonts w:ascii="黑体" w:hAnsi="黑体" w:cs="黑体"/>
          <w:sz w:val="24"/>
          <w:szCs w:val="24"/>
        </w:rPr>
        <w:t>G.3  光学成像技术</w:t>
      </w:r>
      <w:bookmarkEnd w:id="207"/>
      <w:bookmarkEnd w:id="208"/>
      <w:bookmarkEnd w:id="209"/>
    </w:p>
    <w:p>
      <w:pPr>
        <w:tabs>
          <w:tab w:val="left" w:pos="6020"/>
        </w:tabs>
        <w:spacing w:line="360" w:lineRule="auto"/>
        <w:rPr>
          <w:rFonts w:ascii="E-BZ" w:hAnsi="E-BZ" w:eastAsia="E-BZ" w:cs="E-BZ"/>
          <w:color w:val="000000"/>
          <w:sz w:val="19"/>
          <w:szCs w:val="19"/>
        </w:rPr>
      </w:pPr>
      <w:r>
        <w:rPr>
          <w:rFonts w:hint="eastAsia" w:ascii="黑体" w:hAnsi="黑体" w:eastAsia="黑体" w:cs="黑体"/>
        </w:rPr>
        <w:t xml:space="preserve">G.3.1 </w:t>
      </w:r>
      <w:r>
        <w:rPr>
          <w:rFonts w:hint="eastAsia" w:ascii="E-BZ" w:hAnsi="E-BZ" w:cs="E-BZ"/>
          <w:color w:val="000000"/>
          <w:sz w:val="19"/>
          <w:szCs w:val="19"/>
        </w:rPr>
        <w:t xml:space="preserve"> </w:t>
      </w:r>
      <w:r>
        <w:rPr>
          <w:rFonts w:ascii="Times New Roman" w:hAnsi="Times New Roman"/>
          <w:kern w:val="0"/>
          <w:szCs w:val="21"/>
        </w:rPr>
        <w:t>光学成像技术宜用于水工建筑物水下外观缺陷抵近观察。</w:t>
      </w:r>
    </w:p>
    <w:p>
      <w:pPr>
        <w:tabs>
          <w:tab w:val="left" w:pos="6020"/>
        </w:tabs>
        <w:spacing w:line="360" w:lineRule="auto"/>
        <w:rPr>
          <w:rFonts w:ascii="E-BZ" w:hAnsi="E-BZ" w:eastAsia="E-BZ" w:cs="E-BZ"/>
          <w:color w:val="000000"/>
          <w:sz w:val="19"/>
          <w:szCs w:val="19"/>
        </w:rPr>
      </w:pPr>
      <w:r>
        <w:rPr>
          <w:rFonts w:hint="eastAsia" w:ascii="黑体" w:hAnsi="黑体" w:eastAsia="黑体" w:cs="黑体"/>
        </w:rPr>
        <w:t xml:space="preserve">G.3.2 </w:t>
      </w:r>
      <w:r>
        <w:rPr>
          <w:rFonts w:hint="eastAsia" w:ascii="Times New Roman" w:hAnsi="Times New Roman"/>
          <w:b/>
          <w:bCs/>
          <w:szCs w:val="20"/>
        </w:rPr>
        <w:t xml:space="preserve"> </w:t>
      </w:r>
      <w:r>
        <w:rPr>
          <w:rFonts w:ascii="Times New Roman" w:hAnsi="Times New Roman"/>
          <w:kern w:val="0"/>
          <w:szCs w:val="21"/>
        </w:rPr>
        <w:t xml:space="preserve">系统配置影像像素精度不宜小于200万像素。 </w:t>
      </w:r>
    </w:p>
    <w:p>
      <w:pPr>
        <w:tabs>
          <w:tab w:val="left" w:pos="6020"/>
        </w:tabs>
        <w:spacing w:line="360" w:lineRule="auto"/>
        <w:rPr>
          <w:rFonts w:ascii="E-BZ" w:hAnsi="E-BZ" w:eastAsia="E-BZ" w:cs="E-BZ"/>
          <w:color w:val="000000"/>
          <w:sz w:val="19"/>
          <w:szCs w:val="19"/>
        </w:rPr>
      </w:pPr>
      <w:r>
        <w:rPr>
          <w:rFonts w:hint="eastAsia" w:ascii="黑体" w:hAnsi="黑体" w:eastAsia="黑体" w:cs="黑体"/>
        </w:rPr>
        <w:t>G.3.3</w:t>
      </w:r>
      <w:r>
        <w:rPr>
          <w:rFonts w:ascii="Times New Roman" w:hAnsi="Times New Roman"/>
          <w:b/>
          <w:bCs/>
          <w:szCs w:val="20"/>
        </w:rPr>
        <w:t xml:space="preserve"> </w:t>
      </w:r>
      <w:r>
        <w:rPr>
          <w:rFonts w:hint="eastAsia" w:ascii="Times New Roman" w:hAnsi="Times New Roman"/>
          <w:b/>
          <w:bCs/>
          <w:szCs w:val="20"/>
        </w:rPr>
        <w:t xml:space="preserve"> </w:t>
      </w:r>
      <w:r>
        <w:rPr>
          <w:rFonts w:ascii="Times New Roman" w:hAnsi="Times New Roman"/>
          <w:kern w:val="0"/>
          <w:szCs w:val="21"/>
        </w:rPr>
        <w:t>工作布置和现场工作可参照JT/T 746的相关要求</w:t>
      </w:r>
      <w:r>
        <w:rPr>
          <w:rFonts w:hint="eastAsia" w:ascii="Times New Roman" w:hAnsi="Times New Roman"/>
          <w:kern w:val="0"/>
          <w:szCs w:val="21"/>
        </w:rPr>
        <w:t>，</w:t>
      </w:r>
      <w:r>
        <w:rPr>
          <w:rFonts w:ascii="Times New Roman" w:hAnsi="Times New Roman"/>
          <w:kern w:val="0"/>
          <w:szCs w:val="21"/>
        </w:rPr>
        <w:t>并应符合下列规定</w:t>
      </w:r>
      <w:r>
        <w:rPr>
          <w:rFonts w:hint="eastAsia" w:ascii="Times New Roman" w:hAnsi="Times New Roman"/>
          <w:kern w:val="0"/>
          <w:szCs w:val="21"/>
        </w:rPr>
        <w:t>：</w:t>
      </w:r>
      <w:r>
        <w:rPr>
          <w:rFonts w:ascii="Times New Roman" w:hAnsi="Times New Roman"/>
          <w:kern w:val="0"/>
          <w:szCs w:val="21"/>
        </w:rPr>
        <w:t xml:space="preserve"> </w:t>
      </w:r>
    </w:p>
    <w:p>
      <w:pPr>
        <w:autoSpaceDE w:val="0"/>
        <w:autoSpaceDN w:val="0"/>
        <w:spacing w:line="360" w:lineRule="auto"/>
        <w:ind w:firstLine="420" w:firstLineChars="200"/>
        <w:rPr>
          <w:rFonts w:ascii="Times New Roman" w:hAnsi="Times New Roman"/>
          <w:kern w:val="0"/>
          <w:szCs w:val="21"/>
        </w:rPr>
      </w:pPr>
      <w:r>
        <w:rPr>
          <w:rFonts w:hint="eastAsia" w:ascii="黑体" w:hAnsi="黑体" w:eastAsia="黑体" w:cs="黑体"/>
        </w:rPr>
        <w:t>1</w:t>
      </w:r>
      <w:r>
        <w:rPr>
          <w:rFonts w:ascii="Times New Roman" w:hAnsi="Times New Roman"/>
          <w:kern w:val="0"/>
          <w:szCs w:val="21"/>
        </w:rPr>
        <w:t xml:space="preserve"> </w:t>
      </w:r>
      <w:r>
        <w:rPr>
          <w:rFonts w:hint="eastAsia" w:ascii="Times New Roman" w:hAnsi="Times New Roman"/>
          <w:kern w:val="0"/>
          <w:szCs w:val="21"/>
        </w:rPr>
        <w:t xml:space="preserve"> </w:t>
      </w:r>
      <w:r>
        <w:rPr>
          <w:rFonts w:ascii="Times New Roman" w:hAnsi="Times New Roman"/>
          <w:kern w:val="0"/>
          <w:szCs w:val="21"/>
        </w:rPr>
        <w:t>应遵循由远及近的布置原则</w:t>
      </w:r>
      <w:r>
        <w:rPr>
          <w:rFonts w:hint="eastAsia" w:ascii="Times New Roman" w:hAnsi="Times New Roman"/>
          <w:kern w:val="0"/>
          <w:szCs w:val="21"/>
        </w:rPr>
        <w:t>，</w:t>
      </w:r>
      <w:r>
        <w:rPr>
          <w:rFonts w:ascii="Times New Roman" w:hAnsi="Times New Roman"/>
          <w:kern w:val="0"/>
          <w:szCs w:val="21"/>
        </w:rPr>
        <w:t xml:space="preserve">测线、测点布置宜根据外观缺陷的形态、走势确定。 </w:t>
      </w:r>
    </w:p>
    <w:p>
      <w:pPr>
        <w:autoSpaceDE w:val="0"/>
        <w:autoSpaceDN w:val="0"/>
        <w:spacing w:line="360" w:lineRule="auto"/>
        <w:ind w:firstLine="420" w:firstLineChars="200"/>
        <w:rPr>
          <w:rFonts w:ascii="Times New Roman" w:hAnsi="Times New Roman"/>
          <w:kern w:val="0"/>
          <w:szCs w:val="21"/>
        </w:rPr>
      </w:pPr>
      <w:r>
        <w:rPr>
          <w:rFonts w:hint="eastAsia" w:ascii="黑体" w:hAnsi="黑体" w:eastAsia="黑体" w:cs="黑体"/>
        </w:rPr>
        <w:t xml:space="preserve">2  </w:t>
      </w:r>
      <w:r>
        <w:rPr>
          <w:rFonts w:ascii="Times New Roman" w:hAnsi="Times New Roman"/>
          <w:kern w:val="0"/>
          <w:szCs w:val="21"/>
        </w:rPr>
        <w:t>根据测区水域环境</w:t>
      </w:r>
      <w:r>
        <w:rPr>
          <w:rFonts w:hint="eastAsia" w:ascii="Times New Roman" w:hAnsi="Times New Roman"/>
          <w:kern w:val="0"/>
          <w:szCs w:val="21"/>
        </w:rPr>
        <w:t>，</w:t>
      </w:r>
      <w:r>
        <w:rPr>
          <w:rFonts w:ascii="Times New Roman" w:hAnsi="Times New Roman"/>
          <w:kern w:val="0"/>
          <w:szCs w:val="21"/>
        </w:rPr>
        <w:t xml:space="preserve">应调整光源亮度和与目标物的间距使其能清晰成像。 </w:t>
      </w:r>
    </w:p>
    <w:p>
      <w:pPr>
        <w:tabs>
          <w:tab w:val="left" w:pos="6020"/>
        </w:tabs>
        <w:spacing w:line="360" w:lineRule="auto"/>
        <w:rPr>
          <w:rFonts w:ascii="Times New Roman" w:hAnsi="Times New Roman"/>
          <w:kern w:val="0"/>
          <w:szCs w:val="21"/>
        </w:rPr>
      </w:pPr>
      <w:r>
        <w:rPr>
          <w:rFonts w:hint="eastAsia" w:ascii="黑体" w:hAnsi="黑体" w:eastAsia="黑体" w:cs="黑体"/>
        </w:rPr>
        <w:t xml:space="preserve">G.3.4 </w:t>
      </w:r>
      <w:r>
        <w:rPr>
          <w:rFonts w:hint="eastAsia" w:ascii="Times New Roman" w:hAnsi="Times New Roman"/>
          <w:b/>
          <w:bCs/>
          <w:szCs w:val="20"/>
        </w:rPr>
        <w:t xml:space="preserve"> </w:t>
      </w:r>
      <w:r>
        <w:rPr>
          <w:rFonts w:ascii="Times New Roman" w:hAnsi="Times New Roman"/>
          <w:kern w:val="0"/>
          <w:szCs w:val="21"/>
        </w:rPr>
        <w:t>光学成像数据采集时应做好测线记录</w:t>
      </w:r>
      <w:r>
        <w:rPr>
          <w:rFonts w:hint="eastAsia" w:ascii="Times New Roman" w:hAnsi="Times New Roman"/>
          <w:kern w:val="0"/>
          <w:szCs w:val="21"/>
        </w:rPr>
        <w:t>，</w:t>
      </w:r>
      <w:r>
        <w:rPr>
          <w:rFonts w:ascii="Times New Roman" w:hAnsi="Times New Roman"/>
          <w:kern w:val="0"/>
          <w:szCs w:val="21"/>
        </w:rPr>
        <w:t xml:space="preserve">标记并描述外观缺陷或异常出现的时间及性状。 </w:t>
      </w:r>
    </w:p>
    <w:p>
      <w:pPr>
        <w:tabs>
          <w:tab w:val="left" w:pos="6020"/>
        </w:tabs>
        <w:spacing w:line="360" w:lineRule="auto"/>
        <w:rPr>
          <w:rFonts w:ascii="Times New Roman" w:hAnsi="Times New Roman"/>
          <w:kern w:val="0"/>
          <w:szCs w:val="21"/>
        </w:rPr>
      </w:pPr>
      <w:r>
        <w:rPr>
          <w:rFonts w:hint="eastAsia" w:ascii="黑体" w:hAnsi="黑体" w:eastAsia="黑体" w:cs="黑体"/>
        </w:rPr>
        <w:t>G.3.5</w:t>
      </w:r>
      <w:r>
        <w:rPr>
          <w:rFonts w:ascii="Times New Roman" w:hAnsi="Times New Roman"/>
          <w:b/>
          <w:bCs/>
          <w:szCs w:val="20"/>
        </w:rPr>
        <w:t xml:space="preserve"> </w:t>
      </w:r>
      <w:r>
        <w:rPr>
          <w:rFonts w:hint="eastAsia" w:ascii="Times New Roman" w:hAnsi="Times New Roman"/>
          <w:b/>
          <w:bCs/>
          <w:szCs w:val="20"/>
        </w:rPr>
        <w:t xml:space="preserve"> </w:t>
      </w:r>
      <w:r>
        <w:rPr>
          <w:rFonts w:ascii="Times New Roman" w:hAnsi="Times New Roman"/>
          <w:kern w:val="0"/>
          <w:szCs w:val="21"/>
        </w:rPr>
        <w:t>数据处理、图件制作应符合下列规定</w:t>
      </w:r>
      <w:r>
        <w:rPr>
          <w:rFonts w:hint="eastAsia" w:ascii="Times New Roman" w:hAnsi="Times New Roman"/>
          <w:kern w:val="0"/>
          <w:szCs w:val="21"/>
        </w:rPr>
        <w:t>：</w:t>
      </w:r>
      <w:r>
        <w:rPr>
          <w:rFonts w:ascii="Times New Roman" w:hAnsi="Times New Roman"/>
          <w:kern w:val="0"/>
          <w:szCs w:val="21"/>
        </w:rPr>
        <w:t xml:space="preserve"> </w:t>
      </w:r>
    </w:p>
    <w:p>
      <w:pPr>
        <w:autoSpaceDE w:val="0"/>
        <w:autoSpaceDN w:val="0"/>
        <w:spacing w:line="360" w:lineRule="auto"/>
        <w:ind w:firstLine="420" w:firstLineChars="200"/>
        <w:rPr>
          <w:rFonts w:ascii="Times New Roman" w:hAnsi="Times New Roman"/>
          <w:b/>
          <w:bCs/>
          <w:szCs w:val="20"/>
        </w:rPr>
      </w:pPr>
      <w:r>
        <w:rPr>
          <w:rFonts w:hint="eastAsia" w:ascii="黑体" w:hAnsi="黑体" w:eastAsia="黑体" w:cs="黑体"/>
        </w:rPr>
        <w:t>1</w:t>
      </w:r>
      <w:r>
        <w:rPr>
          <w:rFonts w:ascii="Times New Roman" w:hAnsi="Times New Roman"/>
          <w:b/>
          <w:bCs/>
          <w:szCs w:val="20"/>
        </w:rPr>
        <w:t xml:space="preserve"> </w:t>
      </w:r>
      <w:r>
        <w:rPr>
          <w:rFonts w:hint="eastAsia" w:ascii="Times New Roman" w:hAnsi="Times New Roman"/>
          <w:b/>
          <w:bCs/>
          <w:szCs w:val="20"/>
        </w:rPr>
        <w:t xml:space="preserve"> </w:t>
      </w:r>
      <w:r>
        <w:rPr>
          <w:rFonts w:ascii="Times New Roman" w:hAnsi="Times New Roman"/>
          <w:kern w:val="0"/>
          <w:szCs w:val="21"/>
        </w:rPr>
        <w:t>应根据现场记录</w:t>
      </w:r>
      <w:r>
        <w:rPr>
          <w:rFonts w:hint="eastAsia" w:ascii="Times New Roman" w:hAnsi="Times New Roman"/>
          <w:kern w:val="0"/>
          <w:szCs w:val="21"/>
        </w:rPr>
        <w:t>，</w:t>
      </w:r>
      <w:r>
        <w:rPr>
          <w:rFonts w:ascii="Times New Roman" w:hAnsi="Times New Roman"/>
          <w:kern w:val="0"/>
          <w:szCs w:val="21"/>
        </w:rPr>
        <w:t xml:space="preserve">按检测部位整理并归档光学成像视频资料。 </w:t>
      </w:r>
    </w:p>
    <w:p>
      <w:pPr>
        <w:autoSpaceDE w:val="0"/>
        <w:autoSpaceDN w:val="0"/>
        <w:spacing w:line="360" w:lineRule="auto"/>
        <w:ind w:firstLine="420" w:firstLineChars="200"/>
        <w:rPr>
          <w:rFonts w:ascii="Times New Roman" w:hAnsi="Times New Roman"/>
          <w:b/>
          <w:bCs/>
          <w:szCs w:val="20"/>
        </w:rPr>
      </w:pPr>
      <w:r>
        <w:rPr>
          <w:rFonts w:hint="eastAsia" w:ascii="黑体" w:hAnsi="黑体" w:eastAsia="黑体" w:cs="黑体"/>
        </w:rPr>
        <w:t xml:space="preserve">2 </w:t>
      </w:r>
      <w:r>
        <w:rPr>
          <w:rFonts w:ascii="Times New Roman" w:hAnsi="Times New Roman"/>
          <w:b/>
          <w:bCs/>
          <w:szCs w:val="20"/>
        </w:rPr>
        <w:t xml:space="preserve"> </w:t>
      </w:r>
      <w:r>
        <w:rPr>
          <w:rFonts w:ascii="Times New Roman" w:hAnsi="Times New Roman"/>
          <w:kern w:val="0"/>
          <w:szCs w:val="21"/>
        </w:rPr>
        <w:t>绘制外观缺陷光学成像解释成果图</w:t>
      </w:r>
      <w:r>
        <w:rPr>
          <w:rFonts w:hint="eastAsia" w:ascii="Times New Roman" w:hAnsi="Times New Roman"/>
          <w:kern w:val="0"/>
          <w:szCs w:val="21"/>
        </w:rPr>
        <w:t>，</w:t>
      </w:r>
      <w:r>
        <w:rPr>
          <w:rFonts w:ascii="Times New Roman" w:hAnsi="Times New Roman"/>
          <w:kern w:val="0"/>
          <w:szCs w:val="21"/>
        </w:rPr>
        <w:t xml:space="preserve">应标明相对建筑物位置关系。 </w:t>
      </w:r>
    </w:p>
    <w:p>
      <w:pPr>
        <w:autoSpaceDE w:val="0"/>
        <w:autoSpaceDN w:val="0"/>
        <w:spacing w:line="360" w:lineRule="auto"/>
        <w:ind w:firstLine="420" w:firstLineChars="200"/>
        <w:rPr>
          <w:rFonts w:ascii="Times New Roman" w:hAnsi="Times New Roman"/>
          <w:kern w:val="0"/>
          <w:szCs w:val="21"/>
        </w:rPr>
      </w:pPr>
      <w:r>
        <w:rPr>
          <w:rFonts w:hint="eastAsia" w:ascii="黑体" w:hAnsi="黑体" w:eastAsia="黑体" w:cs="黑体"/>
        </w:rPr>
        <w:t xml:space="preserve">3 </w:t>
      </w:r>
      <w:r>
        <w:rPr>
          <w:rFonts w:ascii="Times New Roman" w:hAnsi="Times New Roman"/>
          <w:b/>
          <w:bCs/>
          <w:szCs w:val="20"/>
        </w:rPr>
        <w:t xml:space="preserve"> </w:t>
      </w:r>
      <w:r>
        <w:rPr>
          <w:rFonts w:ascii="Times New Roman" w:hAnsi="Times New Roman"/>
          <w:kern w:val="0"/>
          <w:szCs w:val="21"/>
        </w:rPr>
        <w:t>宜通过光学成像视频描述水下详查状态。</w:t>
      </w:r>
    </w:p>
    <w:p>
      <w:pPr>
        <w:tabs>
          <w:tab w:val="left" w:pos="6020"/>
        </w:tabs>
        <w:spacing w:line="360" w:lineRule="auto"/>
        <w:rPr>
          <w:rFonts w:ascii="Times New Roman" w:hAnsi="Times New Roman"/>
          <w:b/>
          <w:bCs/>
          <w:szCs w:val="20"/>
        </w:rPr>
      </w:pPr>
      <w:r>
        <w:rPr>
          <w:rFonts w:hint="eastAsia" w:ascii="黑体" w:hAnsi="黑体" w:eastAsia="黑体" w:cs="黑体"/>
        </w:rPr>
        <w:t xml:space="preserve">G.3.6 </w:t>
      </w:r>
      <w:r>
        <w:rPr>
          <w:rFonts w:hint="eastAsia" w:ascii="Times New Roman" w:hAnsi="Times New Roman"/>
          <w:b/>
          <w:bCs/>
          <w:szCs w:val="20"/>
        </w:rPr>
        <w:t xml:space="preserve"> </w:t>
      </w:r>
      <w:r>
        <w:rPr>
          <w:rFonts w:ascii="Times New Roman" w:hAnsi="Times New Roman"/>
          <w:kern w:val="0"/>
          <w:szCs w:val="21"/>
        </w:rPr>
        <w:t>发现下列问题时应进行补测或重测</w:t>
      </w:r>
      <w:r>
        <w:rPr>
          <w:rFonts w:hint="eastAsia" w:ascii="Times New Roman" w:hAnsi="Times New Roman"/>
          <w:kern w:val="0"/>
          <w:szCs w:val="21"/>
        </w:rPr>
        <w:t>：</w:t>
      </w:r>
    </w:p>
    <w:p>
      <w:pPr>
        <w:autoSpaceDE w:val="0"/>
        <w:autoSpaceDN w:val="0"/>
        <w:spacing w:line="360" w:lineRule="auto"/>
        <w:ind w:firstLine="420" w:firstLineChars="200"/>
        <w:rPr>
          <w:rFonts w:ascii="Times New Roman" w:hAnsi="Times New Roman"/>
          <w:b/>
          <w:bCs/>
          <w:szCs w:val="20"/>
        </w:rPr>
      </w:pPr>
      <w:r>
        <w:rPr>
          <w:rFonts w:hint="eastAsia" w:ascii="黑体" w:hAnsi="黑体" w:eastAsia="黑体" w:cs="黑体"/>
        </w:rPr>
        <w:t>1</w:t>
      </w:r>
      <w:r>
        <w:rPr>
          <w:rFonts w:ascii="Times New Roman" w:hAnsi="Times New Roman"/>
          <w:b/>
          <w:bCs/>
          <w:szCs w:val="20"/>
        </w:rPr>
        <w:t xml:space="preserve"> </w:t>
      </w:r>
      <w:r>
        <w:rPr>
          <w:rFonts w:hint="eastAsia" w:ascii="Times New Roman" w:hAnsi="Times New Roman"/>
          <w:b/>
          <w:bCs/>
          <w:szCs w:val="20"/>
        </w:rPr>
        <w:t xml:space="preserve"> </w:t>
      </w:r>
      <w:r>
        <w:rPr>
          <w:rFonts w:ascii="Times New Roman" w:hAnsi="Times New Roman"/>
          <w:kern w:val="0"/>
          <w:szCs w:val="21"/>
        </w:rPr>
        <w:t xml:space="preserve">光学成像不清晰、未能反应水下表观状态或外观缺陷。 </w:t>
      </w:r>
    </w:p>
    <w:p>
      <w:pPr>
        <w:autoSpaceDE w:val="0"/>
        <w:autoSpaceDN w:val="0"/>
        <w:spacing w:line="360" w:lineRule="auto"/>
        <w:ind w:firstLine="420" w:firstLineChars="200"/>
        <w:rPr>
          <w:rFonts w:ascii="Times New Roman" w:hAnsi="Times New Roman"/>
          <w:b/>
          <w:bCs/>
          <w:szCs w:val="20"/>
        </w:rPr>
      </w:pPr>
      <w:r>
        <w:rPr>
          <w:rFonts w:hint="eastAsia" w:ascii="黑体" w:hAnsi="黑体" w:eastAsia="黑体" w:cs="黑体"/>
        </w:rPr>
        <w:t>2</w:t>
      </w:r>
      <w:r>
        <w:rPr>
          <w:rFonts w:ascii="Times New Roman" w:hAnsi="Times New Roman"/>
          <w:b/>
          <w:bCs/>
          <w:szCs w:val="20"/>
        </w:rPr>
        <w:t xml:space="preserve"> </w:t>
      </w:r>
      <w:r>
        <w:rPr>
          <w:rFonts w:hint="eastAsia" w:ascii="Times New Roman" w:hAnsi="Times New Roman"/>
          <w:b/>
          <w:bCs/>
          <w:szCs w:val="20"/>
        </w:rPr>
        <w:t xml:space="preserve"> </w:t>
      </w:r>
      <w:r>
        <w:rPr>
          <w:rFonts w:ascii="Times New Roman" w:hAnsi="Times New Roman"/>
          <w:kern w:val="0"/>
          <w:szCs w:val="21"/>
        </w:rPr>
        <w:t xml:space="preserve">光学成像视频录制异常或故障。 </w:t>
      </w:r>
    </w:p>
    <w:p>
      <w:pPr>
        <w:autoSpaceDE w:val="0"/>
        <w:autoSpaceDN w:val="0"/>
        <w:spacing w:line="360" w:lineRule="auto"/>
        <w:ind w:firstLine="420" w:firstLineChars="200"/>
        <w:rPr>
          <w:rFonts w:ascii="Times New Roman" w:hAnsi="Times New Roman"/>
          <w:b/>
          <w:bCs/>
          <w:szCs w:val="20"/>
        </w:rPr>
      </w:pPr>
      <w:r>
        <w:rPr>
          <w:rFonts w:hint="eastAsia" w:ascii="黑体" w:hAnsi="黑体" w:eastAsia="黑体" w:cs="黑体"/>
        </w:rPr>
        <w:t xml:space="preserve">3  </w:t>
      </w:r>
      <w:r>
        <w:rPr>
          <w:rFonts w:ascii="Times New Roman" w:hAnsi="Times New Roman"/>
          <w:kern w:val="0"/>
          <w:szCs w:val="21"/>
        </w:rPr>
        <w:t>检测对象表面被附着物遮挡</w:t>
      </w:r>
      <w:r>
        <w:rPr>
          <w:rFonts w:hint="eastAsia" w:ascii="Times New Roman" w:hAnsi="Times New Roman"/>
          <w:kern w:val="0"/>
          <w:szCs w:val="21"/>
        </w:rPr>
        <w:t>，</w:t>
      </w:r>
      <w:r>
        <w:rPr>
          <w:rFonts w:ascii="Times New Roman" w:hAnsi="Times New Roman"/>
          <w:kern w:val="0"/>
          <w:szCs w:val="21"/>
        </w:rPr>
        <w:t>导致采集的影像数据无法反映外观缺陷状态。</w:t>
      </w:r>
    </w:p>
    <w:bookmarkEnd w:id="199"/>
    <w:bookmarkEnd w:id="200"/>
    <w:p>
      <w:pPr>
        <w:spacing w:line="360" w:lineRule="auto"/>
        <w:rPr>
          <w:rFonts w:hint="eastAsia" w:asciiTheme="minorEastAsia" w:hAnsiTheme="minorEastAsia" w:cstheme="minorEastAsia"/>
          <w:color w:val="000000" w:themeColor="text1"/>
          <w14:textFill>
            <w14:solidFill>
              <w14:schemeClr w14:val="tx1"/>
            </w14:solidFill>
          </w14:textFill>
        </w:rPr>
      </w:pPr>
    </w:p>
    <w:p>
      <w:pPr>
        <w:spacing w:line="360" w:lineRule="auto"/>
        <w:rPr>
          <w:rFonts w:hint="eastAsia" w:ascii="宋体" w:hAnsi="宋体" w:eastAsia="宋体" w:cs="宋体"/>
        </w:rPr>
      </w:pPr>
      <w:r>
        <w:rPr>
          <w:rFonts w:hint="eastAsia" w:ascii="宋体" w:hAnsi="宋体" w:eastAsia="宋体" w:cs="宋体"/>
        </w:rPr>
        <w:br w:type="page"/>
      </w:r>
    </w:p>
    <w:p>
      <w:pPr>
        <w:pStyle w:val="2"/>
        <w:rPr>
          <w:rFonts w:hint="eastAsia" w:ascii="黑体" w:hAnsi="黑体" w:eastAsia="黑体" w:cs="黑体"/>
          <w:b w:val="0"/>
          <w:bCs w:val="0"/>
          <w:sz w:val="28"/>
          <w:szCs w:val="28"/>
        </w:rPr>
      </w:pPr>
      <w:bookmarkStart w:id="210" w:name="_Toc25480"/>
      <w:r>
        <w:rPr>
          <w:rFonts w:hint="eastAsia" w:ascii="黑体" w:hAnsi="黑体" w:eastAsia="黑体" w:cs="黑体"/>
          <w:b w:val="0"/>
          <w:bCs w:val="0"/>
          <w:sz w:val="28"/>
          <w:szCs w:val="28"/>
        </w:rPr>
        <w:t xml:space="preserve">附录 H  </w:t>
      </w:r>
      <w:bookmarkStart w:id="211" w:name="_Hlk193029646"/>
      <w:r>
        <w:rPr>
          <w:rFonts w:hint="eastAsia" w:ascii="黑体" w:hAnsi="黑体" w:eastAsia="黑体" w:cs="黑体"/>
          <w:b w:val="0"/>
          <w:bCs w:val="0"/>
          <w:sz w:val="28"/>
          <w:szCs w:val="28"/>
        </w:rPr>
        <w:t>水轮发电机组(泵站机组)检测要求与评价表</w:t>
      </w:r>
      <w:bookmarkEnd w:id="210"/>
      <w:bookmarkEnd w:id="211"/>
    </w:p>
    <w:p>
      <w:pPr>
        <w:pStyle w:val="3"/>
        <w:snapToGrid w:val="0"/>
        <w:spacing w:beforeLines="50" w:afterLines="50"/>
        <w:jc w:val="center"/>
        <w:rPr>
          <w:rFonts w:ascii="黑体" w:hAnsi="黑体" w:cs="黑体"/>
          <w:sz w:val="24"/>
          <w:szCs w:val="24"/>
        </w:rPr>
      </w:pPr>
      <w:bookmarkStart w:id="212" w:name="_Toc14272"/>
      <w:bookmarkStart w:id="213" w:name="_Toc191"/>
      <w:bookmarkStart w:id="214" w:name="_Toc32444"/>
      <w:r>
        <w:rPr>
          <w:rFonts w:ascii="黑体" w:hAnsi="黑体" w:cs="黑体"/>
          <w:sz w:val="24"/>
          <w:szCs w:val="24"/>
        </w:rPr>
        <w:t>H.1  水轮发电机组</w:t>
      </w:r>
      <w:bookmarkEnd w:id="212"/>
      <w:bookmarkEnd w:id="213"/>
      <w:bookmarkEnd w:id="214"/>
    </w:p>
    <w:p>
      <w:pPr>
        <w:widowControl/>
        <w:kinsoku w:val="0"/>
        <w:autoSpaceDE w:val="0"/>
        <w:autoSpaceDN w:val="0"/>
        <w:adjustRightInd w:val="0"/>
        <w:snapToGrid w:val="0"/>
        <w:spacing w:line="360" w:lineRule="auto"/>
        <w:textAlignment w:val="baseline"/>
        <w:rPr>
          <w:rFonts w:ascii="Times New Roman" w:hAnsi="Times New Roman" w:cs="Times New Roman"/>
          <w:snapToGrid w:val="0"/>
          <w:color w:val="000000"/>
          <w:kern w:val="0"/>
          <w:szCs w:val="21"/>
        </w:rPr>
      </w:pPr>
      <w:bookmarkStart w:id="215" w:name="OLE_LINK56"/>
      <w:r>
        <w:rPr>
          <w:rFonts w:hint="eastAsia" w:ascii="黑体" w:hAnsi="黑体" w:eastAsia="黑体" w:cs="Times New Roman"/>
          <w:snapToGrid w:val="0"/>
          <w:color w:val="000000"/>
          <w:kern w:val="0"/>
          <w:szCs w:val="21"/>
        </w:rPr>
        <w:t xml:space="preserve">H.1.1  </w:t>
      </w:r>
      <w:r>
        <w:rPr>
          <w:rFonts w:hint="eastAsia" w:ascii="Times New Roman" w:hAnsi="Times New Roman" w:cs="Times New Roman"/>
          <w:snapToGrid w:val="0"/>
          <w:color w:val="000000"/>
          <w:kern w:val="0"/>
          <w:szCs w:val="21"/>
        </w:rPr>
        <w:t>水轮发电机组各部位振动允许值见表</w:t>
      </w:r>
      <w:r>
        <w:rPr>
          <w:rFonts w:hint="eastAsia" w:ascii="黑体" w:hAnsi="黑体" w:eastAsia="黑体" w:cs="Times New Roman"/>
          <w:snapToGrid w:val="0"/>
          <w:color w:val="000000"/>
          <w:kern w:val="0"/>
          <w:szCs w:val="21"/>
        </w:rPr>
        <w:t>H.1.1</w:t>
      </w:r>
      <w:r>
        <w:rPr>
          <w:rFonts w:hint="eastAsia" w:ascii="Times New Roman" w:hAnsi="Times New Roman" w:cs="Times New Roman"/>
          <w:snapToGrid w:val="0"/>
          <w:color w:val="000000"/>
          <w:kern w:val="0"/>
          <w:szCs w:val="21"/>
        </w:rPr>
        <w:t>。</w:t>
      </w:r>
    </w:p>
    <w:bookmarkEnd w:id="215"/>
    <w:p>
      <w:pPr>
        <w:pStyle w:val="6"/>
        <w:spacing w:before="68" w:line="206" w:lineRule="auto"/>
        <w:ind w:right="-512" w:rightChars="-244"/>
        <w:jc w:val="center"/>
        <w:rPr>
          <w:rFonts w:hint="eastAsia" w:ascii="黑体" w:hAnsi="黑体" w:eastAsia="黑体" w:cs="黑体"/>
          <w:sz w:val="21"/>
          <w:szCs w:val="21"/>
        </w:rPr>
      </w:pPr>
      <w:r>
        <w:rPr>
          <w:rFonts w:hint="eastAsia" w:ascii="黑体" w:hAnsi="黑体" w:eastAsia="黑体" w:cs="黑体"/>
          <w:spacing w:val="16"/>
          <w:sz w:val="21"/>
          <w:szCs w:val="21"/>
        </w:rPr>
        <w:t xml:space="preserve">              </w:t>
      </w:r>
      <w:r>
        <w:rPr>
          <w:rFonts w:hint="eastAsia" w:ascii="黑体" w:hAnsi="黑体" w:eastAsia="黑体" w:cstheme="minorEastAsia"/>
          <w:sz w:val="18"/>
          <w:szCs w:val="18"/>
        </w:rPr>
        <w:t xml:space="preserve">表 H.1.1   </w:t>
      </w:r>
      <w:bookmarkStart w:id="216" w:name="OLE_LINK1"/>
      <w:r>
        <w:rPr>
          <w:rFonts w:hint="eastAsia" w:ascii="黑体" w:hAnsi="黑体" w:eastAsia="黑体" w:cstheme="minorEastAsia"/>
          <w:sz w:val="18"/>
          <w:szCs w:val="18"/>
        </w:rPr>
        <w:t>水轮发电机组各部位振动允许值</w:t>
      </w:r>
      <w:bookmarkEnd w:id="216"/>
      <w:r>
        <w:rPr>
          <w:rFonts w:hint="eastAsia" w:ascii="黑体" w:hAnsi="黑体" w:eastAsia="黑体" w:cstheme="minorEastAsia"/>
          <w:sz w:val="21"/>
          <w:szCs w:val="21"/>
        </w:rPr>
        <w:t xml:space="preserve"> </w:t>
      </w:r>
      <w:r>
        <w:rPr>
          <w:rFonts w:hint="eastAsia" w:ascii="黑体" w:hAnsi="黑体" w:eastAsia="黑体" w:cs="黑体"/>
          <w:sz w:val="21"/>
          <w:szCs w:val="21"/>
        </w:rPr>
        <w:t xml:space="preserve">                  </w:t>
      </w:r>
      <w:r>
        <w:rPr>
          <w:rFonts w:hint="eastAsia" w:asciiTheme="minorEastAsia" w:hAnsiTheme="minorEastAsia" w:eastAsiaTheme="minorEastAsia" w:cstheme="minorEastAsia"/>
          <w:spacing w:val="16"/>
          <w:sz w:val="18"/>
          <w:szCs w:val="18"/>
        </w:rPr>
        <w:t>单位:</w:t>
      </w:r>
      <w:r>
        <w:rPr>
          <w:rFonts w:hint="eastAsia" w:asciiTheme="minorEastAsia" w:hAnsiTheme="minorEastAsia" w:eastAsiaTheme="minorEastAsia" w:cstheme="minorEastAsia"/>
          <w:spacing w:val="4"/>
          <w:sz w:val="18"/>
          <w:szCs w:val="18"/>
        </w:rPr>
        <w:t xml:space="preserve"> </w:t>
      </w:r>
      <w:r>
        <w:rPr>
          <w:rFonts w:hint="eastAsia" w:asciiTheme="minorEastAsia" w:hAnsiTheme="minorEastAsia" w:eastAsiaTheme="minorEastAsia" w:cstheme="minorEastAsia"/>
          <w:position w:val="-1"/>
          <w:sz w:val="18"/>
          <w:szCs w:val="18"/>
        </w:rPr>
        <w:t>mm</w:t>
      </w:r>
    </w:p>
    <w:p>
      <w:pPr>
        <w:spacing w:line="34" w:lineRule="exact"/>
      </w:pPr>
    </w:p>
    <w:tbl>
      <w:tblPr>
        <w:tblStyle w:val="20"/>
        <w:tblW w:w="9239"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961"/>
        <w:gridCol w:w="794"/>
        <w:gridCol w:w="2542"/>
        <w:gridCol w:w="1112"/>
        <w:gridCol w:w="1271"/>
        <w:gridCol w:w="1271"/>
        <w:gridCol w:w="1288"/>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81" w:hRule="atLeast"/>
          <w:jc w:val="center"/>
        </w:trPr>
        <w:tc>
          <w:tcPr>
            <w:tcW w:w="961" w:type="dxa"/>
            <w:vMerge w:val="restart"/>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机组型式</w:t>
            </w:r>
          </w:p>
        </w:tc>
        <w:tc>
          <w:tcPr>
            <w:tcW w:w="3336" w:type="dxa"/>
            <w:gridSpan w:val="2"/>
            <w:vMerge w:val="restart"/>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pacing w:val="1"/>
                <w:sz w:val="15"/>
                <w:szCs w:val="15"/>
              </w:rPr>
              <w:t>项</w:t>
            </w:r>
            <w:r>
              <w:rPr>
                <w:rFonts w:hint="eastAsia" w:asciiTheme="minorEastAsia" w:hAnsiTheme="minorEastAsia" w:eastAsiaTheme="minorEastAsia" w:cstheme="minorEastAsia"/>
                <w:sz w:val="15"/>
                <w:szCs w:val="15"/>
              </w:rPr>
              <w:t xml:space="preserve">        </w:t>
            </w:r>
            <w:r>
              <w:rPr>
                <w:rFonts w:hint="eastAsia" w:asciiTheme="minorEastAsia" w:hAnsiTheme="minorEastAsia" w:eastAsiaTheme="minorEastAsia" w:cstheme="minorEastAsia"/>
                <w:spacing w:val="1"/>
                <w:sz w:val="15"/>
                <w:szCs w:val="15"/>
              </w:rPr>
              <w:t>目</w:t>
            </w:r>
          </w:p>
        </w:tc>
        <w:tc>
          <w:tcPr>
            <w:tcW w:w="4942" w:type="dxa"/>
            <w:gridSpan w:val="4"/>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 xml:space="preserve">额定转速 </w:t>
            </w:r>
            <w:r>
              <w:rPr>
                <w:rFonts w:hint="eastAsia" w:asciiTheme="minorEastAsia" w:hAnsiTheme="minorEastAsia" w:eastAsiaTheme="minorEastAsia" w:cstheme="minorEastAsia"/>
                <w:position w:val="-1"/>
                <w:sz w:val="15"/>
                <w:szCs w:val="15"/>
              </w:rPr>
              <w:t>n</w:t>
            </w:r>
            <w:r>
              <w:rPr>
                <w:rFonts w:hint="eastAsia" w:asciiTheme="minorEastAsia" w:hAnsiTheme="minorEastAsia" w:eastAsiaTheme="minorEastAsia" w:cstheme="minorEastAsia"/>
                <w:sz w:val="15"/>
                <w:szCs w:val="15"/>
              </w:rPr>
              <w:t>/(</w:t>
            </w:r>
            <w:r>
              <w:rPr>
                <w:rFonts w:hint="eastAsia" w:asciiTheme="minorEastAsia" w:hAnsiTheme="minorEastAsia" w:eastAsiaTheme="minorEastAsia" w:cstheme="minorEastAsia"/>
                <w:position w:val="-1"/>
                <w:sz w:val="15"/>
                <w:szCs w:val="15"/>
              </w:rPr>
              <w:t>r</w:t>
            </w:r>
            <w:r>
              <w:rPr>
                <w:rFonts w:hint="eastAsia" w:asciiTheme="minorEastAsia" w:hAnsiTheme="minorEastAsia" w:eastAsiaTheme="minorEastAsia" w:cstheme="minorEastAsia"/>
                <w:sz w:val="15"/>
                <w:szCs w:val="15"/>
              </w:rPr>
              <w:t>/</w:t>
            </w:r>
            <w:r>
              <w:rPr>
                <w:rFonts w:hint="eastAsia" w:asciiTheme="minorEastAsia" w:hAnsiTheme="minorEastAsia" w:eastAsiaTheme="minorEastAsia" w:cstheme="minorEastAsia"/>
                <w:position w:val="-1"/>
                <w:sz w:val="15"/>
                <w:szCs w:val="15"/>
              </w:rPr>
              <w:t>min</w:t>
            </w:r>
            <w:r>
              <w:rPr>
                <w:rFonts w:hint="eastAsia" w:asciiTheme="minorEastAsia" w:hAnsiTheme="minorEastAsia" w:eastAsiaTheme="minorEastAsia" w:cstheme="minorEastAsia"/>
                <w:sz w:val="15"/>
                <w:szCs w:val="15"/>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84" w:hRule="atLeast"/>
          <w:jc w:val="center"/>
        </w:trPr>
        <w:tc>
          <w:tcPr>
            <w:tcW w:w="961" w:type="dxa"/>
            <w:vMerge w:val="continue"/>
            <w:vAlign w:val="center"/>
          </w:tcPr>
          <w:p>
            <w:pPr>
              <w:jc w:val="center"/>
              <w:rPr>
                <w:rFonts w:hint="eastAsia" w:asciiTheme="minorEastAsia" w:hAnsiTheme="minorEastAsia" w:cstheme="minorEastAsia"/>
                <w:sz w:val="15"/>
                <w:szCs w:val="15"/>
              </w:rPr>
            </w:pPr>
          </w:p>
        </w:tc>
        <w:tc>
          <w:tcPr>
            <w:tcW w:w="3336" w:type="dxa"/>
            <w:gridSpan w:val="2"/>
            <w:vMerge w:val="continue"/>
            <w:vAlign w:val="center"/>
          </w:tcPr>
          <w:p>
            <w:pPr>
              <w:jc w:val="center"/>
              <w:rPr>
                <w:rFonts w:hint="eastAsia" w:asciiTheme="minorEastAsia" w:hAnsiTheme="minorEastAsia" w:cstheme="minorEastAsia"/>
                <w:sz w:val="15"/>
                <w:szCs w:val="15"/>
              </w:rPr>
            </w:pPr>
          </w:p>
        </w:tc>
        <w:tc>
          <w:tcPr>
            <w:tcW w:w="1112"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n＜100</w:t>
            </w:r>
          </w:p>
        </w:tc>
        <w:tc>
          <w:tcPr>
            <w:tcW w:w="1271"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100≤n＜250</w:t>
            </w:r>
          </w:p>
        </w:tc>
        <w:tc>
          <w:tcPr>
            <w:tcW w:w="1271"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250≤n＜375</w:t>
            </w:r>
          </w:p>
        </w:tc>
        <w:tc>
          <w:tcPr>
            <w:tcW w:w="1288"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375≤n＜750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57" w:hRule="atLeast"/>
          <w:jc w:val="center"/>
        </w:trPr>
        <w:tc>
          <w:tcPr>
            <w:tcW w:w="961" w:type="dxa"/>
            <w:vMerge w:val="restart"/>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立式机组</w:t>
            </w:r>
          </w:p>
        </w:tc>
        <w:tc>
          <w:tcPr>
            <w:tcW w:w="794" w:type="dxa"/>
            <w:vMerge w:val="restart"/>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水轮机</w:t>
            </w:r>
          </w:p>
        </w:tc>
        <w:tc>
          <w:tcPr>
            <w:tcW w:w="2542"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顶盖水平振动</w:t>
            </w:r>
          </w:p>
        </w:tc>
        <w:tc>
          <w:tcPr>
            <w:tcW w:w="1112"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0.09</w:t>
            </w:r>
          </w:p>
        </w:tc>
        <w:tc>
          <w:tcPr>
            <w:tcW w:w="1271"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0.07</w:t>
            </w:r>
          </w:p>
        </w:tc>
        <w:tc>
          <w:tcPr>
            <w:tcW w:w="1271"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0.05</w:t>
            </w:r>
          </w:p>
        </w:tc>
        <w:tc>
          <w:tcPr>
            <w:tcW w:w="1288"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0.04</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44" w:hRule="atLeast"/>
          <w:jc w:val="center"/>
        </w:trPr>
        <w:tc>
          <w:tcPr>
            <w:tcW w:w="961" w:type="dxa"/>
            <w:vMerge w:val="continue"/>
            <w:vAlign w:val="center"/>
          </w:tcPr>
          <w:p>
            <w:pPr>
              <w:jc w:val="center"/>
              <w:rPr>
                <w:rFonts w:hint="eastAsia" w:asciiTheme="minorEastAsia" w:hAnsiTheme="minorEastAsia" w:cstheme="minorEastAsia"/>
                <w:sz w:val="15"/>
                <w:szCs w:val="15"/>
              </w:rPr>
            </w:pPr>
          </w:p>
        </w:tc>
        <w:tc>
          <w:tcPr>
            <w:tcW w:w="794" w:type="dxa"/>
            <w:vMerge w:val="continue"/>
            <w:vAlign w:val="center"/>
          </w:tcPr>
          <w:p>
            <w:pPr>
              <w:pStyle w:val="27"/>
              <w:spacing w:line="240" w:lineRule="auto"/>
              <w:rPr>
                <w:rFonts w:hint="eastAsia" w:asciiTheme="minorEastAsia" w:hAnsiTheme="minorEastAsia" w:eastAsiaTheme="minorEastAsia" w:cstheme="minorEastAsia"/>
                <w:sz w:val="15"/>
                <w:szCs w:val="15"/>
              </w:rPr>
            </w:pPr>
          </w:p>
        </w:tc>
        <w:tc>
          <w:tcPr>
            <w:tcW w:w="2542" w:type="dxa"/>
            <w:vAlign w:val="center"/>
          </w:tcPr>
          <w:p>
            <w:pPr>
              <w:pStyle w:val="27"/>
              <w:spacing w:line="240" w:lineRule="auto"/>
              <w:rPr>
                <w:rFonts w:hint="eastAsia" w:asciiTheme="minorEastAsia" w:hAnsiTheme="minorEastAsia" w:eastAsiaTheme="minorEastAsia" w:cstheme="minorEastAsia"/>
                <w:spacing w:val="17"/>
                <w:sz w:val="15"/>
                <w:szCs w:val="15"/>
              </w:rPr>
            </w:pPr>
            <w:r>
              <w:rPr>
                <w:rFonts w:hint="eastAsia" w:asciiTheme="minorEastAsia" w:hAnsiTheme="minorEastAsia" w:eastAsiaTheme="minorEastAsia" w:cstheme="minorEastAsia"/>
                <w:sz w:val="15"/>
                <w:szCs w:val="15"/>
              </w:rPr>
              <w:t>顶盖垂直振动</w:t>
            </w:r>
          </w:p>
        </w:tc>
        <w:tc>
          <w:tcPr>
            <w:tcW w:w="1112"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0.11</w:t>
            </w:r>
          </w:p>
        </w:tc>
        <w:tc>
          <w:tcPr>
            <w:tcW w:w="1271"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0.09</w:t>
            </w:r>
          </w:p>
        </w:tc>
        <w:tc>
          <w:tcPr>
            <w:tcW w:w="1271"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0.06</w:t>
            </w:r>
          </w:p>
        </w:tc>
        <w:tc>
          <w:tcPr>
            <w:tcW w:w="1288"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317" w:hRule="atLeast"/>
          <w:jc w:val="center"/>
        </w:trPr>
        <w:tc>
          <w:tcPr>
            <w:tcW w:w="961" w:type="dxa"/>
            <w:vMerge w:val="continue"/>
            <w:vAlign w:val="center"/>
          </w:tcPr>
          <w:p>
            <w:pPr>
              <w:jc w:val="center"/>
              <w:rPr>
                <w:rFonts w:hint="eastAsia" w:asciiTheme="minorEastAsia" w:hAnsiTheme="minorEastAsia" w:cstheme="minorEastAsia"/>
                <w:sz w:val="15"/>
                <w:szCs w:val="15"/>
              </w:rPr>
            </w:pPr>
          </w:p>
        </w:tc>
        <w:tc>
          <w:tcPr>
            <w:tcW w:w="794" w:type="dxa"/>
            <w:vMerge w:val="restart"/>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水轮</w:t>
            </w:r>
          </w:p>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发电机</w:t>
            </w:r>
          </w:p>
        </w:tc>
        <w:tc>
          <w:tcPr>
            <w:tcW w:w="2542"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带推力轴承支架的垂直振动</w:t>
            </w:r>
          </w:p>
        </w:tc>
        <w:tc>
          <w:tcPr>
            <w:tcW w:w="1112"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0.08</w:t>
            </w:r>
          </w:p>
        </w:tc>
        <w:tc>
          <w:tcPr>
            <w:tcW w:w="1271"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0.07</w:t>
            </w:r>
          </w:p>
        </w:tc>
        <w:tc>
          <w:tcPr>
            <w:tcW w:w="1271"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0.05</w:t>
            </w:r>
          </w:p>
        </w:tc>
        <w:tc>
          <w:tcPr>
            <w:tcW w:w="1288"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0.04</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89" w:hRule="atLeast"/>
          <w:jc w:val="center"/>
        </w:trPr>
        <w:tc>
          <w:tcPr>
            <w:tcW w:w="961" w:type="dxa"/>
            <w:vMerge w:val="continue"/>
            <w:vAlign w:val="center"/>
          </w:tcPr>
          <w:p>
            <w:pPr>
              <w:jc w:val="center"/>
              <w:rPr>
                <w:rFonts w:hint="eastAsia" w:asciiTheme="minorEastAsia" w:hAnsiTheme="minorEastAsia" w:cstheme="minorEastAsia"/>
                <w:sz w:val="15"/>
                <w:szCs w:val="15"/>
              </w:rPr>
            </w:pPr>
          </w:p>
        </w:tc>
        <w:tc>
          <w:tcPr>
            <w:tcW w:w="794" w:type="dxa"/>
            <w:vMerge w:val="continue"/>
            <w:vAlign w:val="center"/>
          </w:tcPr>
          <w:p>
            <w:pPr>
              <w:jc w:val="center"/>
              <w:rPr>
                <w:rFonts w:hint="eastAsia" w:asciiTheme="minorEastAsia" w:hAnsiTheme="minorEastAsia" w:cstheme="minorEastAsia"/>
                <w:sz w:val="15"/>
                <w:szCs w:val="15"/>
              </w:rPr>
            </w:pPr>
          </w:p>
        </w:tc>
        <w:tc>
          <w:tcPr>
            <w:tcW w:w="2542"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带导轴承支架的水平振动</w:t>
            </w:r>
          </w:p>
        </w:tc>
        <w:tc>
          <w:tcPr>
            <w:tcW w:w="1112"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0.10</w:t>
            </w:r>
          </w:p>
        </w:tc>
        <w:tc>
          <w:tcPr>
            <w:tcW w:w="1271"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0.09</w:t>
            </w:r>
          </w:p>
        </w:tc>
        <w:tc>
          <w:tcPr>
            <w:tcW w:w="1271"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0.07</w:t>
            </w:r>
          </w:p>
        </w:tc>
        <w:tc>
          <w:tcPr>
            <w:tcW w:w="1288"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62" w:hRule="atLeast"/>
          <w:jc w:val="center"/>
        </w:trPr>
        <w:tc>
          <w:tcPr>
            <w:tcW w:w="961" w:type="dxa"/>
            <w:vMerge w:val="continue"/>
            <w:vAlign w:val="center"/>
          </w:tcPr>
          <w:p>
            <w:pPr>
              <w:jc w:val="center"/>
              <w:rPr>
                <w:rFonts w:hint="eastAsia" w:asciiTheme="minorEastAsia" w:hAnsiTheme="minorEastAsia" w:cstheme="minorEastAsia"/>
                <w:sz w:val="15"/>
                <w:szCs w:val="15"/>
              </w:rPr>
            </w:pPr>
          </w:p>
        </w:tc>
        <w:tc>
          <w:tcPr>
            <w:tcW w:w="794" w:type="dxa"/>
            <w:vMerge w:val="continue"/>
            <w:vAlign w:val="center"/>
          </w:tcPr>
          <w:p>
            <w:pPr>
              <w:jc w:val="center"/>
              <w:rPr>
                <w:rFonts w:hint="eastAsia" w:asciiTheme="minorEastAsia" w:hAnsiTheme="minorEastAsia" w:cstheme="minorEastAsia"/>
                <w:sz w:val="15"/>
                <w:szCs w:val="15"/>
              </w:rPr>
            </w:pPr>
          </w:p>
        </w:tc>
        <w:tc>
          <w:tcPr>
            <w:tcW w:w="2542"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定子铁心部位机座水平振动</w:t>
            </w:r>
          </w:p>
        </w:tc>
        <w:tc>
          <w:tcPr>
            <w:tcW w:w="1112"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0.05</w:t>
            </w:r>
          </w:p>
        </w:tc>
        <w:tc>
          <w:tcPr>
            <w:tcW w:w="1271"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0.04</w:t>
            </w:r>
          </w:p>
        </w:tc>
        <w:tc>
          <w:tcPr>
            <w:tcW w:w="1271"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0.03</w:t>
            </w:r>
          </w:p>
        </w:tc>
        <w:tc>
          <w:tcPr>
            <w:tcW w:w="1288"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94" w:hRule="atLeast"/>
          <w:jc w:val="center"/>
        </w:trPr>
        <w:tc>
          <w:tcPr>
            <w:tcW w:w="961" w:type="dxa"/>
            <w:vMerge w:val="continue"/>
            <w:vAlign w:val="center"/>
          </w:tcPr>
          <w:p>
            <w:pPr>
              <w:jc w:val="center"/>
              <w:rPr>
                <w:rFonts w:hint="eastAsia" w:asciiTheme="minorEastAsia" w:hAnsiTheme="minorEastAsia" w:cstheme="minorEastAsia"/>
                <w:sz w:val="15"/>
                <w:szCs w:val="15"/>
              </w:rPr>
            </w:pPr>
          </w:p>
        </w:tc>
        <w:tc>
          <w:tcPr>
            <w:tcW w:w="794" w:type="dxa"/>
            <w:vMerge w:val="continue"/>
            <w:vAlign w:val="center"/>
          </w:tcPr>
          <w:p>
            <w:pPr>
              <w:jc w:val="center"/>
              <w:rPr>
                <w:rFonts w:hint="eastAsia" w:asciiTheme="minorEastAsia" w:hAnsiTheme="minorEastAsia" w:cstheme="minorEastAsia"/>
                <w:sz w:val="15"/>
                <w:szCs w:val="15"/>
              </w:rPr>
            </w:pPr>
          </w:p>
        </w:tc>
        <w:tc>
          <w:tcPr>
            <w:tcW w:w="2542"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 xml:space="preserve">定子铁心振动  </w:t>
            </w:r>
            <w:r>
              <w:rPr>
                <w:rFonts w:hint="eastAsia" w:asciiTheme="minorEastAsia" w:hAnsiTheme="minorEastAsia" w:eastAsiaTheme="minorEastAsia" w:cstheme="minorEastAsia"/>
                <w:position w:val="-1"/>
                <w:sz w:val="15"/>
                <w:szCs w:val="15"/>
              </w:rPr>
              <w:t>(100Hz极频</w:t>
            </w:r>
            <w:r>
              <w:rPr>
                <w:rFonts w:hint="eastAsia" w:asciiTheme="minorEastAsia" w:hAnsiTheme="minorEastAsia" w:eastAsiaTheme="minorEastAsia" w:cstheme="minorEastAsia"/>
                <w:sz w:val="15"/>
                <w:szCs w:val="15"/>
              </w:rPr>
              <w:t>双幅值)</w:t>
            </w:r>
          </w:p>
        </w:tc>
        <w:tc>
          <w:tcPr>
            <w:tcW w:w="1112"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0.03</w:t>
            </w:r>
          </w:p>
        </w:tc>
        <w:tc>
          <w:tcPr>
            <w:tcW w:w="1271"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0.03</w:t>
            </w:r>
          </w:p>
        </w:tc>
        <w:tc>
          <w:tcPr>
            <w:tcW w:w="1271"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0.03</w:t>
            </w:r>
          </w:p>
        </w:tc>
        <w:tc>
          <w:tcPr>
            <w:tcW w:w="1288"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52" w:hRule="atLeast"/>
          <w:jc w:val="center"/>
        </w:trPr>
        <w:tc>
          <w:tcPr>
            <w:tcW w:w="961" w:type="dxa"/>
            <w:vMerge w:val="restart"/>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卧式机组</w:t>
            </w:r>
          </w:p>
        </w:tc>
        <w:tc>
          <w:tcPr>
            <w:tcW w:w="3336" w:type="dxa"/>
            <w:gridSpan w:val="2"/>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各部轴承垂直振动</w:t>
            </w:r>
          </w:p>
        </w:tc>
        <w:tc>
          <w:tcPr>
            <w:tcW w:w="1112"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0.11</w:t>
            </w:r>
          </w:p>
        </w:tc>
        <w:tc>
          <w:tcPr>
            <w:tcW w:w="1271"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0.09</w:t>
            </w:r>
          </w:p>
        </w:tc>
        <w:tc>
          <w:tcPr>
            <w:tcW w:w="1271"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0.07</w:t>
            </w:r>
          </w:p>
        </w:tc>
        <w:tc>
          <w:tcPr>
            <w:tcW w:w="1288"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52" w:hRule="atLeast"/>
          <w:jc w:val="center"/>
        </w:trPr>
        <w:tc>
          <w:tcPr>
            <w:tcW w:w="961" w:type="dxa"/>
            <w:vMerge w:val="continue"/>
            <w:vAlign w:val="center"/>
          </w:tcPr>
          <w:p>
            <w:pPr>
              <w:pStyle w:val="27"/>
              <w:spacing w:line="240" w:lineRule="auto"/>
              <w:rPr>
                <w:rFonts w:hint="eastAsia" w:asciiTheme="minorEastAsia" w:hAnsiTheme="minorEastAsia" w:eastAsiaTheme="minorEastAsia" w:cstheme="minorEastAsia"/>
                <w:sz w:val="15"/>
                <w:szCs w:val="15"/>
              </w:rPr>
            </w:pPr>
          </w:p>
        </w:tc>
        <w:tc>
          <w:tcPr>
            <w:tcW w:w="3336" w:type="dxa"/>
            <w:gridSpan w:val="2"/>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各部轴承水平振动</w:t>
            </w:r>
          </w:p>
        </w:tc>
        <w:tc>
          <w:tcPr>
            <w:tcW w:w="1112"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0.08</w:t>
            </w:r>
          </w:p>
        </w:tc>
        <w:tc>
          <w:tcPr>
            <w:tcW w:w="1271"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0.06</w:t>
            </w:r>
          </w:p>
        </w:tc>
        <w:tc>
          <w:tcPr>
            <w:tcW w:w="1271"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0.04</w:t>
            </w:r>
          </w:p>
        </w:tc>
        <w:tc>
          <w:tcPr>
            <w:tcW w:w="1288"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71" w:hRule="atLeast"/>
          <w:jc w:val="center"/>
        </w:trPr>
        <w:tc>
          <w:tcPr>
            <w:tcW w:w="961" w:type="dxa"/>
            <w:vMerge w:val="restart"/>
            <w:vAlign w:val="center"/>
          </w:tcPr>
          <w:p>
            <w:pPr>
              <w:pStyle w:val="27"/>
              <w:spacing w:line="240" w:lineRule="auto"/>
              <w:rPr>
                <w:rFonts w:hint="eastAsia" w:asciiTheme="minorEastAsia" w:hAnsiTheme="minorEastAsia" w:eastAsiaTheme="minorEastAsia" w:cstheme="minorEastAsia"/>
                <w:spacing w:val="14"/>
                <w:sz w:val="15"/>
                <w:szCs w:val="15"/>
              </w:rPr>
            </w:pPr>
            <w:r>
              <w:rPr>
                <w:rFonts w:hint="eastAsia" w:asciiTheme="minorEastAsia" w:hAnsiTheme="minorEastAsia" w:eastAsiaTheme="minorEastAsia" w:cstheme="minorEastAsia"/>
                <w:sz w:val="15"/>
                <w:szCs w:val="15"/>
              </w:rPr>
              <w:t>灯泡贯</w:t>
            </w:r>
            <w:r>
              <w:rPr>
                <w:rFonts w:hint="eastAsia" w:asciiTheme="minorEastAsia" w:hAnsiTheme="minorEastAsia" w:eastAsiaTheme="minorEastAsia" w:cstheme="minorEastAsia"/>
                <w:spacing w:val="14"/>
                <w:sz w:val="15"/>
                <w:szCs w:val="15"/>
              </w:rPr>
              <w:t>流式</w:t>
            </w:r>
          </w:p>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机组</w:t>
            </w:r>
          </w:p>
        </w:tc>
        <w:tc>
          <w:tcPr>
            <w:tcW w:w="3336" w:type="dxa"/>
            <w:gridSpan w:val="2"/>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推力支架的轴向振动</w:t>
            </w:r>
          </w:p>
        </w:tc>
        <w:tc>
          <w:tcPr>
            <w:tcW w:w="1112"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0.10</w:t>
            </w:r>
          </w:p>
        </w:tc>
        <w:tc>
          <w:tcPr>
            <w:tcW w:w="3830" w:type="dxa"/>
            <w:gridSpan w:val="3"/>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0.08</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76" w:hRule="atLeast"/>
          <w:jc w:val="center"/>
        </w:trPr>
        <w:tc>
          <w:tcPr>
            <w:tcW w:w="961" w:type="dxa"/>
            <w:vMerge w:val="continue"/>
            <w:vAlign w:val="center"/>
          </w:tcPr>
          <w:p>
            <w:pPr>
              <w:jc w:val="center"/>
              <w:rPr>
                <w:rFonts w:hint="eastAsia" w:asciiTheme="minorEastAsia" w:hAnsiTheme="minorEastAsia" w:cstheme="minorEastAsia"/>
                <w:sz w:val="15"/>
                <w:szCs w:val="15"/>
              </w:rPr>
            </w:pPr>
          </w:p>
        </w:tc>
        <w:tc>
          <w:tcPr>
            <w:tcW w:w="3336" w:type="dxa"/>
            <w:gridSpan w:val="2"/>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各导轴承的径向振动</w:t>
            </w:r>
          </w:p>
        </w:tc>
        <w:tc>
          <w:tcPr>
            <w:tcW w:w="1112"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0.12</w:t>
            </w:r>
          </w:p>
        </w:tc>
        <w:tc>
          <w:tcPr>
            <w:tcW w:w="3830" w:type="dxa"/>
            <w:gridSpan w:val="3"/>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0.10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57" w:hRule="atLeast"/>
          <w:jc w:val="center"/>
        </w:trPr>
        <w:tc>
          <w:tcPr>
            <w:tcW w:w="961" w:type="dxa"/>
            <w:vMerge w:val="continue"/>
            <w:vAlign w:val="center"/>
          </w:tcPr>
          <w:p>
            <w:pPr>
              <w:jc w:val="center"/>
              <w:rPr>
                <w:rFonts w:hint="eastAsia" w:asciiTheme="minorEastAsia" w:hAnsiTheme="minorEastAsia" w:cstheme="minorEastAsia"/>
                <w:sz w:val="15"/>
                <w:szCs w:val="15"/>
              </w:rPr>
            </w:pPr>
          </w:p>
        </w:tc>
        <w:tc>
          <w:tcPr>
            <w:tcW w:w="3336" w:type="dxa"/>
            <w:gridSpan w:val="2"/>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灯泡头的径向振动</w:t>
            </w:r>
          </w:p>
        </w:tc>
        <w:tc>
          <w:tcPr>
            <w:tcW w:w="1112" w:type="dxa"/>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0.12</w:t>
            </w:r>
          </w:p>
        </w:tc>
        <w:tc>
          <w:tcPr>
            <w:tcW w:w="3830" w:type="dxa"/>
            <w:gridSpan w:val="3"/>
            <w:vAlign w:val="center"/>
          </w:tcPr>
          <w:p>
            <w:pPr>
              <w:pStyle w:val="27"/>
              <w:spacing w:line="240" w:lineRule="auto"/>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0.10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570" w:hRule="atLeast"/>
          <w:jc w:val="center"/>
        </w:trPr>
        <w:tc>
          <w:tcPr>
            <w:tcW w:w="9239" w:type="dxa"/>
            <w:gridSpan w:val="7"/>
            <w:vAlign w:val="center"/>
          </w:tcPr>
          <w:p>
            <w:pPr>
              <w:pStyle w:val="27"/>
              <w:spacing w:line="240" w:lineRule="auto"/>
              <w:jc w:val="both"/>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注1：振动值系指机组在除过速运行以外的各种稳定运行工况下的双振幅值 。</w:t>
            </w:r>
          </w:p>
          <w:p>
            <w:pPr>
              <w:pStyle w:val="27"/>
              <w:spacing w:line="240" w:lineRule="auto"/>
              <w:jc w:val="both"/>
              <w:rPr>
                <w:rFonts w:hint="eastAsia" w:asciiTheme="minorEastAsia" w:hAnsiTheme="minorEastAsia" w:eastAsiaTheme="minorEastAsia" w:cstheme="minorEastAsia"/>
                <w:sz w:val="15"/>
                <w:szCs w:val="15"/>
              </w:rPr>
            </w:pPr>
            <w:r>
              <w:rPr>
                <w:rFonts w:hint="eastAsia" w:asciiTheme="minorEastAsia" w:hAnsiTheme="minorEastAsia" w:eastAsiaTheme="minorEastAsia" w:cstheme="minorEastAsia"/>
                <w:sz w:val="15"/>
                <w:szCs w:val="15"/>
              </w:rPr>
              <w:t>注2：灯泡贯流式机组扇形支撑水导轴承结构的，仅考核Y向（垂直）径向振动、X向（水平）可供参考。</w:t>
            </w:r>
          </w:p>
        </w:tc>
      </w:tr>
    </w:tbl>
    <w:p>
      <w:pPr>
        <w:widowControl/>
        <w:kinsoku w:val="0"/>
        <w:autoSpaceDE w:val="0"/>
        <w:autoSpaceDN w:val="0"/>
        <w:adjustRightInd w:val="0"/>
        <w:snapToGrid w:val="0"/>
        <w:spacing w:line="360" w:lineRule="auto"/>
        <w:textAlignment w:val="baseline"/>
        <w:rPr>
          <w:rFonts w:ascii="Times New Roman" w:hAnsi="Times New Roman" w:cs="Times New Roman"/>
          <w:snapToGrid w:val="0"/>
          <w:color w:val="000000"/>
          <w:kern w:val="0"/>
          <w:szCs w:val="21"/>
        </w:rPr>
      </w:pPr>
      <w:bookmarkStart w:id="217" w:name="_Toc14454"/>
      <w:bookmarkStart w:id="218" w:name="_Hlk193029706"/>
      <w:r>
        <w:rPr>
          <w:rFonts w:hint="eastAsia" w:ascii="黑体" w:hAnsi="黑体" w:eastAsia="黑体" w:cs="Times New Roman"/>
          <w:snapToGrid w:val="0"/>
          <w:color w:val="000000"/>
          <w:kern w:val="0"/>
          <w:szCs w:val="21"/>
        </w:rPr>
        <w:t>H</w:t>
      </w:r>
      <w:r>
        <w:rPr>
          <w:rFonts w:ascii="黑体" w:hAnsi="黑体" w:eastAsia="黑体" w:cs="Times New Roman"/>
          <w:snapToGrid w:val="0"/>
          <w:color w:val="000000"/>
          <w:kern w:val="0"/>
          <w:szCs w:val="21"/>
        </w:rPr>
        <w:t>.1.2</w:t>
      </w:r>
      <w:r>
        <w:rPr>
          <w:rFonts w:ascii="Times New Roman" w:hAnsi="Times New Roman" w:cs="Times New Roman"/>
          <w:snapToGrid w:val="0"/>
          <w:color w:val="000000"/>
          <w:kern w:val="0"/>
          <w:szCs w:val="21"/>
        </w:rPr>
        <w:t xml:space="preserve"> </w:t>
      </w:r>
      <w:r>
        <w:rPr>
          <w:rFonts w:hint="eastAsia" w:ascii="Times New Roman" w:hAnsi="Times New Roman" w:cs="Times New Roman"/>
          <w:snapToGrid w:val="0"/>
          <w:color w:val="000000"/>
          <w:kern w:val="0"/>
          <w:szCs w:val="21"/>
        </w:rPr>
        <w:t xml:space="preserve"> </w:t>
      </w:r>
      <w:r>
        <w:rPr>
          <w:rFonts w:ascii="Times New Roman" w:hAnsi="Times New Roman" w:cs="Times New Roman"/>
          <w:snapToGrid w:val="0"/>
          <w:color w:val="000000"/>
          <w:kern w:val="0"/>
          <w:szCs w:val="21"/>
        </w:rPr>
        <w:t>空蚀和磨蚀</w:t>
      </w:r>
      <w:bookmarkEnd w:id="217"/>
      <w:r>
        <w:rPr>
          <w:rFonts w:ascii="Times New Roman" w:hAnsi="Times New Roman" w:cs="Times New Roman"/>
          <w:snapToGrid w:val="0"/>
          <w:color w:val="000000"/>
          <w:kern w:val="0"/>
          <w:szCs w:val="21"/>
        </w:rPr>
        <w:t>评定</w:t>
      </w:r>
    </w:p>
    <w:p>
      <w:pPr>
        <w:widowControl/>
        <w:kinsoku w:val="0"/>
        <w:autoSpaceDE w:val="0"/>
        <w:autoSpaceDN w:val="0"/>
        <w:adjustRightInd w:val="0"/>
        <w:snapToGrid w:val="0"/>
        <w:spacing w:line="360" w:lineRule="auto"/>
        <w:textAlignment w:val="baseline"/>
        <w:rPr>
          <w:rFonts w:ascii="Times New Roman" w:hAnsi="Times New Roman" w:cs="Times New Roman"/>
          <w:snapToGrid w:val="0"/>
          <w:color w:val="000000"/>
          <w:kern w:val="0"/>
          <w:szCs w:val="21"/>
        </w:rPr>
      </w:pPr>
      <w:bookmarkStart w:id="219" w:name="OLE_LINK31"/>
      <w:bookmarkStart w:id="220" w:name="OLE_LINK30"/>
      <w:r>
        <w:rPr>
          <w:rFonts w:hint="eastAsia" w:ascii="黑体" w:hAnsi="黑体" w:eastAsia="黑体" w:cs="Times New Roman"/>
          <w:snapToGrid w:val="0"/>
          <w:color w:val="000000"/>
          <w:kern w:val="0"/>
          <w:szCs w:val="21"/>
        </w:rPr>
        <w:t>H</w:t>
      </w:r>
      <w:r>
        <w:rPr>
          <w:rFonts w:ascii="黑体" w:hAnsi="黑体" w:eastAsia="黑体" w:cs="Times New Roman"/>
          <w:snapToGrid w:val="0"/>
          <w:color w:val="000000"/>
          <w:kern w:val="0"/>
          <w:szCs w:val="21"/>
        </w:rPr>
        <w:t>.1.2.1</w:t>
      </w:r>
      <w:r>
        <w:rPr>
          <w:rFonts w:ascii="Times New Roman" w:hAnsi="Times New Roman" w:cs="Times New Roman"/>
          <w:snapToGrid w:val="0"/>
          <w:color w:val="000000"/>
          <w:kern w:val="0"/>
          <w:szCs w:val="21"/>
        </w:rPr>
        <w:t xml:space="preserve"> </w:t>
      </w:r>
      <w:bookmarkEnd w:id="219"/>
      <w:r>
        <w:rPr>
          <w:rFonts w:hint="eastAsia" w:ascii="Times New Roman" w:hAnsi="Times New Roman" w:cs="Times New Roman"/>
          <w:snapToGrid w:val="0"/>
          <w:color w:val="000000"/>
          <w:kern w:val="0"/>
          <w:szCs w:val="21"/>
        </w:rPr>
        <w:t xml:space="preserve"> </w:t>
      </w:r>
      <w:r>
        <w:rPr>
          <w:rFonts w:ascii="Times New Roman" w:hAnsi="Times New Roman" w:cs="Times New Roman"/>
          <w:snapToGrid w:val="0"/>
          <w:color w:val="000000"/>
          <w:kern w:val="0"/>
          <w:szCs w:val="21"/>
        </w:rPr>
        <w:t>空蚀保证值</w:t>
      </w:r>
    </w:p>
    <w:bookmarkEnd w:id="220"/>
    <w:p>
      <w:pPr>
        <w:widowControl/>
        <w:kinsoku w:val="0"/>
        <w:autoSpaceDE w:val="0"/>
        <w:autoSpaceDN w:val="0"/>
        <w:adjustRightInd w:val="0"/>
        <w:snapToGrid w:val="0"/>
        <w:spacing w:line="360" w:lineRule="auto"/>
        <w:ind w:firstLine="420" w:firstLineChars="200"/>
        <w:textAlignment w:val="baseline"/>
        <w:rPr>
          <w:rFonts w:ascii="Times New Roman" w:hAnsi="Times New Roman" w:cs="Times New Roman"/>
          <w:snapToGrid w:val="0"/>
          <w:color w:val="000000"/>
          <w:kern w:val="0"/>
          <w:szCs w:val="21"/>
        </w:rPr>
      </w:pPr>
      <w:r>
        <w:rPr>
          <w:rFonts w:ascii="Times New Roman" w:hAnsi="Times New Roman" w:cs="Times New Roman"/>
          <w:snapToGrid w:val="0"/>
          <w:color w:val="000000"/>
          <w:kern w:val="0"/>
          <w:szCs w:val="21"/>
        </w:rPr>
        <w:t>空蚀保证值可以由最大深度</w:t>
      </w:r>
      <w:r>
        <w:rPr>
          <w:rFonts w:ascii="Times New Roman" w:hAnsi="Times New Roman" w:cs="Times New Roman"/>
          <w:i/>
          <w:iCs/>
          <w:snapToGrid w:val="0"/>
          <w:color w:val="000000"/>
          <w:kern w:val="0"/>
          <w:szCs w:val="21"/>
        </w:rPr>
        <w:t>S</w:t>
      </w:r>
      <w:r>
        <w:rPr>
          <w:rFonts w:ascii="Times New Roman" w:hAnsi="Times New Roman" w:cs="Times New Roman"/>
          <w:snapToGrid w:val="0"/>
          <w:color w:val="000000"/>
          <w:kern w:val="0"/>
          <w:szCs w:val="21"/>
        </w:rPr>
        <w:t>、剥落体积</w:t>
      </w:r>
      <w:r>
        <w:rPr>
          <w:rFonts w:ascii="Times New Roman" w:hAnsi="Times New Roman" w:cs="Times New Roman"/>
          <w:i/>
          <w:iCs/>
          <w:snapToGrid w:val="0"/>
          <w:color w:val="000000"/>
          <w:kern w:val="0"/>
          <w:szCs w:val="21"/>
        </w:rPr>
        <w:t>V</w:t>
      </w:r>
      <w:r>
        <w:rPr>
          <w:rFonts w:ascii="Times New Roman" w:hAnsi="Times New Roman" w:cs="Times New Roman"/>
          <w:snapToGrid w:val="0"/>
          <w:color w:val="000000"/>
          <w:kern w:val="0"/>
          <w:szCs w:val="21"/>
        </w:rPr>
        <w:t>或质量损失</w:t>
      </w:r>
      <w:r>
        <w:rPr>
          <w:rFonts w:ascii="Times New Roman" w:hAnsi="Times New Roman" w:cs="Times New Roman"/>
          <w:i/>
          <w:iCs/>
          <w:snapToGrid w:val="0"/>
          <w:color w:val="000000"/>
          <w:kern w:val="0"/>
          <w:szCs w:val="21"/>
        </w:rPr>
        <w:t>M</w:t>
      </w:r>
      <w:r>
        <w:rPr>
          <w:rFonts w:ascii="Times New Roman" w:hAnsi="Times New Roman" w:cs="Times New Roman"/>
          <w:snapToGrid w:val="0"/>
          <w:color w:val="000000"/>
          <w:kern w:val="0"/>
          <w:szCs w:val="21"/>
        </w:rPr>
        <w:t>来限定。</w:t>
      </w:r>
    </w:p>
    <w:bookmarkEnd w:id="218"/>
    <w:p>
      <w:pPr>
        <w:widowControl/>
        <w:kinsoku w:val="0"/>
        <w:autoSpaceDE w:val="0"/>
        <w:autoSpaceDN w:val="0"/>
        <w:adjustRightInd w:val="0"/>
        <w:snapToGrid w:val="0"/>
        <w:spacing w:line="360" w:lineRule="auto"/>
        <w:ind w:firstLine="420" w:firstLineChars="200"/>
        <w:textAlignment w:val="baseline"/>
        <w:rPr>
          <w:rFonts w:ascii="Times New Roman" w:hAnsi="Times New Roman" w:cs="Times New Roman"/>
          <w:snapToGrid w:val="0"/>
          <w:color w:val="000000"/>
          <w:kern w:val="0"/>
          <w:szCs w:val="21"/>
        </w:rPr>
      </w:pPr>
      <w:r>
        <w:rPr>
          <w:rFonts w:ascii="Times New Roman" w:hAnsi="Times New Roman" w:cs="Times New Roman"/>
          <w:snapToGrid w:val="0"/>
          <w:color w:val="000000"/>
          <w:kern w:val="0"/>
          <w:szCs w:val="21"/>
        </w:rPr>
        <w:t>对于整个转轮</w:t>
      </w:r>
      <w:r>
        <w:rPr>
          <w:rFonts w:hint="eastAsia" w:ascii="Times New Roman" w:hAnsi="Times New Roman" w:cs="Times New Roman"/>
          <w:snapToGrid w:val="0"/>
          <w:color w:val="000000"/>
          <w:kern w:val="0"/>
          <w:szCs w:val="21"/>
        </w:rPr>
        <w:t>/叶轮</w:t>
      </w:r>
      <w:r>
        <w:rPr>
          <w:rFonts w:ascii="Times New Roman" w:hAnsi="Times New Roman" w:cs="Times New Roman"/>
          <w:snapToGrid w:val="0"/>
          <w:color w:val="000000"/>
          <w:kern w:val="0"/>
          <w:szCs w:val="21"/>
        </w:rPr>
        <w:t>的空蚀保证，一个叶片的空蚀体积</w:t>
      </w:r>
      <w:r>
        <w:rPr>
          <w:rFonts w:ascii="Times New Roman" w:hAnsi="Times New Roman" w:cs="Times New Roman"/>
          <w:i/>
          <w:iCs/>
          <w:snapToGrid w:val="0"/>
          <w:color w:val="000000"/>
          <w:kern w:val="0"/>
          <w:szCs w:val="21"/>
        </w:rPr>
        <w:t>V</w:t>
      </w:r>
      <w:r>
        <w:rPr>
          <w:rFonts w:ascii="Times New Roman" w:hAnsi="Times New Roman" w:cs="Times New Roman"/>
          <w:i/>
          <w:iCs/>
          <w:snapToGrid w:val="0"/>
          <w:color w:val="000000"/>
          <w:kern w:val="0"/>
          <w:szCs w:val="21"/>
          <w:vertAlign w:val="subscript"/>
        </w:rPr>
        <w:t>i</w:t>
      </w:r>
      <w:r>
        <w:rPr>
          <w:rFonts w:ascii="Times New Roman" w:hAnsi="Times New Roman" w:cs="Times New Roman"/>
          <w:snapToGrid w:val="0"/>
          <w:color w:val="000000"/>
          <w:kern w:val="0"/>
          <w:szCs w:val="21"/>
        </w:rPr>
        <w:t>或质量损失</w:t>
      </w:r>
      <w:r>
        <w:rPr>
          <w:rFonts w:ascii="Times New Roman" w:hAnsi="Times New Roman" w:cs="Times New Roman"/>
          <w:i/>
          <w:iCs/>
          <w:snapToGrid w:val="0"/>
          <w:color w:val="000000"/>
          <w:kern w:val="0"/>
          <w:szCs w:val="21"/>
        </w:rPr>
        <w:t>M</w:t>
      </w:r>
      <w:r>
        <w:rPr>
          <w:rFonts w:ascii="Times New Roman" w:hAnsi="Times New Roman" w:cs="Times New Roman"/>
          <w:i/>
          <w:iCs/>
          <w:snapToGrid w:val="0"/>
          <w:color w:val="000000"/>
          <w:kern w:val="0"/>
          <w:szCs w:val="21"/>
          <w:vertAlign w:val="subscript"/>
        </w:rPr>
        <w:t>i</w:t>
      </w:r>
      <w:r>
        <w:rPr>
          <w:rFonts w:ascii="Times New Roman" w:hAnsi="Times New Roman" w:cs="Times New Roman"/>
          <w:snapToGrid w:val="0"/>
          <w:color w:val="000000"/>
          <w:kern w:val="0"/>
          <w:szCs w:val="21"/>
        </w:rPr>
        <w:t>不应超出整个转轮空蚀保证体积或质量的</w:t>
      </w:r>
      <w:r>
        <w:rPr>
          <w:rFonts w:ascii="Times New Roman" w:hAnsi="Times New Roman" w:cs="Times New Roman"/>
          <w:i/>
          <w:iCs/>
          <w:snapToGrid w:val="0"/>
          <w:color w:val="000000"/>
          <w:kern w:val="0"/>
          <w:szCs w:val="21"/>
        </w:rPr>
        <w:t>Y</w:t>
      </w:r>
      <w:r>
        <w:rPr>
          <w:rFonts w:ascii="Times New Roman" w:hAnsi="Times New Roman" w:cs="Times New Roman"/>
          <w:snapToGrid w:val="0"/>
          <w:color w:val="000000"/>
          <w:kern w:val="0"/>
          <w:szCs w:val="21"/>
        </w:rPr>
        <w:t>倍。对于轴流式</w:t>
      </w:r>
      <w:r>
        <w:rPr>
          <w:rFonts w:hint="eastAsia" w:ascii="Times New Roman" w:hAnsi="Times New Roman" w:cs="Times New Roman"/>
          <w:snapToGrid w:val="0"/>
          <w:color w:val="000000"/>
          <w:kern w:val="0"/>
          <w:szCs w:val="21"/>
        </w:rPr>
        <w:t>和</w:t>
      </w:r>
      <w:r>
        <w:rPr>
          <w:rFonts w:ascii="Times New Roman" w:hAnsi="Times New Roman" w:cs="Times New Roman"/>
          <w:snapToGrid w:val="0"/>
          <w:color w:val="000000"/>
          <w:kern w:val="0"/>
          <w:szCs w:val="21"/>
        </w:rPr>
        <w:t>贯流式水轮机</w:t>
      </w:r>
      <w:r>
        <w:rPr>
          <w:rFonts w:hint="eastAsia" w:ascii="Times New Roman" w:hAnsi="Times New Roman" w:cs="Times New Roman"/>
          <w:snapToGrid w:val="0"/>
          <w:color w:val="000000"/>
          <w:kern w:val="0"/>
          <w:szCs w:val="21"/>
        </w:rPr>
        <w:t>、</w:t>
      </w:r>
      <w:r>
        <w:rPr>
          <w:rFonts w:hint="eastAsia" w:ascii="Times New Roman" w:hAnsi="Times New Roman"/>
          <w:kern w:val="0"/>
          <w:szCs w:val="21"/>
        </w:rPr>
        <w:t>轴流式蓄能泵和水泵水轮机</w:t>
      </w:r>
      <w:r>
        <w:rPr>
          <w:rFonts w:ascii="Times New Roman" w:hAnsi="Times New Roman" w:cs="Times New Roman"/>
          <w:snapToGrid w:val="0"/>
          <w:color w:val="000000"/>
          <w:kern w:val="0"/>
          <w:szCs w:val="21"/>
        </w:rPr>
        <w:t>，</w:t>
      </w:r>
      <w:bookmarkStart w:id="221" w:name="OLE_LINK26"/>
      <w:r>
        <w:rPr>
          <w:rFonts w:ascii="Times New Roman" w:hAnsi="Times New Roman" w:cs="Times New Roman"/>
          <w:i/>
          <w:iCs/>
          <w:snapToGrid w:val="0"/>
          <w:color w:val="000000"/>
          <w:kern w:val="0"/>
          <w:szCs w:val="21"/>
        </w:rPr>
        <w:t>Y</w:t>
      </w:r>
      <w:r>
        <w:rPr>
          <w:rFonts w:ascii="Times New Roman" w:hAnsi="Times New Roman" w:cs="Times New Roman"/>
          <w:snapToGrid w:val="0"/>
          <w:color w:val="000000"/>
          <w:kern w:val="0"/>
          <w:szCs w:val="21"/>
        </w:rPr>
        <w:t>取0.4；</w:t>
      </w:r>
      <w:bookmarkEnd w:id="221"/>
      <w:r>
        <w:rPr>
          <w:rFonts w:ascii="Times New Roman" w:hAnsi="Times New Roman" w:cs="Times New Roman"/>
          <w:snapToGrid w:val="0"/>
          <w:color w:val="000000"/>
          <w:kern w:val="0"/>
          <w:szCs w:val="21"/>
        </w:rPr>
        <w:t>对于混流式和斜流式水轮机</w:t>
      </w:r>
      <w:r>
        <w:rPr>
          <w:rFonts w:hint="eastAsia" w:ascii="Times New Roman" w:hAnsi="Times New Roman" w:cs="Times New Roman"/>
          <w:snapToGrid w:val="0"/>
          <w:color w:val="000000"/>
          <w:kern w:val="0"/>
          <w:szCs w:val="21"/>
        </w:rPr>
        <w:t>、离心式蓄能泵、混流式水泵水轮机和斜流式水泵水轮机</w:t>
      </w:r>
      <w:r>
        <w:rPr>
          <w:rFonts w:ascii="Times New Roman" w:hAnsi="Times New Roman" w:cs="Times New Roman"/>
          <w:snapToGrid w:val="0"/>
          <w:color w:val="000000"/>
          <w:kern w:val="0"/>
          <w:szCs w:val="21"/>
        </w:rPr>
        <w:t>，</w:t>
      </w:r>
      <w:bookmarkStart w:id="222" w:name="OLE_LINK27"/>
      <w:r>
        <w:rPr>
          <w:rFonts w:ascii="Times New Roman" w:hAnsi="Times New Roman" w:cs="Times New Roman"/>
          <w:i/>
          <w:iCs/>
          <w:snapToGrid w:val="0"/>
          <w:color w:val="000000"/>
          <w:kern w:val="0"/>
          <w:szCs w:val="21"/>
        </w:rPr>
        <w:t>Y</w:t>
      </w:r>
      <w:r>
        <w:rPr>
          <w:rFonts w:ascii="Times New Roman" w:hAnsi="Times New Roman" w:cs="Times New Roman"/>
          <w:snapToGrid w:val="0"/>
          <w:color w:val="000000"/>
          <w:kern w:val="0"/>
          <w:szCs w:val="21"/>
        </w:rPr>
        <w:t>取0.3</w:t>
      </w:r>
      <w:bookmarkEnd w:id="222"/>
      <w:r>
        <w:rPr>
          <w:rFonts w:ascii="Times New Roman" w:hAnsi="Times New Roman" w:cs="Times New Roman"/>
          <w:snapToGrid w:val="0"/>
          <w:color w:val="000000"/>
          <w:kern w:val="0"/>
          <w:szCs w:val="21"/>
        </w:rPr>
        <w:t>。对于轴流式、贯流式、斜流式水轮机</w:t>
      </w:r>
      <w:r>
        <w:rPr>
          <w:rFonts w:hint="eastAsia" w:ascii="Times New Roman" w:hAnsi="Times New Roman" w:cs="Times New Roman"/>
          <w:snapToGrid w:val="0"/>
          <w:color w:val="000000"/>
          <w:kern w:val="0"/>
          <w:szCs w:val="21"/>
        </w:rPr>
        <w:t>、轴流式蓄能泵和水泵水轮机、斜流式蓄能泵和水泵水轮机</w:t>
      </w:r>
      <w:r>
        <w:rPr>
          <w:rFonts w:ascii="Times New Roman" w:hAnsi="Times New Roman" w:cs="Times New Roman"/>
          <w:snapToGrid w:val="0"/>
          <w:color w:val="000000"/>
          <w:kern w:val="0"/>
          <w:szCs w:val="21"/>
        </w:rPr>
        <w:t>的固定部件，空蚀深度</w:t>
      </w:r>
      <w:r>
        <w:rPr>
          <w:rFonts w:ascii="Times New Roman" w:hAnsi="Times New Roman" w:cs="Times New Roman"/>
          <w:i/>
          <w:iCs/>
          <w:snapToGrid w:val="0"/>
          <w:color w:val="000000"/>
          <w:kern w:val="0"/>
          <w:szCs w:val="21"/>
        </w:rPr>
        <w:t>S</w:t>
      </w:r>
      <w:r>
        <w:rPr>
          <w:rFonts w:ascii="Times New Roman" w:hAnsi="Times New Roman" w:cs="Times New Roman"/>
          <w:snapToGrid w:val="0"/>
          <w:color w:val="000000"/>
          <w:kern w:val="0"/>
          <w:szCs w:val="21"/>
        </w:rPr>
        <w:t>和体积</w:t>
      </w:r>
      <w:r>
        <w:rPr>
          <w:rFonts w:ascii="Times New Roman" w:hAnsi="Times New Roman" w:cs="Times New Roman"/>
          <w:i/>
          <w:iCs/>
          <w:snapToGrid w:val="0"/>
          <w:color w:val="000000"/>
          <w:kern w:val="0"/>
          <w:szCs w:val="21"/>
        </w:rPr>
        <w:t>V</w:t>
      </w:r>
      <w:r>
        <w:rPr>
          <w:rFonts w:ascii="Times New Roman" w:hAnsi="Times New Roman" w:cs="Times New Roman"/>
          <w:snapToGrid w:val="0"/>
          <w:color w:val="000000"/>
          <w:kern w:val="0"/>
          <w:szCs w:val="21"/>
        </w:rPr>
        <w:t>或质量</w:t>
      </w:r>
      <w:r>
        <w:rPr>
          <w:rFonts w:ascii="Times New Roman" w:hAnsi="Times New Roman" w:cs="Times New Roman"/>
          <w:i/>
          <w:iCs/>
          <w:snapToGrid w:val="0"/>
          <w:color w:val="000000"/>
          <w:kern w:val="0"/>
          <w:szCs w:val="21"/>
        </w:rPr>
        <w:t>M</w:t>
      </w:r>
      <w:r>
        <w:rPr>
          <w:rFonts w:ascii="Times New Roman" w:hAnsi="Times New Roman" w:cs="Times New Roman"/>
          <w:snapToGrid w:val="0"/>
          <w:color w:val="000000"/>
          <w:kern w:val="0"/>
          <w:szCs w:val="21"/>
        </w:rPr>
        <w:t>的值与转轮空蚀</w:t>
      </w:r>
      <w:r>
        <w:rPr>
          <w:rFonts w:hint="eastAsia" w:ascii="Times New Roman" w:hAnsi="Times New Roman" w:cs="Times New Roman"/>
          <w:snapToGrid w:val="0"/>
          <w:color w:val="000000"/>
          <w:kern w:val="0"/>
          <w:szCs w:val="21"/>
        </w:rPr>
        <w:t>保证值一致。对于混流式水轮机、离心式蓄能泵和混流式水泵水轮机的固定部件，空蚀体积</w:t>
      </w:r>
      <w:r>
        <w:rPr>
          <w:rFonts w:hint="eastAsia" w:ascii="Times New Roman" w:hAnsi="Times New Roman" w:cs="Times New Roman"/>
          <w:i/>
          <w:iCs/>
          <w:snapToGrid w:val="0"/>
          <w:color w:val="000000"/>
          <w:kern w:val="0"/>
          <w:szCs w:val="21"/>
        </w:rPr>
        <w:t>V</w:t>
      </w:r>
      <w:r>
        <w:rPr>
          <w:rFonts w:hint="eastAsia" w:ascii="Times New Roman" w:hAnsi="Times New Roman" w:cs="Times New Roman"/>
          <w:snapToGrid w:val="0"/>
          <w:color w:val="000000"/>
          <w:kern w:val="0"/>
          <w:szCs w:val="21"/>
        </w:rPr>
        <w:t>或质量</w:t>
      </w:r>
      <w:r>
        <w:rPr>
          <w:rFonts w:hint="eastAsia" w:ascii="Times New Roman" w:hAnsi="Times New Roman" w:cs="Times New Roman"/>
          <w:i/>
          <w:iCs/>
          <w:snapToGrid w:val="0"/>
          <w:color w:val="000000"/>
          <w:kern w:val="0"/>
          <w:szCs w:val="21"/>
        </w:rPr>
        <w:t>M</w:t>
      </w:r>
      <w:r>
        <w:rPr>
          <w:rFonts w:hint="eastAsia" w:ascii="Times New Roman" w:hAnsi="Times New Roman" w:cs="Times New Roman"/>
          <w:snapToGrid w:val="0"/>
          <w:color w:val="000000"/>
          <w:kern w:val="0"/>
          <w:szCs w:val="21"/>
        </w:rPr>
        <w:t>为转轮空蚀保证值的一半，而空蚀深度</w:t>
      </w:r>
      <w:r>
        <w:rPr>
          <w:rFonts w:hint="eastAsia" w:ascii="Times New Roman" w:hAnsi="Times New Roman" w:cs="Times New Roman"/>
          <w:i/>
          <w:iCs/>
          <w:snapToGrid w:val="0"/>
          <w:color w:val="000000"/>
          <w:kern w:val="0"/>
          <w:szCs w:val="21"/>
        </w:rPr>
        <w:t>S</w:t>
      </w:r>
      <w:r>
        <w:rPr>
          <w:rFonts w:hint="eastAsia" w:ascii="Times New Roman" w:hAnsi="Times New Roman" w:cs="Times New Roman"/>
          <w:snapToGrid w:val="0"/>
          <w:color w:val="000000"/>
          <w:kern w:val="0"/>
          <w:szCs w:val="21"/>
        </w:rPr>
        <w:t>与转轮空蚀保证值相等。</w:t>
      </w:r>
    </w:p>
    <w:p>
      <w:pPr>
        <w:widowControl/>
        <w:kinsoku w:val="0"/>
        <w:autoSpaceDE w:val="0"/>
        <w:autoSpaceDN w:val="0"/>
        <w:adjustRightInd w:val="0"/>
        <w:snapToGrid w:val="0"/>
        <w:spacing w:line="360" w:lineRule="auto"/>
        <w:textAlignment w:val="baseline"/>
        <w:rPr>
          <w:rFonts w:ascii="Times New Roman" w:hAnsi="Times New Roman" w:cs="Times New Roman"/>
          <w:snapToGrid w:val="0"/>
          <w:color w:val="000000"/>
          <w:kern w:val="0"/>
          <w:szCs w:val="21"/>
        </w:rPr>
      </w:pPr>
      <w:bookmarkStart w:id="223" w:name="OLE_LINK32"/>
      <w:bookmarkStart w:id="224" w:name="_Toc704"/>
      <w:r>
        <w:rPr>
          <w:rFonts w:hint="eastAsia" w:ascii="黑体" w:hAnsi="黑体" w:eastAsia="黑体" w:cs="Times New Roman"/>
          <w:snapToGrid w:val="0"/>
          <w:color w:val="000000"/>
          <w:kern w:val="0"/>
          <w:szCs w:val="21"/>
        </w:rPr>
        <w:t>H</w:t>
      </w:r>
      <w:r>
        <w:rPr>
          <w:rFonts w:ascii="黑体" w:hAnsi="黑体" w:eastAsia="黑体" w:cs="Times New Roman"/>
          <w:snapToGrid w:val="0"/>
          <w:color w:val="000000"/>
          <w:kern w:val="0"/>
          <w:szCs w:val="21"/>
        </w:rPr>
        <w:t>.1.2.</w:t>
      </w:r>
      <w:r>
        <w:rPr>
          <w:rFonts w:hint="eastAsia" w:ascii="黑体" w:hAnsi="黑体" w:eastAsia="黑体" w:cs="Times New Roman"/>
          <w:snapToGrid w:val="0"/>
          <w:color w:val="000000"/>
          <w:kern w:val="0"/>
          <w:szCs w:val="21"/>
        </w:rPr>
        <w:t>2</w:t>
      </w:r>
      <w:r>
        <w:rPr>
          <w:rFonts w:ascii="Times New Roman" w:hAnsi="Times New Roman" w:cs="Times New Roman"/>
          <w:snapToGrid w:val="0"/>
          <w:color w:val="000000"/>
          <w:kern w:val="0"/>
          <w:szCs w:val="21"/>
        </w:rPr>
        <w:t xml:space="preserve"> </w:t>
      </w:r>
      <w:r>
        <w:rPr>
          <w:rFonts w:hint="eastAsia" w:ascii="Times New Roman" w:hAnsi="Times New Roman" w:cs="Times New Roman"/>
          <w:snapToGrid w:val="0"/>
          <w:color w:val="000000"/>
          <w:kern w:val="0"/>
          <w:szCs w:val="21"/>
        </w:rPr>
        <w:t xml:space="preserve"> </w:t>
      </w:r>
      <w:r>
        <w:rPr>
          <w:rFonts w:ascii="Times New Roman" w:hAnsi="Times New Roman" w:cs="Times New Roman"/>
          <w:snapToGrid w:val="0"/>
          <w:color w:val="000000"/>
          <w:kern w:val="0"/>
          <w:szCs w:val="21"/>
        </w:rPr>
        <w:t>空蚀</w:t>
      </w:r>
      <w:r>
        <w:rPr>
          <w:rFonts w:hint="eastAsia" w:ascii="Times New Roman" w:hAnsi="Times New Roman" w:cs="Times New Roman"/>
          <w:snapToGrid w:val="0"/>
          <w:color w:val="000000"/>
          <w:kern w:val="0"/>
          <w:szCs w:val="21"/>
        </w:rPr>
        <w:t>评定</w:t>
      </w:r>
    </w:p>
    <w:p>
      <w:pPr>
        <w:widowControl/>
        <w:kinsoku w:val="0"/>
        <w:autoSpaceDE w:val="0"/>
        <w:autoSpaceDN w:val="0"/>
        <w:adjustRightInd w:val="0"/>
        <w:snapToGrid w:val="0"/>
        <w:spacing w:line="360" w:lineRule="auto"/>
        <w:ind w:firstLine="420" w:firstLineChars="200"/>
        <w:textAlignment w:val="baseline"/>
        <w:rPr>
          <w:rFonts w:ascii="Times New Roman" w:hAnsi="Times New Roman" w:cs="Times New Roman"/>
          <w:snapToGrid w:val="0"/>
          <w:color w:val="000000"/>
          <w:kern w:val="0"/>
          <w:szCs w:val="21"/>
        </w:rPr>
      </w:pPr>
      <w:bookmarkStart w:id="225" w:name="OLE_LINK34"/>
      <w:r>
        <w:rPr>
          <w:rFonts w:hint="eastAsia" w:ascii="Times New Roman" w:hAnsi="Times New Roman" w:cs="Times New Roman"/>
          <w:snapToGrid w:val="0"/>
          <w:color w:val="000000"/>
          <w:kern w:val="0"/>
          <w:szCs w:val="21"/>
        </w:rPr>
        <w:t>为了确定空蚀保证值，以及评估空蚀是否满足保证值要求，应根据水力比能（水头）、功率和净正吸出比能（吸出高度），明确规定水轮机在相应的基准运行时间内的运行范围。在保证期内，应记录机组的功率、水力比能（或水头）、上游水位，净正吸出比能（吸出高度）或尾水位及运行小时，以检查运行条件是否与合同一致。</w:t>
      </w:r>
    </w:p>
    <w:p>
      <w:pPr>
        <w:widowControl/>
        <w:kinsoku w:val="0"/>
        <w:autoSpaceDE w:val="0"/>
        <w:autoSpaceDN w:val="0"/>
        <w:adjustRightInd w:val="0"/>
        <w:snapToGrid w:val="0"/>
        <w:spacing w:line="360" w:lineRule="auto"/>
        <w:ind w:firstLine="420" w:firstLineChars="200"/>
        <w:textAlignment w:val="baseline"/>
        <w:rPr>
          <w:rFonts w:ascii="Times New Roman" w:hAnsi="Times New Roman" w:cs="Times New Roman"/>
          <w:snapToGrid w:val="0"/>
          <w:color w:val="000000"/>
          <w:kern w:val="0"/>
          <w:szCs w:val="21"/>
        </w:rPr>
      </w:pPr>
      <w:r>
        <w:rPr>
          <w:rFonts w:hint="eastAsia" w:ascii="Times New Roman" w:hAnsi="Times New Roman" w:cs="Times New Roman"/>
          <w:snapToGrid w:val="0"/>
          <w:color w:val="000000"/>
          <w:kern w:val="0"/>
          <w:szCs w:val="21"/>
        </w:rPr>
        <w:t>在规定的运行范围和时间内运行一段时间后，测量出相关部件的空蚀量（已考虑了测量的不确定度）不超过按下式换算的空蚀保证量</w:t>
      </w:r>
      <w:r>
        <w:rPr>
          <w:rFonts w:hint="eastAsia" w:ascii="Times New Roman" w:hAnsi="Times New Roman" w:cs="Times New Roman"/>
          <w:i/>
          <w:iCs/>
          <w:snapToGrid w:val="0"/>
          <w:color w:val="000000"/>
          <w:kern w:val="0"/>
          <w:szCs w:val="21"/>
        </w:rPr>
        <w:t>C</w:t>
      </w:r>
      <w:r>
        <w:rPr>
          <w:rFonts w:hint="eastAsia" w:ascii="Times New Roman" w:hAnsi="Times New Roman" w:cs="Times New Roman"/>
          <w:i/>
          <w:iCs/>
          <w:snapToGrid w:val="0"/>
          <w:color w:val="000000"/>
          <w:kern w:val="0"/>
          <w:szCs w:val="21"/>
          <w:vertAlign w:val="subscript"/>
        </w:rPr>
        <w:t>A</w:t>
      </w:r>
      <w:r>
        <w:rPr>
          <w:rFonts w:hint="eastAsia" w:ascii="Times New Roman" w:hAnsi="Times New Roman" w:cs="Times New Roman"/>
          <w:snapToGrid w:val="0"/>
          <w:color w:val="000000"/>
          <w:kern w:val="0"/>
          <w:szCs w:val="21"/>
        </w:rPr>
        <w:t>, 则认为空蚀保证满足要求。</w:t>
      </w:r>
    </w:p>
    <w:p>
      <w:pPr>
        <w:widowControl/>
        <w:kinsoku w:val="0"/>
        <w:autoSpaceDE w:val="0"/>
        <w:autoSpaceDN w:val="0"/>
        <w:adjustRightInd w:val="0"/>
        <w:snapToGrid w:val="0"/>
        <w:spacing w:line="360" w:lineRule="auto"/>
        <w:ind w:firstLine="420" w:firstLineChars="200"/>
        <w:textAlignment w:val="baseline"/>
        <w:rPr>
          <w:rFonts w:ascii="Times New Roman" w:hAnsi="Times New Roman" w:cs="Times New Roman"/>
          <w:snapToGrid w:val="0"/>
          <w:color w:val="000000"/>
          <w:kern w:val="0"/>
          <w:szCs w:val="21"/>
        </w:rPr>
      </w:pPr>
      <m:oMathPara>
        <m:oMath>
          <m:sSub>
            <m:sSubPr>
              <m:ctrlPr>
                <w:rPr>
                  <w:rFonts w:ascii="Cambria Math" w:hAnsi="Cambria Math" w:cs="Times New Roman"/>
                  <w:iCs/>
                  <w:snapToGrid w:val="0"/>
                  <w:color w:val="000000"/>
                  <w:kern w:val="0"/>
                  <w:szCs w:val="21"/>
                </w:rPr>
              </m:ctrlPr>
            </m:sSubPr>
            <m:e>
              <m:r>
                <m:rPr>
                  <m:sty m:val="p"/>
                </m:rPr>
                <w:rPr>
                  <w:rFonts w:hint="eastAsia" w:ascii="Cambria Math" w:hAnsi="Cambria Math" w:cs="Times New Roman"/>
                  <w:snapToGrid w:val="0"/>
                  <w:color w:val="000000"/>
                  <w:kern w:val="0"/>
                  <w:szCs w:val="21"/>
                </w:rPr>
                <m:t>C</m:t>
              </m:r>
              <m:ctrlPr>
                <w:rPr>
                  <w:rFonts w:hint="eastAsia" w:ascii="Cambria Math" w:hAnsi="Cambria Math" w:cs="Times New Roman"/>
                  <w:iCs/>
                  <w:snapToGrid w:val="0"/>
                  <w:color w:val="000000"/>
                  <w:kern w:val="0"/>
                  <w:szCs w:val="21"/>
                </w:rPr>
              </m:ctrlPr>
            </m:e>
            <m:sub>
              <m:r>
                <m:rPr>
                  <m:sty m:val="p"/>
                </m:rPr>
                <w:rPr>
                  <w:rFonts w:hint="eastAsia" w:ascii="Cambria Math" w:hAnsi="Cambria Math" w:cs="Times New Roman"/>
                  <w:snapToGrid w:val="0"/>
                  <w:color w:val="000000"/>
                  <w:kern w:val="0"/>
                  <w:szCs w:val="21"/>
                </w:rPr>
                <m:t>A</m:t>
              </m:r>
              <m:ctrlPr>
                <w:rPr>
                  <w:rFonts w:ascii="Cambria Math" w:hAnsi="Cambria Math" w:cs="Times New Roman"/>
                  <w:iCs/>
                  <w:snapToGrid w:val="0"/>
                  <w:color w:val="000000"/>
                  <w:kern w:val="0"/>
                  <w:szCs w:val="21"/>
                </w:rPr>
              </m:ctrlPr>
            </m:sub>
          </m:sSub>
          <m:r>
            <m:rPr>
              <m:sty m:val="p"/>
            </m:rPr>
            <w:rPr>
              <w:rFonts w:ascii="Cambria Math" w:hAnsi="Cambria Math" w:cs="Times New Roman"/>
              <w:snapToGrid w:val="0"/>
              <w:color w:val="000000"/>
              <w:kern w:val="0"/>
              <w:szCs w:val="21"/>
            </w:rPr>
            <m:t>=</m:t>
          </m:r>
          <m:sSub>
            <m:sSubPr>
              <m:ctrlPr>
                <w:rPr>
                  <w:rFonts w:ascii="Cambria Math" w:hAnsi="Cambria Math" w:cs="Times New Roman"/>
                  <w:iCs/>
                  <w:snapToGrid w:val="0"/>
                  <w:color w:val="000000"/>
                  <w:kern w:val="0"/>
                  <w:szCs w:val="21"/>
                </w:rPr>
              </m:ctrlPr>
            </m:sSubPr>
            <m:e>
              <m:r>
                <m:rPr>
                  <m:sty m:val="p"/>
                </m:rPr>
                <w:rPr>
                  <w:rFonts w:hint="eastAsia" w:ascii="Cambria Math" w:hAnsi="Cambria Math" w:cs="Times New Roman"/>
                  <w:snapToGrid w:val="0"/>
                  <w:color w:val="000000"/>
                  <w:kern w:val="0"/>
                  <w:szCs w:val="21"/>
                </w:rPr>
                <m:t>C</m:t>
              </m:r>
              <m:ctrlPr>
                <w:rPr>
                  <w:rFonts w:ascii="Cambria Math" w:hAnsi="Cambria Math" w:cs="Times New Roman"/>
                  <w:iCs/>
                  <w:snapToGrid w:val="0"/>
                  <w:color w:val="000000"/>
                  <w:kern w:val="0"/>
                  <w:szCs w:val="21"/>
                </w:rPr>
              </m:ctrlPr>
            </m:e>
            <m:sub>
              <m:r>
                <m:rPr>
                  <m:sty m:val="p"/>
                </m:rPr>
                <w:rPr>
                  <w:rFonts w:hint="eastAsia" w:ascii="Cambria Math" w:hAnsi="Cambria Math" w:cs="Times New Roman"/>
                  <w:snapToGrid w:val="0"/>
                  <w:color w:val="000000"/>
                  <w:kern w:val="0"/>
                  <w:szCs w:val="21"/>
                </w:rPr>
                <m:t>R</m:t>
              </m:r>
              <m:ctrlPr>
                <w:rPr>
                  <w:rFonts w:ascii="Cambria Math" w:hAnsi="Cambria Math" w:cs="Times New Roman"/>
                  <w:iCs/>
                  <w:snapToGrid w:val="0"/>
                  <w:color w:val="000000"/>
                  <w:kern w:val="0"/>
                  <w:szCs w:val="21"/>
                </w:rPr>
              </m:ctrlPr>
            </m:sub>
          </m:sSub>
          <m:r>
            <m:rPr/>
            <w:rPr>
              <w:rFonts w:hint="eastAsia" w:ascii="Cambria Math" w:hAnsi="Cambria Math" w:cs="Times New Roman"/>
              <w:snapToGrid w:val="0"/>
              <w:color w:val="000000"/>
              <w:kern w:val="0"/>
              <w:szCs w:val="21"/>
            </w:rPr>
            <m:t>×</m:t>
          </m:r>
          <m:r>
            <m:rPr>
              <m:sty m:val="p"/>
            </m:rPr>
            <w:rPr>
              <w:rFonts w:hint="eastAsia" w:ascii="Cambria Math" w:hAnsi="Cambria Math" w:cs="Times New Roman"/>
              <w:snapToGrid w:val="0"/>
              <w:color w:val="000000"/>
              <w:kern w:val="0"/>
              <w:szCs w:val="21"/>
            </w:rPr>
            <m:t>（</m:t>
          </m:r>
          <m:f>
            <m:fPr>
              <m:type m:val="skw"/>
              <m:ctrlPr>
                <w:rPr>
                  <w:rFonts w:ascii="Cambria Math" w:hAnsi="Cambria Math" w:cs="Times New Roman"/>
                  <w:i/>
                  <w:snapToGrid w:val="0"/>
                  <w:color w:val="000000"/>
                  <w:kern w:val="0"/>
                  <w:szCs w:val="21"/>
                </w:rPr>
              </m:ctrlPr>
            </m:fPr>
            <m:num>
              <m:sSub>
                <m:sSubPr>
                  <m:ctrlPr>
                    <w:rPr>
                      <w:rFonts w:ascii="Cambria Math" w:hAnsi="Cambria Math" w:cs="Times New Roman"/>
                      <w:i/>
                      <w:snapToGrid w:val="0"/>
                      <w:color w:val="000000"/>
                      <w:kern w:val="0"/>
                      <w:szCs w:val="21"/>
                    </w:rPr>
                  </m:ctrlPr>
                </m:sSubPr>
                <m:e>
                  <m:r>
                    <m:rPr/>
                    <w:rPr>
                      <w:rFonts w:hint="eastAsia" w:ascii="Cambria Math" w:hAnsi="Cambria Math" w:cs="Times New Roman"/>
                      <w:snapToGrid w:val="0"/>
                      <w:color w:val="000000"/>
                      <w:kern w:val="0"/>
                      <w:szCs w:val="21"/>
                    </w:rPr>
                    <m:t>t</m:t>
                  </m:r>
                  <m:ctrlPr>
                    <w:rPr>
                      <w:rFonts w:ascii="Cambria Math" w:hAnsi="Cambria Math" w:cs="Times New Roman"/>
                      <w:i/>
                      <w:snapToGrid w:val="0"/>
                      <w:color w:val="000000"/>
                      <w:kern w:val="0"/>
                      <w:szCs w:val="21"/>
                    </w:rPr>
                  </m:ctrlPr>
                </m:e>
                <m:sub>
                  <m:r>
                    <m:rPr/>
                    <w:rPr>
                      <w:rFonts w:ascii="Cambria Math" w:hAnsi="Cambria Math" w:cs="Times New Roman"/>
                      <w:snapToGrid w:val="0"/>
                      <w:color w:val="000000"/>
                      <w:kern w:val="0"/>
                      <w:szCs w:val="21"/>
                    </w:rPr>
                    <m:t>A</m:t>
                  </m:r>
                  <m:ctrlPr>
                    <w:rPr>
                      <w:rFonts w:ascii="Cambria Math" w:hAnsi="Cambria Math" w:cs="Times New Roman"/>
                      <w:i/>
                      <w:snapToGrid w:val="0"/>
                      <w:color w:val="000000"/>
                      <w:kern w:val="0"/>
                      <w:szCs w:val="21"/>
                    </w:rPr>
                  </m:ctrlPr>
                </m:sub>
              </m:sSub>
              <m:ctrlPr>
                <w:rPr>
                  <w:rFonts w:ascii="Cambria Math" w:hAnsi="Cambria Math" w:cs="Times New Roman"/>
                  <w:i/>
                  <w:snapToGrid w:val="0"/>
                  <w:color w:val="000000"/>
                  <w:kern w:val="0"/>
                  <w:szCs w:val="21"/>
                </w:rPr>
              </m:ctrlPr>
            </m:num>
            <m:den>
              <m:sSub>
                <m:sSubPr>
                  <m:ctrlPr>
                    <w:rPr>
                      <w:rFonts w:ascii="Cambria Math" w:hAnsi="Cambria Math" w:cs="Times New Roman"/>
                      <w:i/>
                      <w:snapToGrid w:val="0"/>
                      <w:color w:val="000000"/>
                      <w:kern w:val="0"/>
                      <w:szCs w:val="21"/>
                    </w:rPr>
                  </m:ctrlPr>
                </m:sSubPr>
                <m:e>
                  <m:r>
                    <m:rPr/>
                    <w:rPr>
                      <w:rFonts w:ascii="Cambria Math" w:hAnsi="Cambria Math" w:cs="Times New Roman"/>
                      <w:snapToGrid w:val="0"/>
                      <w:color w:val="000000"/>
                      <w:kern w:val="0"/>
                      <w:szCs w:val="21"/>
                    </w:rPr>
                    <m:t>t</m:t>
                  </m:r>
                  <m:ctrlPr>
                    <w:rPr>
                      <w:rFonts w:ascii="Cambria Math" w:hAnsi="Cambria Math" w:cs="Times New Roman"/>
                      <w:i/>
                      <w:snapToGrid w:val="0"/>
                      <w:color w:val="000000"/>
                      <w:kern w:val="0"/>
                      <w:szCs w:val="21"/>
                    </w:rPr>
                  </m:ctrlPr>
                </m:e>
                <m:sub>
                  <m:r>
                    <m:rPr/>
                    <w:rPr>
                      <w:rFonts w:ascii="Cambria Math" w:hAnsi="Cambria Math" w:cs="Times New Roman"/>
                      <w:snapToGrid w:val="0"/>
                      <w:color w:val="000000"/>
                      <w:kern w:val="0"/>
                      <w:szCs w:val="21"/>
                    </w:rPr>
                    <m:t>R</m:t>
                  </m:r>
                  <m:ctrlPr>
                    <w:rPr>
                      <w:rFonts w:ascii="Cambria Math" w:hAnsi="Cambria Math" w:cs="Times New Roman"/>
                      <w:i/>
                      <w:snapToGrid w:val="0"/>
                      <w:color w:val="000000"/>
                      <w:kern w:val="0"/>
                      <w:szCs w:val="21"/>
                    </w:rPr>
                  </m:ctrlPr>
                </m:sub>
              </m:sSub>
              <m:ctrlPr>
                <w:rPr>
                  <w:rFonts w:ascii="Cambria Math" w:hAnsi="Cambria Math" w:cs="Times New Roman"/>
                  <w:i/>
                  <w:snapToGrid w:val="0"/>
                  <w:color w:val="000000"/>
                  <w:kern w:val="0"/>
                  <w:szCs w:val="21"/>
                </w:rPr>
              </m:ctrlPr>
            </m:den>
          </m:f>
          <m:r>
            <m:rPr/>
            <w:rPr>
              <w:rFonts w:ascii="Cambria Math" w:hAnsi="Cambria Math" w:cs="Times New Roman"/>
              <w:snapToGrid w:val="0"/>
              <w:color w:val="000000"/>
              <w:kern w:val="0"/>
              <w:szCs w:val="21"/>
            </w:rPr>
            <m:t>)</m:t>
          </m:r>
        </m:oMath>
      </m:oMathPara>
    </w:p>
    <w:p>
      <w:pPr>
        <w:spacing w:line="360" w:lineRule="auto"/>
        <w:rPr>
          <w:rFonts w:hint="eastAsia" w:ascii="黑体" w:hAnsi="黑体" w:eastAsia="黑体" w:cs="黑体"/>
          <w:sz w:val="20"/>
          <w:szCs w:val="20"/>
        </w:rPr>
      </w:pPr>
      <w:r>
        <w:rPr>
          <w:rFonts w:hint="eastAsia"/>
        </w:rPr>
        <w:t>式中：</w:t>
      </w:r>
    </w:p>
    <w:p>
      <w:pPr>
        <w:pStyle w:val="6"/>
        <w:spacing w:line="360" w:lineRule="auto"/>
        <w:ind w:right="3680" w:firstLine="420" w:firstLineChars="200"/>
        <w:rPr>
          <w:rFonts w:ascii="Times New Roman" w:hAnsi="Times New Roman" w:cs="Times New Roman" w:eastAsiaTheme="minorEastAsia"/>
        </w:rPr>
      </w:pPr>
      <w:r>
        <w:rPr>
          <w:rFonts w:ascii="Times New Roman" w:hAnsi="Times New Roman" w:cs="Times New Roman" w:eastAsiaTheme="minorEastAsia"/>
          <w:i/>
          <w:iCs/>
          <w:sz w:val="21"/>
          <w:szCs w:val="21"/>
        </w:rPr>
        <w:t>C</w:t>
      </w:r>
      <w:r>
        <w:rPr>
          <w:rFonts w:ascii="Times New Roman" w:hAnsi="Times New Roman" w:cs="Times New Roman" w:eastAsiaTheme="minorEastAsia"/>
          <w:i/>
          <w:iCs/>
          <w:sz w:val="21"/>
          <w:szCs w:val="21"/>
          <w:vertAlign w:val="subscript"/>
        </w:rPr>
        <w:t>A</w:t>
      </w:r>
      <w:r>
        <w:rPr>
          <w:rFonts w:ascii="Times New Roman" w:hAnsi="Times New Roman" w:cs="Times New Roman" w:eastAsiaTheme="minorEastAsia"/>
        </w:rPr>
        <w:t xml:space="preserve"> </w:t>
      </w:r>
      <w:bookmarkStart w:id="226" w:name="OLE_LINK33"/>
      <w:r>
        <w:rPr>
          <w:rFonts w:ascii="Times New Roman" w:hAnsi="Times New Roman" w:cs="Times New Roman" w:eastAsiaTheme="minorEastAsia"/>
        </w:rPr>
        <w:t>——</w:t>
      </w:r>
      <w:bookmarkEnd w:id="226"/>
      <w:r>
        <w:rPr>
          <w:rFonts w:ascii="Times New Roman" w:hAnsi="Times New Roman" w:cs="Times New Roman" w:eastAsiaTheme="minorEastAsia"/>
          <w:sz w:val="21"/>
          <w:szCs w:val="21"/>
        </w:rPr>
        <w:t>空蚀评定时运行时间内空蚀保证值；</w:t>
      </w:r>
      <w:r>
        <w:rPr>
          <w:rFonts w:ascii="Times New Roman" w:hAnsi="Times New Roman" w:cs="Times New Roman" w:eastAsiaTheme="minorEastAsia"/>
        </w:rPr>
        <w:t xml:space="preserve"> </w:t>
      </w:r>
    </w:p>
    <w:p>
      <w:pPr>
        <w:pStyle w:val="6"/>
        <w:spacing w:line="360" w:lineRule="auto"/>
        <w:ind w:right="3680" w:firstLine="420" w:firstLineChars="200"/>
        <w:rPr>
          <w:rFonts w:ascii="Times New Roman" w:hAnsi="Times New Roman" w:cs="Times New Roman" w:eastAsiaTheme="minorEastAsia"/>
          <w:sz w:val="21"/>
          <w:szCs w:val="21"/>
        </w:rPr>
      </w:pPr>
      <w:r>
        <w:rPr>
          <w:rFonts w:ascii="Times New Roman" w:hAnsi="Times New Roman" w:cs="Times New Roman" w:eastAsiaTheme="minorEastAsia"/>
          <w:i/>
          <w:iCs/>
          <w:sz w:val="21"/>
          <w:szCs w:val="21"/>
        </w:rPr>
        <w:t>C</w:t>
      </w:r>
      <w:r>
        <w:rPr>
          <w:rFonts w:ascii="Times New Roman" w:hAnsi="Times New Roman" w:cs="Times New Roman" w:eastAsiaTheme="minorEastAsia"/>
          <w:i/>
          <w:iCs/>
          <w:sz w:val="21"/>
          <w:szCs w:val="21"/>
          <w:vertAlign w:val="subscript"/>
        </w:rPr>
        <w:t>R</w:t>
      </w:r>
      <w:r>
        <w:rPr>
          <w:rFonts w:ascii="Times New Roman" w:hAnsi="Times New Roman" w:cs="Times New Roman" w:eastAsiaTheme="minorEastAsia"/>
          <w:sz w:val="21"/>
          <w:szCs w:val="21"/>
        </w:rPr>
        <w:t xml:space="preserve"> ——基准运行时间内空蚀保证值；</w:t>
      </w:r>
    </w:p>
    <w:p>
      <w:pPr>
        <w:pStyle w:val="6"/>
        <w:spacing w:line="360" w:lineRule="auto"/>
        <w:ind w:firstLine="420" w:firstLineChars="200"/>
        <w:rPr>
          <w:rFonts w:ascii="Times New Roman" w:hAnsi="Times New Roman" w:cs="Times New Roman" w:eastAsiaTheme="minorEastAsia"/>
          <w:sz w:val="21"/>
          <w:szCs w:val="21"/>
        </w:rPr>
      </w:pPr>
      <w:r>
        <w:rPr>
          <w:rFonts w:ascii="Times New Roman" w:hAnsi="Times New Roman" w:cs="Times New Roman" w:eastAsiaTheme="minorEastAsia"/>
          <w:i/>
          <w:iCs/>
          <w:sz w:val="21"/>
          <w:szCs w:val="21"/>
        </w:rPr>
        <w:t>t</w:t>
      </w:r>
      <w:r>
        <w:rPr>
          <w:rFonts w:ascii="Times New Roman" w:hAnsi="Times New Roman" w:cs="Times New Roman" w:eastAsiaTheme="minorEastAsia"/>
          <w:i/>
          <w:iCs/>
          <w:sz w:val="21"/>
          <w:szCs w:val="21"/>
          <w:vertAlign w:val="subscript"/>
        </w:rPr>
        <w:t>A</w:t>
      </w:r>
      <w:r>
        <w:rPr>
          <w:rFonts w:ascii="Times New Roman" w:hAnsi="Times New Roman" w:cs="Times New Roman" w:eastAsiaTheme="minorEastAsia"/>
          <w:sz w:val="21"/>
          <w:szCs w:val="21"/>
        </w:rPr>
        <w:t xml:space="preserve"> ——实际运行时间</w:t>
      </w:r>
      <w:r>
        <w:rPr>
          <w:rFonts w:hint="eastAsia" w:ascii="Times New Roman" w:hAnsi="Times New Roman" w:cs="Times New Roman" w:eastAsiaTheme="minorEastAsia"/>
          <w:sz w:val="21"/>
          <w:szCs w:val="21"/>
        </w:rPr>
        <w:t>，空蚀考核时水力机械实际运行小时数</w:t>
      </w:r>
      <w:r>
        <w:rPr>
          <w:rFonts w:ascii="Times New Roman" w:hAnsi="Times New Roman" w:cs="Times New Roman" w:eastAsiaTheme="minorEastAsia"/>
          <w:sz w:val="21"/>
          <w:szCs w:val="21"/>
        </w:rPr>
        <w:t>；</w:t>
      </w:r>
    </w:p>
    <w:p>
      <w:pPr>
        <w:pStyle w:val="6"/>
        <w:spacing w:line="360" w:lineRule="auto"/>
        <w:ind w:firstLine="420" w:firstLineChars="200"/>
        <w:rPr>
          <w:rFonts w:ascii="Times New Roman" w:hAnsi="Times New Roman" w:cs="Times New Roman" w:eastAsiaTheme="minorEastAsia"/>
          <w:sz w:val="21"/>
          <w:szCs w:val="21"/>
        </w:rPr>
      </w:pPr>
      <w:r>
        <w:rPr>
          <w:rFonts w:ascii="Times New Roman" w:hAnsi="Times New Roman" w:cs="Times New Roman" w:eastAsiaTheme="minorEastAsia"/>
          <w:i/>
          <w:iCs/>
          <w:sz w:val="21"/>
          <w:szCs w:val="21"/>
        </w:rPr>
        <w:t>t</w:t>
      </w:r>
      <w:r>
        <w:rPr>
          <w:rFonts w:ascii="Times New Roman" w:hAnsi="Times New Roman" w:cs="Times New Roman" w:eastAsiaTheme="minorEastAsia"/>
          <w:i/>
          <w:iCs/>
          <w:sz w:val="21"/>
          <w:szCs w:val="21"/>
          <w:vertAlign w:val="subscript"/>
        </w:rPr>
        <w:t>R</w:t>
      </w:r>
      <w:r>
        <w:rPr>
          <w:rFonts w:ascii="Times New Roman" w:hAnsi="Times New Roman" w:cs="Times New Roman" w:eastAsiaTheme="minorEastAsia"/>
          <w:sz w:val="21"/>
          <w:szCs w:val="21"/>
          <w:vertAlign w:val="subscript"/>
        </w:rPr>
        <w:t xml:space="preserve"> </w:t>
      </w:r>
      <w:r>
        <w:rPr>
          <w:rFonts w:ascii="Times New Roman" w:hAnsi="Times New Roman" w:cs="Times New Roman" w:eastAsiaTheme="minorEastAsia"/>
          <w:sz w:val="21"/>
          <w:szCs w:val="21"/>
        </w:rPr>
        <w:t>——基准运行时间</w:t>
      </w:r>
      <w:r>
        <w:rPr>
          <w:rFonts w:hint="eastAsia" w:ascii="Times New Roman" w:hAnsi="Times New Roman" w:cs="Times New Roman" w:eastAsiaTheme="minorEastAsia"/>
          <w:sz w:val="21"/>
          <w:szCs w:val="21"/>
        </w:rPr>
        <w:t>，用来作为确定空蚀保证基准值的小时数。</w:t>
      </w:r>
    </w:p>
    <w:p>
      <w:pPr>
        <w:widowControl/>
        <w:kinsoku w:val="0"/>
        <w:autoSpaceDE w:val="0"/>
        <w:autoSpaceDN w:val="0"/>
        <w:adjustRightInd w:val="0"/>
        <w:snapToGrid w:val="0"/>
        <w:spacing w:line="360" w:lineRule="auto"/>
        <w:ind w:firstLine="420" w:firstLineChars="200"/>
        <w:textAlignment w:val="baseline"/>
        <w:rPr>
          <w:rFonts w:ascii="Times New Roman" w:hAnsi="Times New Roman" w:cs="Times New Roman"/>
          <w:snapToGrid w:val="0"/>
          <w:color w:val="000000"/>
          <w:kern w:val="0"/>
          <w:szCs w:val="21"/>
        </w:rPr>
      </w:pPr>
      <w:r>
        <w:rPr>
          <w:rFonts w:hint="eastAsia" w:ascii="Times New Roman" w:hAnsi="Times New Roman" w:cs="Times New Roman"/>
          <w:snapToGrid w:val="0"/>
          <w:color w:val="000000"/>
          <w:kern w:val="0"/>
          <w:szCs w:val="21"/>
        </w:rPr>
        <w:t>检测时，水力机械的实际运行时间与基准运行时间之间的差值应尽可能小。</w:t>
      </w:r>
      <w:r>
        <w:rPr>
          <w:rFonts w:ascii="Times New Roman" w:hAnsi="Times New Roman" w:cs="Times New Roman"/>
          <w:snapToGrid w:val="0"/>
          <w:color w:val="000000"/>
          <w:kern w:val="0"/>
          <w:szCs w:val="21"/>
        </w:rPr>
        <w:t>带有保护层的过流表面的空蚀保证应在专门技术协议中规定。在任何情况下空蚀保证都应在NPSE</w:t>
      </w:r>
      <w:r>
        <w:rPr>
          <w:rFonts w:hint="eastAsia" w:ascii="Times New Roman" w:hAnsi="Times New Roman" w:cs="Times New Roman"/>
          <w:snapToGrid w:val="0"/>
          <w:color w:val="000000"/>
          <w:kern w:val="0"/>
          <w:szCs w:val="21"/>
        </w:rPr>
        <w:t>≥</w:t>
      </w:r>
      <w:r>
        <w:rPr>
          <w:rFonts w:ascii="Times New Roman" w:hAnsi="Times New Roman" w:cs="Times New Roman"/>
          <w:snapToGrid w:val="0"/>
          <w:color w:val="000000"/>
          <w:kern w:val="0"/>
          <w:szCs w:val="21"/>
        </w:rPr>
        <w:t>NPSE</w:t>
      </w:r>
      <w:r>
        <w:rPr>
          <w:rFonts w:ascii="Times New Roman" w:hAnsi="Times New Roman" w:cs="Times New Roman"/>
          <w:snapToGrid w:val="0"/>
          <w:color w:val="000000"/>
          <w:kern w:val="0"/>
          <w:szCs w:val="21"/>
          <w:vertAlign w:val="subscript"/>
        </w:rPr>
        <w:t>L</w:t>
      </w:r>
      <w:r>
        <w:rPr>
          <w:rFonts w:ascii="Times New Roman" w:hAnsi="Times New Roman" w:cs="Times New Roman"/>
          <w:snapToGrid w:val="0"/>
          <w:color w:val="000000"/>
          <w:kern w:val="0"/>
          <w:szCs w:val="21"/>
        </w:rPr>
        <w:t>的条件下有效。</w:t>
      </w:r>
    </w:p>
    <w:bookmarkEnd w:id="223"/>
    <w:bookmarkEnd w:id="224"/>
    <w:bookmarkEnd w:id="225"/>
    <w:p>
      <w:pPr>
        <w:widowControl/>
        <w:kinsoku w:val="0"/>
        <w:autoSpaceDE w:val="0"/>
        <w:autoSpaceDN w:val="0"/>
        <w:adjustRightInd w:val="0"/>
        <w:snapToGrid w:val="0"/>
        <w:spacing w:line="360" w:lineRule="auto"/>
        <w:textAlignment w:val="baseline"/>
        <w:rPr>
          <w:rFonts w:ascii="Times New Roman" w:hAnsi="Times New Roman" w:cs="Times New Roman"/>
          <w:snapToGrid w:val="0"/>
          <w:color w:val="000000"/>
          <w:kern w:val="0"/>
          <w:szCs w:val="21"/>
        </w:rPr>
      </w:pPr>
      <w:r>
        <w:rPr>
          <w:rFonts w:hint="eastAsia" w:ascii="黑体" w:hAnsi="黑体" w:eastAsia="黑体" w:cs="Times New Roman"/>
          <w:snapToGrid w:val="0"/>
          <w:color w:val="000000"/>
          <w:kern w:val="0"/>
          <w:szCs w:val="21"/>
        </w:rPr>
        <w:t>H</w:t>
      </w:r>
      <w:r>
        <w:rPr>
          <w:rFonts w:ascii="黑体" w:hAnsi="黑体" w:eastAsia="黑体" w:cs="Times New Roman"/>
          <w:snapToGrid w:val="0"/>
          <w:color w:val="000000"/>
          <w:kern w:val="0"/>
          <w:szCs w:val="21"/>
        </w:rPr>
        <w:t>.1.</w:t>
      </w:r>
      <w:r>
        <w:rPr>
          <w:rFonts w:hint="eastAsia" w:ascii="黑体" w:hAnsi="黑体" w:eastAsia="黑体" w:cs="Times New Roman"/>
          <w:snapToGrid w:val="0"/>
          <w:color w:val="000000"/>
          <w:kern w:val="0"/>
          <w:szCs w:val="21"/>
        </w:rPr>
        <w:t>2</w:t>
      </w:r>
      <w:r>
        <w:rPr>
          <w:rFonts w:ascii="黑体" w:hAnsi="黑体" w:eastAsia="黑体" w:cs="Times New Roman"/>
          <w:snapToGrid w:val="0"/>
          <w:color w:val="000000"/>
          <w:kern w:val="0"/>
          <w:szCs w:val="21"/>
        </w:rPr>
        <w:t>.3</w:t>
      </w:r>
      <w:r>
        <w:rPr>
          <w:rFonts w:ascii="Times New Roman" w:hAnsi="Times New Roman" w:cs="Times New Roman"/>
          <w:snapToGrid w:val="0"/>
          <w:color w:val="000000"/>
          <w:kern w:val="0"/>
          <w:szCs w:val="21"/>
        </w:rPr>
        <w:t xml:space="preserve"> </w:t>
      </w:r>
      <w:r>
        <w:rPr>
          <w:rFonts w:hint="eastAsia" w:ascii="Times New Roman" w:hAnsi="Times New Roman" w:cs="Times New Roman"/>
          <w:snapToGrid w:val="0"/>
          <w:color w:val="000000"/>
          <w:kern w:val="0"/>
          <w:szCs w:val="21"/>
        </w:rPr>
        <w:t xml:space="preserve"> 磨蚀评估</w:t>
      </w:r>
    </w:p>
    <w:p>
      <w:pPr>
        <w:pStyle w:val="6"/>
        <w:adjustRightInd w:val="0"/>
        <w:snapToGrid w:val="0"/>
        <w:spacing w:line="360" w:lineRule="auto"/>
        <w:ind w:firstLine="399"/>
        <w:rPr>
          <w:rFonts w:ascii="Times New Roman" w:hAnsi="Times New Roman" w:eastAsia="宋体" w:cs="Times New Roman"/>
          <w:sz w:val="21"/>
          <w:szCs w:val="22"/>
        </w:rPr>
      </w:pPr>
      <w:r>
        <w:rPr>
          <w:rFonts w:hint="eastAsia" w:ascii="黑体" w:hAnsi="黑体" w:eastAsia="黑体" w:cs="黑体"/>
          <w:sz w:val="21"/>
          <w:szCs w:val="22"/>
        </w:rPr>
        <w:t xml:space="preserve">1 </w:t>
      </w:r>
      <w:r>
        <w:rPr>
          <w:rFonts w:ascii="Times New Roman" w:hAnsi="Times New Roman" w:eastAsia="宋体" w:cs="Times New Roman"/>
          <w:sz w:val="21"/>
          <w:szCs w:val="22"/>
        </w:rPr>
        <w:t xml:space="preserve"> 转轮的磨蚀评估</w:t>
      </w:r>
    </w:p>
    <w:p>
      <w:pPr>
        <w:pStyle w:val="6"/>
        <w:adjustRightInd w:val="0"/>
        <w:snapToGrid w:val="0"/>
        <w:spacing w:line="360" w:lineRule="auto"/>
        <w:ind w:left="1058" w:leftChars="290" w:hanging="449" w:hangingChars="214"/>
        <w:rPr>
          <w:rFonts w:ascii="Times New Roman" w:hAnsi="Times New Roman" w:eastAsia="宋体" w:cs="Times New Roman"/>
          <w:sz w:val="21"/>
          <w:szCs w:val="22"/>
        </w:rPr>
      </w:pPr>
      <w:r>
        <w:rPr>
          <w:rFonts w:hint="eastAsia" w:ascii="黑体" w:hAnsi="黑体" w:eastAsia="黑体" w:cs="黑体"/>
          <w:sz w:val="21"/>
          <w:szCs w:val="22"/>
        </w:rPr>
        <w:t>1）</w:t>
      </w:r>
      <w:r>
        <w:rPr>
          <w:rFonts w:ascii="Times New Roman" w:hAnsi="Times New Roman" w:eastAsia="宋体" w:cs="Times New Roman"/>
          <w:sz w:val="21"/>
          <w:szCs w:val="22"/>
        </w:rPr>
        <w:t xml:space="preserve"> 水轮机转轮允许磨蚀深度宜取4mm～8mm。多泥沙河流电站水轮机转轮的允许磨蚀深度应根据设计条件确定，最大不应超过8mm。</w:t>
      </w:r>
    </w:p>
    <w:p>
      <w:pPr>
        <w:pStyle w:val="6"/>
        <w:adjustRightInd w:val="0"/>
        <w:snapToGrid w:val="0"/>
        <w:spacing w:line="360" w:lineRule="auto"/>
        <w:ind w:firstLine="609" w:firstLineChars="290"/>
        <w:rPr>
          <w:rFonts w:ascii="Times New Roman" w:hAnsi="Times New Roman" w:eastAsia="宋体" w:cs="Times New Roman"/>
          <w:sz w:val="21"/>
          <w:szCs w:val="22"/>
        </w:rPr>
      </w:pPr>
      <w:r>
        <w:rPr>
          <w:rFonts w:hint="eastAsia" w:ascii="黑体" w:hAnsi="黑体" w:eastAsia="黑体" w:cs="黑体"/>
          <w:sz w:val="21"/>
          <w:szCs w:val="22"/>
        </w:rPr>
        <w:t>2）</w:t>
      </w:r>
      <w:r>
        <w:rPr>
          <w:rFonts w:ascii="Times New Roman" w:hAnsi="Times New Roman" w:eastAsia="宋体" w:cs="Times New Roman"/>
          <w:sz w:val="21"/>
          <w:szCs w:val="22"/>
        </w:rPr>
        <w:t xml:space="preserve"> 叶片出水边磨蚀深度不应大于出水边厚度的2/3。</w:t>
      </w:r>
    </w:p>
    <w:p>
      <w:pPr>
        <w:pStyle w:val="6"/>
        <w:adjustRightInd w:val="0"/>
        <w:snapToGrid w:val="0"/>
        <w:spacing w:line="360" w:lineRule="auto"/>
        <w:ind w:firstLine="609" w:firstLineChars="290"/>
        <w:rPr>
          <w:rFonts w:ascii="Times New Roman" w:hAnsi="Times New Roman" w:eastAsia="宋体" w:cs="Times New Roman"/>
          <w:sz w:val="21"/>
          <w:szCs w:val="22"/>
        </w:rPr>
      </w:pPr>
      <w:r>
        <w:rPr>
          <w:rFonts w:hint="eastAsia" w:ascii="黑体" w:hAnsi="黑体" w:eastAsia="黑体" w:cs="黑体"/>
          <w:sz w:val="21"/>
          <w:szCs w:val="22"/>
        </w:rPr>
        <w:t>3）</w:t>
      </w:r>
      <w:r>
        <w:rPr>
          <w:rFonts w:ascii="Times New Roman" w:hAnsi="Times New Roman" w:eastAsia="宋体" w:cs="Times New Roman"/>
          <w:sz w:val="21"/>
          <w:szCs w:val="22"/>
        </w:rPr>
        <w:t xml:space="preserve"> 除叶片外，转轮其他部位磨蚀深度应</w:t>
      </w:r>
      <w:r>
        <w:rPr>
          <w:rFonts w:hint="eastAsia" w:ascii="Times New Roman" w:hAnsi="Times New Roman" w:eastAsia="宋体" w:cs="Times New Roman"/>
          <w:sz w:val="21"/>
          <w:szCs w:val="22"/>
        </w:rPr>
        <w:t>不</w:t>
      </w:r>
      <w:r>
        <w:rPr>
          <w:rFonts w:ascii="Times New Roman" w:hAnsi="Times New Roman" w:eastAsia="宋体" w:cs="Times New Roman"/>
          <w:sz w:val="21"/>
          <w:szCs w:val="22"/>
        </w:rPr>
        <w:t>大于该部位设计厚度的1/4。</w:t>
      </w:r>
    </w:p>
    <w:p>
      <w:pPr>
        <w:pStyle w:val="6"/>
        <w:adjustRightInd w:val="0"/>
        <w:snapToGrid w:val="0"/>
        <w:spacing w:line="360" w:lineRule="auto"/>
        <w:ind w:firstLine="609" w:firstLineChars="290"/>
        <w:rPr>
          <w:rFonts w:ascii="Times New Roman" w:hAnsi="Times New Roman" w:eastAsia="宋体" w:cs="Times New Roman"/>
          <w:sz w:val="21"/>
          <w:szCs w:val="22"/>
        </w:rPr>
      </w:pPr>
      <w:r>
        <w:rPr>
          <w:rFonts w:hint="eastAsia" w:ascii="黑体" w:hAnsi="黑体" w:eastAsia="黑体" w:cs="黑体"/>
          <w:sz w:val="21"/>
          <w:szCs w:val="22"/>
        </w:rPr>
        <w:t>4）</w:t>
      </w:r>
      <w:r>
        <w:rPr>
          <w:rFonts w:ascii="Times New Roman" w:hAnsi="Times New Roman" w:eastAsia="宋体" w:cs="Times New Roman"/>
          <w:sz w:val="21"/>
          <w:szCs w:val="22"/>
        </w:rPr>
        <w:t xml:space="preserve"> 转轮单个叶片磨蚀面积应</w:t>
      </w:r>
      <w:r>
        <w:rPr>
          <w:rFonts w:hint="eastAsia" w:ascii="Times New Roman" w:hAnsi="Times New Roman" w:eastAsia="宋体" w:cs="Times New Roman"/>
          <w:sz w:val="21"/>
          <w:szCs w:val="22"/>
        </w:rPr>
        <w:t>不</w:t>
      </w:r>
      <w:r>
        <w:rPr>
          <w:rFonts w:ascii="Times New Roman" w:hAnsi="Times New Roman" w:eastAsia="宋体" w:cs="Times New Roman"/>
          <w:sz w:val="21"/>
          <w:szCs w:val="22"/>
        </w:rPr>
        <w:t>超过单个叶片表面积的15%。</w:t>
      </w:r>
    </w:p>
    <w:p>
      <w:pPr>
        <w:pStyle w:val="6"/>
        <w:adjustRightInd w:val="0"/>
        <w:snapToGrid w:val="0"/>
        <w:spacing w:line="360" w:lineRule="auto"/>
        <w:ind w:left="1058" w:leftChars="290" w:hanging="449" w:hangingChars="214"/>
        <w:rPr>
          <w:rFonts w:ascii="Times New Roman" w:hAnsi="Times New Roman" w:eastAsia="宋体" w:cs="Times New Roman"/>
          <w:sz w:val="21"/>
          <w:szCs w:val="22"/>
        </w:rPr>
      </w:pPr>
      <w:r>
        <w:rPr>
          <w:rFonts w:hint="eastAsia" w:ascii="黑体" w:hAnsi="黑体" w:eastAsia="黑体" w:cs="黑体"/>
          <w:sz w:val="21"/>
          <w:szCs w:val="22"/>
        </w:rPr>
        <w:t>5）</w:t>
      </w:r>
      <w:r>
        <w:rPr>
          <w:rFonts w:ascii="Times New Roman" w:hAnsi="Times New Roman" w:eastAsia="宋体" w:cs="Times New Roman"/>
          <w:sz w:val="21"/>
          <w:szCs w:val="22"/>
        </w:rPr>
        <w:t xml:space="preserve"> 对于采用涂层的部件，涂层破坏处母材的磨蚀深度不应大于4mm</w:t>
      </w:r>
      <w:r>
        <w:rPr>
          <w:rFonts w:hint="eastAsia" w:ascii="Times New Roman" w:hAnsi="Times New Roman" w:eastAsia="宋体" w:cs="Times New Roman"/>
          <w:sz w:val="21"/>
          <w:szCs w:val="22"/>
        </w:rPr>
        <w:t>，</w:t>
      </w:r>
      <w:r>
        <w:rPr>
          <w:rFonts w:ascii="Times New Roman" w:hAnsi="Times New Roman" w:eastAsia="宋体" w:cs="Times New Roman"/>
          <w:sz w:val="21"/>
          <w:szCs w:val="22"/>
        </w:rPr>
        <w:t>涂层破坏面积应</w:t>
      </w:r>
      <w:r>
        <w:rPr>
          <w:rFonts w:hint="eastAsia" w:ascii="Times New Roman" w:hAnsi="Times New Roman" w:eastAsia="宋体" w:cs="Times New Roman"/>
          <w:sz w:val="21"/>
          <w:szCs w:val="22"/>
        </w:rPr>
        <w:t>不</w:t>
      </w:r>
      <w:r>
        <w:rPr>
          <w:rFonts w:ascii="Times New Roman" w:hAnsi="Times New Roman" w:eastAsia="宋体" w:cs="Times New Roman"/>
          <w:sz w:val="21"/>
          <w:szCs w:val="22"/>
        </w:rPr>
        <w:t>超过该部件涂覆面积的10%～20%</w:t>
      </w:r>
      <w:r>
        <w:rPr>
          <w:rFonts w:hint="eastAsia" w:ascii="Times New Roman" w:hAnsi="Times New Roman" w:eastAsia="宋体" w:cs="Times New Roman"/>
          <w:sz w:val="21"/>
          <w:szCs w:val="22"/>
        </w:rPr>
        <w:t>，</w:t>
      </w:r>
      <w:r>
        <w:rPr>
          <w:rFonts w:ascii="Times New Roman" w:hAnsi="Times New Roman" w:eastAsia="宋体" w:cs="Times New Roman"/>
          <w:sz w:val="21"/>
          <w:szCs w:val="22"/>
        </w:rPr>
        <w:t>小型水轮机宜取较大值。</w:t>
      </w:r>
    </w:p>
    <w:p>
      <w:pPr>
        <w:pStyle w:val="6"/>
        <w:adjustRightInd w:val="0"/>
        <w:snapToGrid w:val="0"/>
        <w:spacing w:line="360" w:lineRule="auto"/>
        <w:ind w:left="1058" w:leftChars="290" w:hanging="449" w:hangingChars="214"/>
        <w:rPr>
          <w:rFonts w:ascii="Times New Roman" w:hAnsi="Times New Roman" w:eastAsia="宋体" w:cs="Times New Roman"/>
          <w:sz w:val="21"/>
          <w:szCs w:val="22"/>
        </w:rPr>
      </w:pPr>
      <w:r>
        <w:rPr>
          <w:rFonts w:hint="eastAsia" w:ascii="黑体" w:hAnsi="黑体" w:eastAsia="黑体" w:cs="黑体"/>
          <w:sz w:val="21"/>
          <w:szCs w:val="22"/>
        </w:rPr>
        <w:t>6）</w:t>
      </w:r>
      <w:r>
        <w:rPr>
          <w:rFonts w:ascii="Times New Roman" w:hAnsi="Times New Roman" w:eastAsia="宋体" w:cs="Times New Roman"/>
          <w:sz w:val="21"/>
          <w:szCs w:val="22"/>
        </w:rPr>
        <w:t xml:space="preserve"> 转轮叶片最大磨蚀深度大于3mm时，应计算每个叶片的磨蚀质量。轴流、贯流式水轮机单个叶片的磨蚀质量不应大于转轮叶片平均磨蚀质量的20%；混流、斜流式水轮机单个叶片的磨蚀质量不应大于转轮叶片平均磨蚀质量的10%。</w:t>
      </w:r>
    </w:p>
    <w:p>
      <w:pPr>
        <w:pStyle w:val="6"/>
        <w:adjustRightInd w:val="0"/>
        <w:snapToGrid w:val="0"/>
        <w:spacing w:line="360" w:lineRule="auto"/>
        <w:ind w:left="1058" w:leftChars="290" w:hanging="449" w:hangingChars="214"/>
        <w:rPr>
          <w:rFonts w:ascii="Times New Roman" w:hAnsi="Times New Roman" w:eastAsia="宋体" w:cs="Times New Roman"/>
          <w:sz w:val="21"/>
          <w:szCs w:val="22"/>
        </w:rPr>
      </w:pPr>
      <w:r>
        <w:rPr>
          <w:rFonts w:hint="eastAsia" w:ascii="黑体" w:hAnsi="黑体" w:eastAsia="黑体" w:cs="黑体"/>
          <w:sz w:val="21"/>
          <w:szCs w:val="22"/>
        </w:rPr>
        <w:t xml:space="preserve">7） </w:t>
      </w:r>
      <w:r>
        <w:rPr>
          <w:rFonts w:ascii="Times New Roman" w:hAnsi="Times New Roman" w:eastAsia="宋体" w:cs="Times New Roman"/>
          <w:sz w:val="21"/>
          <w:szCs w:val="22"/>
        </w:rPr>
        <w:t>因磨蚀造成机组运行指标变化时，机组振动、摆度应</w:t>
      </w:r>
      <w:r>
        <w:rPr>
          <w:rFonts w:hint="eastAsia" w:ascii="Times New Roman" w:hAnsi="Times New Roman" w:eastAsia="宋体" w:cs="Times New Roman"/>
          <w:sz w:val="21"/>
          <w:szCs w:val="22"/>
        </w:rPr>
        <w:t>不</w:t>
      </w:r>
      <w:r>
        <w:rPr>
          <w:rFonts w:ascii="Times New Roman" w:hAnsi="Times New Roman" w:eastAsia="宋体" w:cs="Times New Roman"/>
          <w:sz w:val="21"/>
          <w:szCs w:val="22"/>
        </w:rPr>
        <w:t>超过运行允许值，水轮机的效率或功率降低值应</w:t>
      </w:r>
      <w:r>
        <w:rPr>
          <w:rFonts w:hint="eastAsia" w:ascii="Times New Roman" w:hAnsi="Times New Roman" w:eastAsia="宋体" w:cs="Times New Roman"/>
          <w:sz w:val="21"/>
          <w:szCs w:val="22"/>
        </w:rPr>
        <w:t>不</w:t>
      </w:r>
      <w:r>
        <w:rPr>
          <w:rFonts w:ascii="Times New Roman" w:hAnsi="Times New Roman" w:eastAsia="宋体" w:cs="Times New Roman"/>
          <w:sz w:val="21"/>
          <w:szCs w:val="22"/>
        </w:rPr>
        <w:t>超过4%～8%</w:t>
      </w:r>
      <w:r>
        <w:rPr>
          <w:rFonts w:hint="eastAsia" w:ascii="Times New Roman" w:hAnsi="Times New Roman" w:eastAsia="宋体" w:cs="Times New Roman"/>
          <w:sz w:val="21"/>
          <w:szCs w:val="22"/>
        </w:rPr>
        <w:t>，</w:t>
      </w:r>
      <w:r>
        <w:rPr>
          <w:rFonts w:ascii="Times New Roman" w:hAnsi="Times New Roman" w:eastAsia="宋体" w:cs="Times New Roman"/>
          <w:sz w:val="21"/>
          <w:szCs w:val="22"/>
        </w:rPr>
        <w:t>小型水轮机宜取较大值。</w:t>
      </w:r>
    </w:p>
    <w:p>
      <w:pPr>
        <w:pStyle w:val="6"/>
        <w:adjustRightInd w:val="0"/>
        <w:snapToGrid w:val="0"/>
        <w:spacing w:line="360" w:lineRule="auto"/>
        <w:ind w:left="1058" w:leftChars="290" w:hanging="449" w:hangingChars="214"/>
        <w:rPr>
          <w:rFonts w:ascii="Times New Roman" w:hAnsi="Times New Roman" w:eastAsia="宋体" w:cs="Times New Roman"/>
          <w:sz w:val="21"/>
          <w:szCs w:val="22"/>
        </w:rPr>
      </w:pPr>
      <w:r>
        <w:rPr>
          <w:rFonts w:hint="eastAsia" w:ascii="黑体" w:hAnsi="黑体" w:eastAsia="黑体" w:cs="黑体"/>
          <w:sz w:val="21"/>
          <w:szCs w:val="22"/>
        </w:rPr>
        <w:t>8）</w:t>
      </w:r>
      <w:r>
        <w:rPr>
          <w:rFonts w:ascii="Times New Roman" w:hAnsi="Times New Roman" w:eastAsia="宋体" w:cs="Times New Roman"/>
          <w:sz w:val="21"/>
          <w:szCs w:val="22"/>
        </w:rPr>
        <w:t xml:space="preserve"> 水轮机转轮实际磨蚀量未超过磨蚀允许值，但依据下次检修计划时间预测的磨蚀量将超过水轮机转轮磨蚀允许值的，宜对磨蚀部位进行修复。预测磨蚀量应按</w:t>
      </w:r>
      <w:r>
        <w:rPr>
          <w:rFonts w:hint="eastAsia" w:ascii="Times New Roman" w:hAnsi="Times New Roman" w:eastAsia="宋体" w:cs="Times New Roman"/>
          <w:sz w:val="21"/>
          <w:szCs w:val="22"/>
        </w:rPr>
        <w:t>下</w:t>
      </w:r>
      <w:r>
        <w:rPr>
          <w:rFonts w:ascii="Times New Roman" w:hAnsi="Times New Roman" w:eastAsia="宋体" w:cs="Times New Roman"/>
          <w:sz w:val="21"/>
          <w:szCs w:val="22"/>
        </w:rPr>
        <w:t>式进行计算。</w:t>
      </w:r>
    </w:p>
    <w:p>
      <w:pPr>
        <w:spacing w:line="360" w:lineRule="auto"/>
        <w:jc w:val="center"/>
        <w:rPr>
          <w:rFonts w:ascii="Times New Roman" w:hAnsi="Times New Roman" w:eastAsia="Times New Roman" w:cs="Times New Roman"/>
          <w:sz w:val="25"/>
          <w:szCs w:val="25"/>
        </w:rPr>
      </w:pPr>
      <w:r>
        <w:rPr>
          <w:rFonts w:ascii="Times New Roman" w:hAnsi="Times New Roman" w:eastAsia="Times New Roman" w:cs="Times New Roman"/>
          <w:i/>
          <w:iCs/>
          <w:spacing w:val="20"/>
          <w:szCs w:val="21"/>
        </w:rPr>
        <w:t>C</w:t>
      </w:r>
      <w:r>
        <w:rPr>
          <w:rFonts w:hint="eastAsia" w:ascii="Times New Roman" w:hAnsi="Times New Roman" w:eastAsia="宋体" w:cs="Times New Roman"/>
          <w:i/>
          <w:iCs/>
          <w:spacing w:val="20"/>
          <w:szCs w:val="21"/>
          <w:vertAlign w:val="subscript"/>
        </w:rPr>
        <w:t>f</w:t>
      </w:r>
      <w:r>
        <w:rPr>
          <w:rFonts w:ascii="Times New Roman" w:hAnsi="Times New Roman" w:eastAsia="Times New Roman" w:cs="Times New Roman"/>
          <w:spacing w:val="20"/>
          <w:szCs w:val="21"/>
        </w:rPr>
        <w:t>=</w:t>
      </w:r>
      <w:r>
        <w:rPr>
          <w:rFonts w:ascii="Times New Roman" w:hAnsi="Times New Roman" w:eastAsia="Times New Roman" w:cs="Times New Roman"/>
          <w:i/>
          <w:iCs/>
          <w:spacing w:val="20"/>
          <w:szCs w:val="21"/>
        </w:rPr>
        <w:t>C</w:t>
      </w:r>
      <w:r>
        <w:rPr>
          <w:rFonts w:hint="eastAsia" w:ascii="Times New Roman" w:hAnsi="Times New Roman" w:eastAsia="宋体" w:cs="Times New Roman"/>
          <w:i/>
          <w:iCs/>
          <w:spacing w:val="20"/>
          <w:szCs w:val="21"/>
          <w:vertAlign w:val="subscript"/>
        </w:rPr>
        <w:t>r</w:t>
      </w:r>
      <w:r>
        <w:rPr>
          <w:rFonts w:ascii="Times New Roman" w:hAnsi="Times New Roman" w:eastAsia="Times New Roman" w:cs="Times New Roman"/>
          <w:i/>
          <w:iCs/>
          <w:spacing w:val="20"/>
          <w:szCs w:val="21"/>
        </w:rPr>
        <w:t>t</w:t>
      </w:r>
      <w:r>
        <w:rPr>
          <w:rFonts w:hint="eastAsia" w:ascii="Times New Roman" w:hAnsi="Times New Roman" w:eastAsia="宋体" w:cs="Times New Roman"/>
          <w:i/>
          <w:iCs/>
          <w:spacing w:val="20"/>
          <w:szCs w:val="21"/>
          <w:vertAlign w:val="subscript"/>
        </w:rPr>
        <w:t>f</w:t>
      </w:r>
      <w:r>
        <w:rPr>
          <w:rFonts w:hint="eastAsia" w:ascii="Times New Roman" w:hAnsi="Times New Roman" w:eastAsia="宋体" w:cs="Times New Roman"/>
          <w:i/>
          <w:iCs/>
          <w:spacing w:val="20"/>
          <w:szCs w:val="21"/>
        </w:rPr>
        <w:t>/</w:t>
      </w:r>
      <w:r>
        <w:rPr>
          <w:rFonts w:ascii="Times New Roman" w:hAnsi="Times New Roman" w:eastAsia="Times New Roman" w:cs="Times New Roman"/>
          <w:i/>
          <w:iCs/>
          <w:spacing w:val="20"/>
          <w:szCs w:val="21"/>
        </w:rPr>
        <w:t>t</w:t>
      </w:r>
      <w:r>
        <w:rPr>
          <w:rFonts w:hint="eastAsia" w:ascii="Times New Roman" w:hAnsi="Times New Roman" w:eastAsia="宋体" w:cs="Times New Roman"/>
          <w:i/>
          <w:iCs/>
          <w:spacing w:val="20"/>
          <w:szCs w:val="21"/>
          <w:vertAlign w:val="subscript"/>
        </w:rPr>
        <w:t>r</w:t>
      </w:r>
    </w:p>
    <w:p>
      <w:pPr>
        <w:pStyle w:val="6"/>
        <w:spacing w:before="32" w:line="271" w:lineRule="auto"/>
        <w:ind w:firstLine="420" w:firstLineChars="200"/>
        <w:rPr>
          <w:rFonts w:asciiTheme="minorHAnsi" w:hAnsiTheme="minorHAnsi" w:eastAsiaTheme="minorEastAsia" w:cstheme="minorBidi"/>
          <w:sz w:val="21"/>
          <w:szCs w:val="22"/>
        </w:rPr>
      </w:pPr>
      <w:r>
        <w:rPr>
          <w:rFonts w:hint="eastAsia" w:asciiTheme="minorHAnsi" w:hAnsiTheme="minorHAnsi" w:eastAsiaTheme="minorEastAsia" w:cstheme="minorBidi"/>
          <w:sz w:val="21"/>
          <w:szCs w:val="22"/>
        </w:rPr>
        <w:t>式中：</w:t>
      </w:r>
    </w:p>
    <w:p>
      <w:pPr>
        <w:pStyle w:val="6"/>
        <w:adjustRightInd w:val="0"/>
        <w:snapToGrid w:val="0"/>
        <w:spacing w:line="360" w:lineRule="auto"/>
        <w:ind w:firstLine="928" w:firstLineChars="400"/>
        <w:jc w:val="left"/>
        <w:rPr>
          <w:rFonts w:ascii="Times New Roman" w:hAnsi="Times New Roman" w:eastAsia="宋体" w:cs="Times New Roman"/>
          <w:sz w:val="21"/>
          <w:szCs w:val="22"/>
        </w:rPr>
      </w:pPr>
      <w:r>
        <w:rPr>
          <w:rFonts w:ascii="Times New Roman" w:hAnsi="Times New Roman" w:eastAsia="宋体" w:cs="Times New Roman"/>
          <w:spacing w:val="11"/>
          <w:sz w:val="21"/>
          <w:szCs w:val="21"/>
        </w:rPr>
        <w:t>C</w:t>
      </w:r>
      <w:r>
        <w:rPr>
          <w:rFonts w:ascii="Times New Roman" w:hAnsi="Times New Roman" w:eastAsia="宋体" w:cs="Times New Roman"/>
          <w:spacing w:val="11"/>
          <w:sz w:val="21"/>
          <w:szCs w:val="21"/>
          <w:vertAlign w:val="subscript"/>
        </w:rPr>
        <w:t>f</w:t>
      </w:r>
      <w:r>
        <w:rPr>
          <w:rFonts w:hint="eastAsia" w:ascii="Times New Roman" w:hAnsi="Times New Roman" w:eastAsia="宋体" w:cs="Times New Roman"/>
          <w:spacing w:val="11"/>
          <w:sz w:val="21"/>
          <w:szCs w:val="21"/>
          <w:vertAlign w:val="subscript"/>
        </w:rPr>
        <w:t xml:space="preserve"> </w:t>
      </w:r>
      <w:r>
        <w:rPr>
          <w:rFonts w:ascii="Times New Roman" w:hAnsi="Times New Roman" w:eastAsia="宋体" w:cs="Times New Roman"/>
          <w:spacing w:val="11"/>
        </w:rPr>
        <w:t>——</w:t>
      </w:r>
      <w:r>
        <w:rPr>
          <w:rFonts w:ascii="Times New Roman" w:hAnsi="Times New Roman" w:eastAsia="宋体" w:cs="Times New Roman"/>
          <w:sz w:val="21"/>
          <w:szCs w:val="22"/>
        </w:rPr>
        <w:t>预测的磨蚀量</w:t>
      </w:r>
      <w:r>
        <w:rPr>
          <w:rFonts w:hint="eastAsia" w:ascii="Times New Roman" w:hAnsi="Times New Roman" w:eastAsia="宋体" w:cs="Times New Roman"/>
          <w:sz w:val="21"/>
          <w:szCs w:val="22"/>
        </w:rPr>
        <w:t>（</w:t>
      </w:r>
      <w:r>
        <w:rPr>
          <w:rFonts w:ascii="Times New Roman" w:hAnsi="Times New Roman" w:eastAsia="宋体" w:cs="Times New Roman"/>
          <w:sz w:val="21"/>
          <w:szCs w:val="22"/>
        </w:rPr>
        <w:t>指质量深度</w:t>
      </w:r>
      <w:r>
        <w:rPr>
          <w:rFonts w:hint="eastAsia" w:ascii="Times New Roman" w:hAnsi="Times New Roman" w:eastAsia="宋体" w:cs="Times New Roman"/>
          <w:sz w:val="21"/>
          <w:szCs w:val="22"/>
        </w:rPr>
        <w:t>）</w:t>
      </w:r>
      <w:r>
        <w:rPr>
          <w:rFonts w:ascii="Times New Roman" w:hAnsi="Times New Roman" w:eastAsia="宋体" w:cs="Times New Roman"/>
          <w:sz w:val="21"/>
          <w:szCs w:val="22"/>
        </w:rPr>
        <w:t>；</w:t>
      </w:r>
    </w:p>
    <w:p>
      <w:pPr>
        <w:pStyle w:val="6"/>
        <w:adjustRightInd w:val="0"/>
        <w:snapToGrid w:val="0"/>
        <w:spacing w:line="360" w:lineRule="auto"/>
        <w:ind w:firstLine="944" w:firstLineChars="400"/>
        <w:jc w:val="left"/>
        <w:rPr>
          <w:rFonts w:ascii="Times New Roman" w:hAnsi="Times New Roman" w:eastAsia="宋体" w:cs="Times New Roman"/>
          <w:sz w:val="21"/>
          <w:szCs w:val="22"/>
        </w:rPr>
      </w:pPr>
      <w:r>
        <w:rPr>
          <w:rFonts w:ascii="Times New Roman" w:hAnsi="Times New Roman" w:eastAsia="宋体" w:cs="Times New Roman"/>
          <w:spacing w:val="13"/>
          <w:sz w:val="21"/>
          <w:szCs w:val="21"/>
        </w:rPr>
        <w:t>C</w:t>
      </w:r>
      <w:r>
        <w:rPr>
          <w:rFonts w:ascii="Times New Roman" w:hAnsi="Times New Roman" w:eastAsia="宋体" w:cs="Times New Roman"/>
          <w:spacing w:val="13"/>
          <w:sz w:val="21"/>
          <w:szCs w:val="21"/>
          <w:vertAlign w:val="subscript"/>
        </w:rPr>
        <w:t>r</w:t>
      </w:r>
      <w:r>
        <w:rPr>
          <w:rFonts w:hint="eastAsia" w:ascii="Times New Roman" w:hAnsi="Times New Roman" w:eastAsia="宋体" w:cs="Times New Roman"/>
          <w:spacing w:val="13"/>
          <w:sz w:val="21"/>
          <w:szCs w:val="21"/>
          <w:vertAlign w:val="subscript"/>
        </w:rPr>
        <w:t xml:space="preserve"> </w:t>
      </w:r>
      <w:r>
        <w:rPr>
          <w:rFonts w:ascii="Times New Roman" w:hAnsi="Times New Roman" w:eastAsia="宋体" w:cs="Times New Roman"/>
          <w:spacing w:val="13"/>
        </w:rPr>
        <w:t>——</w:t>
      </w:r>
      <w:r>
        <w:rPr>
          <w:rFonts w:ascii="Times New Roman" w:hAnsi="Times New Roman" w:eastAsia="宋体" w:cs="Times New Roman"/>
          <w:sz w:val="21"/>
          <w:szCs w:val="22"/>
        </w:rPr>
        <w:t>实际磨蚀量</w:t>
      </w:r>
      <w:r>
        <w:rPr>
          <w:rFonts w:hint="eastAsia" w:ascii="Times New Roman" w:hAnsi="Times New Roman" w:eastAsia="宋体" w:cs="Times New Roman"/>
          <w:sz w:val="21"/>
          <w:szCs w:val="22"/>
        </w:rPr>
        <w:t>（</w:t>
      </w:r>
      <w:r>
        <w:rPr>
          <w:rFonts w:ascii="Times New Roman" w:hAnsi="Times New Roman" w:eastAsia="宋体" w:cs="Times New Roman"/>
          <w:sz w:val="21"/>
          <w:szCs w:val="22"/>
        </w:rPr>
        <w:t>指质量、深度</w:t>
      </w:r>
      <w:r>
        <w:rPr>
          <w:rFonts w:hint="eastAsia" w:ascii="Times New Roman" w:hAnsi="Times New Roman" w:eastAsia="宋体" w:cs="Times New Roman"/>
          <w:sz w:val="21"/>
          <w:szCs w:val="22"/>
        </w:rPr>
        <w:t>）</w:t>
      </w:r>
      <w:r>
        <w:rPr>
          <w:rFonts w:ascii="Times New Roman" w:hAnsi="Times New Roman" w:eastAsia="宋体" w:cs="Times New Roman"/>
          <w:sz w:val="21"/>
          <w:szCs w:val="22"/>
        </w:rPr>
        <w:t>；</w:t>
      </w:r>
    </w:p>
    <w:p>
      <w:pPr>
        <w:pStyle w:val="6"/>
        <w:adjustRightInd w:val="0"/>
        <w:snapToGrid w:val="0"/>
        <w:spacing w:line="360" w:lineRule="auto"/>
        <w:ind w:firstLine="880" w:firstLineChars="400"/>
        <w:jc w:val="left"/>
        <w:rPr>
          <w:rFonts w:ascii="Times New Roman" w:hAnsi="Times New Roman" w:eastAsia="宋体" w:cs="Times New Roman"/>
          <w:sz w:val="21"/>
          <w:szCs w:val="22"/>
        </w:rPr>
      </w:pPr>
      <w:r>
        <w:rPr>
          <w:rFonts w:ascii="Times New Roman" w:hAnsi="Times New Roman" w:eastAsia="宋体" w:cs="Times New Roman"/>
          <w:spacing w:val="5"/>
          <w:sz w:val="21"/>
          <w:szCs w:val="21"/>
        </w:rPr>
        <w:t>t</w:t>
      </w:r>
      <w:r>
        <w:rPr>
          <w:rFonts w:ascii="Times New Roman" w:hAnsi="Times New Roman" w:eastAsia="宋体" w:cs="Times New Roman"/>
          <w:spacing w:val="5"/>
          <w:sz w:val="21"/>
          <w:szCs w:val="21"/>
          <w:vertAlign w:val="subscript"/>
        </w:rPr>
        <w:t xml:space="preserve">f </w:t>
      </w:r>
      <w:r>
        <w:rPr>
          <w:rFonts w:ascii="Times New Roman" w:hAnsi="Times New Roman" w:eastAsia="宋体" w:cs="Times New Roman"/>
          <w:spacing w:val="5"/>
        </w:rPr>
        <w:t>——</w:t>
      </w:r>
      <w:r>
        <w:rPr>
          <w:rFonts w:ascii="Times New Roman" w:hAnsi="Times New Roman" w:eastAsia="宋体" w:cs="Times New Roman"/>
          <w:sz w:val="21"/>
          <w:szCs w:val="22"/>
        </w:rPr>
        <w:t>上次修复后投运日期至下次检修计划日期的时间，单位为年</w:t>
      </w:r>
      <w:r>
        <w:rPr>
          <w:rFonts w:hint="eastAsia" w:ascii="Times New Roman" w:hAnsi="Times New Roman" w:eastAsia="宋体" w:cs="Times New Roman"/>
          <w:sz w:val="21"/>
          <w:szCs w:val="22"/>
        </w:rPr>
        <w:t>（</w:t>
      </w:r>
      <w:r>
        <w:rPr>
          <w:rFonts w:ascii="Times New Roman" w:hAnsi="Times New Roman" w:eastAsia="宋体" w:cs="Times New Roman"/>
          <w:sz w:val="21"/>
          <w:szCs w:val="22"/>
        </w:rPr>
        <w:t>a</w:t>
      </w:r>
      <w:r>
        <w:rPr>
          <w:rFonts w:hint="eastAsia" w:ascii="Times New Roman" w:hAnsi="Times New Roman" w:eastAsia="宋体" w:cs="Times New Roman"/>
          <w:sz w:val="21"/>
          <w:szCs w:val="22"/>
        </w:rPr>
        <w:t>）</w:t>
      </w:r>
      <w:r>
        <w:rPr>
          <w:rFonts w:ascii="Times New Roman" w:hAnsi="Times New Roman" w:eastAsia="宋体" w:cs="Times New Roman"/>
          <w:sz w:val="21"/>
          <w:szCs w:val="22"/>
        </w:rPr>
        <w:t>；</w:t>
      </w:r>
    </w:p>
    <w:p>
      <w:pPr>
        <w:pStyle w:val="6"/>
        <w:adjustRightInd w:val="0"/>
        <w:snapToGrid w:val="0"/>
        <w:spacing w:line="360" w:lineRule="auto"/>
        <w:ind w:firstLine="896" w:firstLineChars="400"/>
        <w:jc w:val="left"/>
        <w:rPr>
          <w:rFonts w:ascii="Times New Roman" w:hAnsi="Times New Roman" w:eastAsia="宋体" w:cs="Times New Roman"/>
          <w:sz w:val="21"/>
          <w:szCs w:val="22"/>
        </w:rPr>
      </w:pPr>
      <w:r>
        <w:rPr>
          <w:rFonts w:ascii="Times New Roman" w:hAnsi="Times New Roman" w:eastAsia="宋体" w:cs="Times New Roman"/>
          <w:spacing w:val="7"/>
          <w:sz w:val="21"/>
          <w:szCs w:val="21"/>
        </w:rPr>
        <w:t>t</w:t>
      </w:r>
      <w:r>
        <w:rPr>
          <w:rFonts w:ascii="Times New Roman" w:hAnsi="Times New Roman" w:eastAsia="宋体" w:cs="Times New Roman"/>
          <w:spacing w:val="7"/>
          <w:sz w:val="21"/>
          <w:szCs w:val="21"/>
          <w:vertAlign w:val="subscript"/>
        </w:rPr>
        <w:t xml:space="preserve">r </w:t>
      </w:r>
      <w:r>
        <w:rPr>
          <w:rFonts w:ascii="Times New Roman" w:hAnsi="Times New Roman" w:eastAsia="宋体" w:cs="Times New Roman"/>
          <w:spacing w:val="5"/>
        </w:rPr>
        <w:t>——</w:t>
      </w:r>
      <w:r>
        <w:rPr>
          <w:rFonts w:ascii="Times New Roman" w:hAnsi="Times New Roman" w:eastAsia="宋体" w:cs="Times New Roman"/>
          <w:sz w:val="21"/>
          <w:szCs w:val="22"/>
        </w:rPr>
        <w:t>上次修复后投运日期至本次评估日期的时间，单位为年</w:t>
      </w:r>
      <w:r>
        <w:rPr>
          <w:rFonts w:hint="eastAsia" w:ascii="Times New Roman" w:hAnsi="Times New Roman" w:eastAsia="宋体" w:cs="Times New Roman"/>
          <w:sz w:val="21"/>
          <w:szCs w:val="22"/>
        </w:rPr>
        <w:t>（</w:t>
      </w:r>
      <w:r>
        <w:rPr>
          <w:rFonts w:ascii="Times New Roman" w:hAnsi="Times New Roman" w:eastAsia="宋体" w:cs="Times New Roman"/>
          <w:sz w:val="21"/>
          <w:szCs w:val="22"/>
        </w:rPr>
        <w:t>a</w:t>
      </w:r>
      <w:r>
        <w:rPr>
          <w:rFonts w:hint="eastAsia" w:ascii="Times New Roman" w:hAnsi="Times New Roman" w:eastAsia="宋体" w:cs="Times New Roman"/>
          <w:sz w:val="21"/>
          <w:szCs w:val="22"/>
        </w:rPr>
        <w:t>）</w:t>
      </w:r>
      <w:r>
        <w:rPr>
          <w:rFonts w:ascii="Times New Roman" w:hAnsi="Times New Roman" w:eastAsia="宋体" w:cs="Times New Roman"/>
          <w:sz w:val="21"/>
          <w:szCs w:val="22"/>
        </w:rPr>
        <w:t>。</w:t>
      </w:r>
    </w:p>
    <w:p>
      <w:pPr>
        <w:pStyle w:val="6"/>
        <w:adjustRightInd w:val="0"/>
        <w:snapToGrid w:val="0"/>
        <w:spacing w:line="360" w:lineRule="auto"/>
        <w:ind w:firstLine="399"/>
        <w:rPr>
          <w:rFonts w:ascii="Times New Roman" w:hAnsi="Times New Roman" w:eastAsia="宋体" w:cs="Times New Roman"/>
          <w:sz w:val="21"/>
          <w:szCs w:val="22"/>
        </w:rPr>
      </w:pPr>
      <w:r>
        <w:rPr>
          <w:rFonts w:hint="eastAsia" w:ascii="黑体" w:hAnsi="黑体" w:eastAsia="黑体" w:cs="黑体"/>
          <w:sz w:val="21"/>
          <w:szCs w:val="22"/>
        </w:rPr>
        <w:t>2</w:t>
      </w:r>
      <w:r>
        <w:rPr>
          <w:rFonts w:hint="eastAsia" w:ascii="Times New Roman" w:hAnsi="Times New Roman" w:eastAsia="宋体" w:cs="Times New Roman"/>
          <w:sz w:val="21"/>
          <w:szCs w:val="22"/>
        </w:rPr>
        <w:t xml:space="preserve">  固定通流部件的磨蚀损坏评估</w:t>
      </w:r>
    </w:p>
    <w:p>
      <w:pPr>
        <w:pStyle w:val="6"/>
        <w:adjustRightInd w:val="0"/>
        <w:snapToGrid w:val="0"/>
        <w:spacing w:line="360" w:lineRule="auto"/>
        <w:ind w:left="1058" w:leftChars="290" w:hanging="449" w:hangingChars="214"/>
        <w:rPr>
          <w:rFonts w:ascii="Times New Roman" w:hAnsi="Times New Roman" w:eastAsia="宋体" w:cs="Times New Roman"/>
          <w:sz w:val="21"/>
          <w:szCs w:val="22"/>
        </w:rPr>
      </w:pPr>
      <w:r>
        <w:rPr>
          <w:rFonts w:hint="eastAsia" w:ascii="黑体" w:hAnsi="黑体" w:eastAsia="黑体" w:cs="黑体"/>
          <w:sz w:val="21"/>
          <w:szCs w:val="22"/>
        </w:rPr>
        <w:t xml:space="preserve">1） </w:t>
      </w:r>
      <w:r>
        <w:rPr>
          <w:rFonts w:hint="eastAsia" w:ascii="Times New Roman" w:hAnsi="Times New Roman" w:eastAsia="宋体" w:cs="Times New Roman"/>
          <w:sz w:val="21"/>
          <w:szCs w:val="22"/>
        </w:rPr>
        <w:t>水轮机固定通流部件普遍磨蚀深度不应大于4 mm。</w:t>
      </w:r>
    </w:p>
    <w:p>
      <w:pPr>
        <w:pStyle w:val="6"/>
        <w:adjustRightInd w:val="0"/>
        <w:snapToGrid w:val="0"/>
        <w:spacing w:line="360" w:lineRule="auto"/>
        <w:ind w:left="1058" w:leftChars="290" w:hanging="449" w:hangingChars="214"/>
        <w:rPr>
          <w:rFonts w:ascii="Times New Roman" w:hAnsi="Times New Roman" w:eastAsia="宋体" w:cs="Times New Roman"/>
          <w:sz w:val="21"/>
          <w:szCs w:val="22"/>
        </w:rPr>
      </w:pPr>
      <w:r>
        <w:rPr>
          <w:rFonts w:hint="eastAsia" w:ascii="黑体" w:hAnsi="黑体" w:eastAsia="黑体" w:cs="黑体"/>
          <w:sz w:val="21"/>
          <w:szCs w:val="22"/>
        </w:rPr>
        <w:t>2）</w:t>
      </w:r>
      <w:r>
        <w:rPr>
          <w:rFonts w:hint="eastAsia" w:ascii="Times New Roman" w:hAnsi="Times New Roman" w:eastAsia="宋体" w:cs="Times New Roman"/>
          <w:sz w:val="21"/>
          <w:szCs w:val="22"/>
        </w:rPr>
        <w:t xml:space="preserve"> 水轮机固定通流部件局部磨蚀深度不应大于该部位设计厚度的1/4。</w:t>
      </w:r>
    </w:p>
    <w:p>
      <w:pPr>
        <w:pStyle w:val="6"/>
        <w:adjustRightInd w:val="0"/>
        <w:snapToGrid w:val="0"/>
        <w:spacing w:line="360" w:lineRule="auto"/>
        <w:ind w:left="1058" w:leftChars="290" w:hanging="449" w:hangingChars="214"/>
        <w:rPr>
          <w:rFonts w:ascii="Times New Roman" w:hAnsi="Times New Roman" w:eastAsia="宋体" w:cs="Times New Roman"/>
          <w:sz w:val="21"/>
          <w:szCs w:val="22"/>
        </w:rPr>
      </w:pPr>
      <w:r>
        <w:rPr>
          <w:rFonts w:hint="eastAsia" w:ascii="黑体" w:hAnsi="黑体" w:eastAsia="黑体" w:cs="黑体"/>
          <w:sz w:val="21"/>
          <w:szCs w:val="22"/>
        </w:rPr>
        <w:t>3）</w:t>
      </w:r>
      <w:r>
        <w:rPr>
          <w:rFonts w:hint="eastAsia" w:ascii="Times New Roman" w:hAnsi="Times New Roman" w:eastAsia="宋体" w:cs="Times New Roman"/>
          <w:sz w:val="21"/>
          <w:szCs w:val="22"/>
        </w:rPr>
        <w:t xml:space="preserve"> 导水机构底环、顶盖抗磨板局部磨蚀深度不应大于6 mm；导叶上、下端面局部磨蚀深度不应大于5mm；顶盖局部磨蚀深度不应大于10 mm。</w:t>
      </w:r>
    </w:p>
    <w:p>
      <w:pPr>
        <w:pStyle w:val="6"/>
        <w:adjustRightInd w:val="0"/>
        <w:snapToGrid w:val="0"/>
        <w:spacing w:line="360" w:lineRule="auto"/>
        <w:ind w:left="1058" w:leftChars="290" w:hanging="449" w:hangingChars="214"/>
        <w:rPr>
          <w:rFonts w:ascii="Times New Roman" w:hAnsi="Times New Roman" w:eastAsia="宋体" w:cs="Times New Roman"/>
          <w:sz w:val="21"/>
          <w:szCs w:val="22"/>
        </w:rPr>
      </w:pPr>
      <w:r>
        <w:rPr>
          <w:rFonts w:hint="eastAsia" w:ascii="黑体" w:hAnsi="黑体" w:eastAsia="黑体" w:cs="黑体"/>
          <w:sz w:val="21"/>
          <w:szCs w:val="22"/>
        </w:rPr>
        <w:t>4）</w:t>
      </w:r>
      <w:r>
        <w:rPr>
          <w:rFonts w:hint="eastAsia" w:ascii="Times New Roman" w:hAnsi="Times New Roman" w:eastAsia="宋体" w:cs="Times New Roman"/>
          <w:sz w:val="21"/>
          <w:szCs w:val="22"/>
        </w:rPr>
        <w:t xml:space="preserve"> 水轮机各类止漏装置的间隙因磨蚀扩大后，实际间隙值不应大于设计间隙值的3倍。</w:t>
      </w:r>
    </w:p>
    <w:p>
      <w:pPr>
        <w:pStyle w:val="6"/>
        <w:adjustRightInd w:val="0"/>
        <w:snapToGrid w:val="0"/>
        <w:spacing w:line="360" w:lineRule="auto"/>
        <w:ind w:left="1058" w:leftChars="290" w:hanging="449" w:hangingChars="214"/>
        <w:rPr>
          <w:rFonts w:ascii="Times New Roman" w:hAnsi="Times New Roman" w:eastAsia="宋体" w:cs="Times New Roman"/>
          <w:sz w:val="21"/>
          <w:szCs w:val="22"/>
        </w:rPr>
      </w:pPr>
      <w:r>
        <w:rPr>
          <w:rFonts w:hint="eastAsia" w:ascii="黑体" w:hAnsi="黑体" w:eastAsia="黑体" w:cs="黑体"/>
          <w:sz w:val="21"/>
          <w:szCs w:val="22"/>
        </w:rPr>
        <w:t>5）</w:t>
      </w:r>
      <w:r>
        <w:rPr>
          <w:rFonts w:hint="eastAsia" w:ascii="Times New Roman" w:hAnsi="Times New Roman" w:eastAsia="宋体" w:cs="Times New Roman"/>
          <w:sz w:val="21"/>
          <w:szCs w:val="22"/>
        </w:rPr>
        <w:t xml:space="preserve"> 对于采用涂层的部件，涂层破坏处母材的最大磨蚀深度不应大于4 mm, 涂层破坏面积不应超过该部件涂覆面积的5%～10%,小型水轮机宜取较大值。</w:t>
      </w:r>
    </w:p>
    <w:p>
      <w:pPr>
        <w:pStyle w:val="6"/>
        <w:adjustRightInd w:val="0"/>
        <w:snapToGrid w:val="0"/>
        <w:spacing w:line="360" w:lineRule="auto"/>
        <w:ind w:left="1058" w:leftChars="290" w:hanging="449" w:hangingChars="214"/>
        <w:rPr>
          <w:rFonts w:ascii="Times New Roman" w:hAnsi="Times New Roman" w:eastAsia="宋体" w:cs="Times New Roman"/>
          <w:sz w:val="21"/>
          <w:szCs w:val="22"/>
        </w:rPr>
      </w:pPr>
      <w:r>
        <w:rPr>
          <w:rFonts w:hint="eastAsia" w:ascii="黑体" w:hAnsi="黑体" w:eastAsia="黑体" w:cs="黑体"/>
          <w:sz w:val="21"/>
          <w:szCs w:val="22"/>
        </w:rPr>
        <w:t>6）</w:t>
      </w:r>
      <w:r>
        <w:rPr>
          <w:rFonts w:hint="eastAsia" w:ascii="Times New Roman" w:hAnsi="Times New Roman" w:eastAsia="宋体" w:cs="Times New Roman"/>
          <w:sz w:val="21"/>
          <w:szCs w:val="22"/>
        </w:rPr>
        <w:t xml:space="preserve"> 水轮机固定通流部件的磨蚀量影响水轮机安全运行时，应根据经济性的原则修复或更换磨蚀部件。</w:t>
      </w:r>
    </w:p>
    <w:p>
      <w:pPr>
        <w:pStyle w:val="6"/>
        <w:adjustRightInd w:val="0"/>
        <w:snapToGrid w:val="0"/>
        <w:spacing w:line="360" w:lineRule="auto"/>
        <w:ind w:left="1058" w:leftChars="290" w:hanging="449" w:hangingChars="214"/>
        <w:rPr>
          <w:rFonts w:ascii="Times New Roman" w:hAnsi="Times New Roman" w:eastAsia="宋体" w:cs="Times New Roman"/>
          <w:sz w:val="21"/>
          <w:szCs w:val="22"/>
        </w:rPr>
      </w:pPr>
      <w:r>
        <w:rPr>
          <w:rFonts w:hint="eastAsia" w:ascii="黑体" w:hAnsi="黑体" w:eastAsia="黑体" w:cs="黑体"/>
          <w:sz w:val="21"/>
          <w:szCs w:val="22"/>
        </w:rPr>
        <w:t>7）</w:t>
      </w:r>
      <w:r>
        <w:rPr>
          <w:rFonts w:hint="eastAsia" w:ascii="Times New Roman" w:hAnsi="Times New Roman" w:eastAsia="宋体" w:cs="Times New Roman"/>
          <w:sz w:val="21"/>
          <w:szCs w:val="22"/>
        </w:rPr>
        <w:t xml:space="preserve"> 水轮机固定通流部件未完全解体时，宜在固定通流部件的背面间接测量、计算出磨蚀深度，确定下一步检修计划。</w:t>
      </w:r>
    </w:p>
    <w:p>
      <w:pPr>
        <w:widowControl/>
        <w:kinsoku w:val="0"/>
        <w:autoSpaceDE w:val="0"/>
        <w:autoSpaceDN w:val="0"/>
        <w:adjustRightInd w:val="0"/>
        <w:snapToGrid w:val="0"/>
        <w:spacing w:line="360" w:lineRule="auto"/>
        <w:textAlignment w:val="baseline"/>
      </w:pPr>
      <w:bookmarkStart w:id="227" w:name="OLE_LINK39"/>
      <w:bookmarkStart w:id="228" w:name="OLE_LINK37"/>
      <w:bookmarkStart w:id="229" w:name="OLE_LINK42"/>
      <w:r>
        <w:rPr>
          <w:rFonts w:hint="eastAsia" w:ascii="黑体" w:hAnsi="黑体" w:eastAsia="黑体" w:cs="黑体"/>
        </w:rPr>
        <w:t>H.1.3</w:t>
      </w:r>
      <w:bookmarkEnd w:id="227"/>
      <w:bookmarkEnd w:id="228"/>
      <w:bookmarkStart w:id="230" w:name="_Toc663"/>
      <w:r>
        <w:rPr>
          <w:rFonts w:hint="eastAsia" w:ascii="黑体" w:hAnsi="黑体" w:eastAsia="黑体" w:cs="Times New Roman"/>
          <w:snapToGrid w:val="0"/>
          <w:color w:val="000000"/>
          <w:kern w:val="0"/>
          <w:szCs w:val="21"/>
        </w:rPr>
        <w:t xml:space="preserve">  </w:t>
      </w:r>
      <w:r>
        <w:rPr>
          <w:rFonts w:hint="eastAsia"/>
        </w:rPr>
        <w:t>绕组、定子铁心等部件允许温升限值</w:t>
      </w:r>
      <w:bookmarkEnd w:id="230"/>
    </w:p>
    <w:bookmarkEnd w:id="229"/>
    <w:p>
      <w:pPr>
        <w:widowControl/>
        <w:kinsoku w:val="0"/>
        <w:autoSpaceDE w:val="0"/>
        <w:autoSpaceDN w:val="0"/>
        <w:adjustRightInd w:val="0"/>
        <w:snapToGrid w:val="0"/>
        <w:spacing w:line="360" w:lineRule="auto"/>
        <w:ind w:firstLine="420" w:firstLineChars="200"/>
        <w:textAlignment w:val="baseline"/>
        <w:rPr>
          <w:rFonts w:ascii="Times New Roman" w:hAnsi="Times New Roman" w:cs="Times New Roman"/>
          <w:snapToGrid w:val="0"/>
          <w:color w:val="000000"/>
          <w:kern w:val="0"/>
          <w:szCs w:val="21"/>
        </w:rPr>
      </w:pPr>
      <w:r>
        <w:rPr>
          <w:rFonts w:ascii="Times New Roman" w:hAnsi="Times New Roman" w:cs="Times New Roman"/>
          <w:snapToGrid w:val="0"/>
          <w:color w:val="000000"/>
          <w:kern w:val="0"/>
          <w:szCs w:val="21"/>
        </w:rPr>
        <w:t>水轮发电机定子绕组、转子绕组和定子铁心等</w:t>
      </w:r>
      <w:r>
        <w:rPr>
          <w:rFonts w:hint="eastAsia" w:ascii="Times New Roman" w:hAnsi="Times New Roman" w:cs="Times New Roman"/>
          <w:snapToGrid w:val="0"/>
          <w:color w:val="000000"/>
          <w:kern w:val="0"/>
          <w:szCs w:val="21"/>
        </w:rPr>
        <w:t>部件</w:t>
      </w:r>
      <w:r>
        <w:rPr>
          <w:rFonts w:ascii="Times New Roman" w:hAnsi="Times New Roman" w:cs="Times New Roman"/>
          <w:snapToGrid w:val="0"/>
          <w:color w:val="000000"/>
          <w:kern w:val="0"/>
          <w:szCs w:val="21"/>
        </w:rPr>
        <w:t>的温升限值应不超过表</w:t>
      </w:r>
      <w:r>
        <w:rPr>
          <w:rFonts w:hint="eastAsia" w:ascii="Times New Roman" w:hAnsi="Times New Roman" w:cs="Times New Roman"/>
          <w:snapToGrid w:val="0"/>
          <w:color w:val="000000"/>
          <w:kern w:val="0"/>
          <w:szCs w:val="21"/>
        </w:rPr>
        <w:t>H.1.2</w:t>
      </w:r>
      <w:r>
        <w:rPr>
          <w:rFonts w:ascii="Times New Roman" w:hAnsi="Times New Roman" w:cs="Times New Roman"/>
          <w:snapToGrid w:val="0"/>
          <w:color w:val="000000"/>
          <w:kern w:val="0"/>
          <w:szCs w:val="21"/>
        </w:rPr>
        <w:t>的规定。</w:t>
      </w:r>
    </w:p>
    <w:tbl>
      <w:tblPr>
        <w:tblStyle w:val="19"/>
        <w:tblW w:w="5000" w:type="pct"/>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2328"/>
        <w:gridCol w:w="1018"/>
        <w:gridCol w:w="1021"/>
        <w:gridCol w:w="1019"/>
        <w:gridCol w:w="1018"/>
        <w:gridCol w:w="1019"/>
        <w:gridCol w:w="1100"/>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5000" w:type="pct"/>
            <w:gridSpan w:val="7"/>
            <w:tcBorders>
              <w:top w:val="nil"/>
              <w:left w:val="nil"/>
              <w:bottom w:val="single" w:color="auto" w:sz="8" w:space="0"/>
              <w:right w:val="nil"/>
            </w:tcBorders>
            <w:shd w:val="clear" w:color="auto" w:fill="auto"/>
          </w:tcPr>
          <w:p>
            <w:pPr>
              <w:adjustRightInd w:val="0"/>
              <w:snapToGrid w:val="0"/>
              <w:ind w:right="-92" w:rightChars="-44"/>
              <w:jc w:val="center"/>
              <w:rPr>
                <w:rFonts w:ascii="Times New Roman" w:hAnsi="Times New Roman" w:cs="Times New Roman"/>
                <w:color w:val="000000"/>
                <w:sz w:val="20"/>
                <w:szCs w:val="20"/>
              </w:rPr>
            </w:pPr>
            <w:bookmarkStart w:id="231" w:name="OLE_LINK45"/>
            <w:r>
              <w:rPr>
                <w:rStyle w:val="28"/>
                <w:rFonts w:hint="eastAsia" w:ascii="黑体" w:hAnsi="黑体" w:eastAsia="黑体" w:cs="黑体"/>
                <w:b w:val="0"/>
                <w:bCs w:val="0"/>
                <w:sz w:val="21"/>
                <w:szCs w:val="21"/>
                <w:lang w:bidi="ar"/>
              </w:rPr>
              <w:t xml:space="preserve">                </w:t>
            </w:r>
            <w:r>
              <w:rPr>
                <w:rStyle w:val="28"/>
                <w:rFonts w:hint="eastAsia" w:ascii="黑体" w:hAnsi="黑体" w:eastAsia="黑体" w:cs="黑体"/>
                <w:b w:val="0"/>
                <w:bCs w:val="0"/>
                <w:sz w:val="18"/>
                <w:szCs w:val="18"/>
                <w:lang w:bidi="ar"/>
              </w:rPr>
              <w:t>表H.1.2</w:t>
            </w:r>
            <w:r>
              <w:rPr>
                <w:rStyle w:val="28"/>
                <w:rFonts w:hint="eastAsia" w:ascii="黑体" w:hAnsi="黑体" w:eastAsia="黑体" w:cs="黑体"/>
                <w:sz w:val="18"/>
                <w:szCs w:val="18"/>
              </w:rPr>
              <w:t xml:space="preserve">  </w:t>
            </w:r>
            <w:r>
              <w:rPr>
                <w:rStyle w:val="28"/>
                <w:rFonts w:hint="eastAsia" w:ascii="黑体" w:hAnsi="黑体" w:eastAsia="黑体" w:cs="黑体"/>
                <w:b w:val="0"/>
                <w:bCs w:val="0"/>
                <w:sz w:val="18"/>
                <w:szCs w:val="18"/>
                <w:lang w:bidi="ar"/>
              </w:rPr>
              <w:t>定子绕组、转子绕组和定子铁心等部件允许温升限值</w:t>
            </w:r>
            <w:bookmarkEnd w:id="231"/>
            <w:r>
              <w:rPr>
                <w:rStyle w:val="29"/>
                <w:rFonts w:hint="eastAsia" w:ascii="黑体" w:hAnsi="黑体" w:eastAsia="黑体" w:cs="黑体"/>
                <w:sz w:val="18"/>
                <w:szCs w:val="18"/>
                <w:lang w:bidi="ar"/>
              </w:rPr>
              <w:t xml:space="preserve"> </w:t>
            </w:r>
            <w:r>
              <w:rPr>
                <w:rStyle w:val="29"/>
                <w:rFonts w:hint="eastAsia" w:ascii="黑体" w:hAnsi="黑体" w:eastAsia="黑体" w:cs="黑体"/>
                <w:sz w:val="21"/>
                <w:szCs w:val="21"/>
                <w:lang w:bidi="ar"/>
              </w:rPr>
              <w:t xml:space="preserve">        </w:t>
            </w:r>
            <w:r>
              <w:rPr>
                <w:rStyle w:val="29"/>
                <w:rFonts w:hint="eastAsia" w:asciiTheme="minorEastAsia" w:hAnsiTheme="minorEastAsia" w:eastAsiaTheme="minorEastAsia" w:cstheme="minorEastAsia"/>
                <w:sz w:val="18"/>
                <w:szCs w:val="18"/>
                <w:lang w:bidi="ar"/>
              </w:rPr>
              <w:t>单位：</w:t>
            </w:r>
            <w:r>
              <w:rPr>
                <w:rStyle w:val="30"/>
                <w:rFonts w:hint="eastAsia" w:asciiTheme="minorEastAsia" w:hAnsiTheme="minorEastAsia" w:cstheme="minorEastAsia"/>
                <w:sz w:val="18"/>
                <w:szCs w:val="18"/>
                <w:lang w:bidi="ar"/>
              </w:rPr>
              <w:t>K</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65" w:hRule="atLeast"/>
        </w:trPr>
        <w:tc>
          <w:tcPr>
            <w:tcW w:w="1366" w:type="pct"/>
            <w:vMerge w:val="restart"/>
            <w:tcBorders>
              <w:top w:val="single" w:color="auto" w:sz="8" w:space="0"/>
            </w:tcBorders>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水轮发电机部件</w:t>
            </w:r>
          </w:p>
        </w:tc>
        <w:tc>
          <w:tcPr>
            <w:tcW w:w="3634" w:type="pct"/>
            <w:gridSpan w:val="6"/>
            <w:tcBorders>
              <w:top w:val="single" w:color="auto" w:sz="8" w:space="0"/>
            </w:tcBorders>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不同等级绝缘材料的最高允许温升限值</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1366" w:type="pct"/>
            <w:vMerge w:val="continue"/>
            <w:shd w:val="clear" w:color="auto" w:fill="auto"/>
            <w:vAlign w:val="center"/>
          </w:tcPr>
          <w:p>
            <w:pPr>
              <w:adjustRightInd w:val="0"/>
              <w:snapToGrid w:val="0"/>
              <w:jc w:val="center"/>
              <w:rPr>
                <w:rFonts w:hint="eastAsia" w:asciiTheme="minorEastAsia" w:hAnsiTheme="minorEastAsia" w:cstheme="minorEastAsia"/>
                <w:color w:val="000000"/>
                <w:sz w:val="15"/>
                <w:szCs w:val="15"/>
              </w:rPr>
            </w:pPr>
          </w:p>
        </w:tc>
        <w:tc>
          <w:tcPr>
            <w:tcW w:w="1794" w:type="pct"/>
            <w:gridSpan w:val="3"/>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B级</w:t>
            </w:r>
          </w:p>
        </w:tc>
        <w:tc>
          <w:tcPr>
            <w:tcW w:w="1840" w:type="pct"/>
            <w:gridSpan w:val="3"/>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F级</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50" w:hRule="atLeast"/>
        </w:trPr>
        <w:tc>
          <w:tcPr>
            <w:tcW w:w="1366" w:type="pct"/>
            <w:vMerge w:val="continue"/>
            <w:shd w:val="clear" w:color="auto" w:fill="auto"/>
            <w:vAlign w:val="center"/>
          </w:tcPr>
          <w:p>
            <w:pPr>
              <w:adjustRightInd w:val="0"/>
              <w:snapToGrid w:val="0"/>
              <w:jc w:val="center"/>
              <w:rPr>
                <w:rFonts w:hint="eastAsia" w:asciiTheme="minorEastAsia" w:hAnsiTheme="minorEastAsia" w:cstheme="minorEastAsia"/>
                <w:color w:val="000000"/>
                <w:sz w:val="15"/>
                <w:szCs w:val="15"/>
              </w:rPr>
            </w:pPr>
          </w:p>
        </w:tc>
        <w:tc>
          <w:tcPr>
            <w:tcW w:w="597"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温度计法</w:t>
            </w:r>
          </w:p>
        </w:tc>
        <w:tc>
          <w:tcPr>
            <w:tcW w:w="599"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电阻法</w:t>
            </w:r>
          </w:p>
        </w:tc>
        <w:tc>
          <w:tcPr>
            <w:tcW w:w="598"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检温计法</w:t>
            </w:r>
          </w:p>
        </w:tc>
        <w:tc>
          <w:tcPr>
            <w:tcW w:w="597"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温度计法</w:t>
            </w:r>
          </w:p>
        </w:tc>
        <w:tc>
          <w:tcPr>
            <w:tcW w:w="598"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电阻法</w:t>
            </w:r>
          </w:p>
        </w:tc>
        <w:tc>
          <w:tcPr>
            <w:tcW w:w="645"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检温计法</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1366" w:type="pct"/>
            <w:shd w:val="clear" w:color="auto" w:fill="auto"/>
            <w:vAlign w:val="center"/>
          </w:tcPr>
          <w:p>
            <w:pPr>
              <w:widowControl/>
              <w:adjustRightInd w:val="0"/>
              <w:snapToGrid w:val="0"/>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空气冷却的定子绕组</w:t>
            </w:r>
          </w:p>
        </w:tc>
        <w:tc>
          <w:tcPr>
            <w:tcW w:w="597"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w:t>
            </w:r>
          </w:p>
        </w:tc>
        <w:tc>
          <w:tcPr>
            <w:tcW w:w="599"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Fonts w:hint="eastAsia" w:asciiTheme="minorEastAsia" w:hAnsiTheme="minorEastAsia" w:cstheme="minorEastAsia"/>
                <w:color w:val="000000"/>
                <w:kern w:val="0"/>
                <w:sz w:val="15"/>
                <w:szCs w:val="15"/>
                <w:lang w:bidi="ar"/>
              </w:rPr>
              <w:t xml:space="preserve">80 </w:t>
            </w:r>
          </w:p>
        </w:tc>
        <w:tc>
          <w:tcPr>
            <w:tcW w:w="598"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Fonts w:hint="eastAsia" w:asciiTheme="minorEastAsia" w:hAnsiTheme="minorEastAsia" w:cstheme="minorEastAsia"/>
                <w:color w:val="000000"/>
                <w:kern w:val="0"/>
                <w:sz w:val="15"/>
                <w:szCs w:val="15"/>
                <w:lang w:bidi="ar"/>
              </w:rPr>
              <w:t xml:space="preserve">85 </w:t>
            </w:r>
          </w:p>
        </w:tc>
        <w:tc>
          <w:tcPr>
            <w:tcW w:w="597"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w:t>
            </w:r>
          </w:p>
        </w:tc>
        <w:tc>
          <w:tcPr>
            <w:tcW w:w="598"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Fonts w:hint="eastAsia" w:asciiTheme="minorEastAsia" w:hAnsiTheme="minorEastAsia" w:cstheme="minorEastAsia"/>
                <w:color w:val="000000"/>
                <w:kern w:val="0"/>
                <w:sz w:val="15"/>
                <w:szCs w:val="15"/>
                <w:lang w:bidi="ar"/>
              </w:rPr>
              <w:t xml:space="preserve">100 </w:t>
            </w:r>
          </w:p>
        </w:tc>
        <w:tc>
          <w:tcPr>
            <w:tcW w:w="645"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Fonts w:hint="eastAsia" w:asciiTheme="minorEastAsia" w:hAnsiTheme="minorEastAsia" w:cstheme="minorEastAsia"/>
                <w:color w:val="000000"/>
                <w:kern w:val="0"/>
                <w:sz w:val="15"/>
                <w:szCs w:val="15"/>
                <w:lang w:bidi="ar"/>
              </w:rPr>
              <w:t xml:space="preserve">105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1366" w:type="pct"/>
            <w:shd w:val="clear" w:color="auto" w:fill="auto"/>
            <w:vAlign w:val="center"/>
          </w:tcPr>
          <w:p>
            <w:pPr>
              <w:widowControl/>
              <w:adjustRightInd w:val="0"/>
              <w:snapToGrid w:val="0"/>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定子铁心</w:t>
            </w:r>
          </w:p>
        </w:tc>
        <w:tc>
          <w:tcPr>
            <w:tcW w:w="597"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Fonts w:hint="eastAsia" w:asciiTheme="minorEastAsia" w:hAnsiTheme="minorEastAsia" w:cstheme="minorEastAsia"/>
                <w:color w:val="000000"/>
                <w:kern w:val="0"/>
                <w:sz w:val="15"/>
                <w:szCs w:val="15"/>
                <w:lang w:bidi="ar"/>
              </w:rPr>
              <w:t xml:space="preserve">80 </w:t>
            </w:r>
          </w:p>
        </w:tc>
        <w:tc>
          <w:tcPr>
            <w:tcW w:w="599"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w:t>
            </w:r>
          </w:p>
        </w:tc>
        <w:tc>
          <w:tcPr>
            <w:tcW w:w="598"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Fonts w:hint="eastAsia" w:asciiTheme="minorEastAsia" w:hAnsiTheme="minorEastAsia" w:cstheme="minorEastAsia"/>
                <w:color w:val="000000"/>
                <w:kern w:val="0"/>
                <w:sz w:val="15"/>
                <w:szCs w:val="15"/>
                <w:lang w:bidi="ar"/>
              </w:rPr>
              <w:t xml:space="preserve">85 </w:t>
            </w:r>
          </w:p>
        </w:tc>
        <w:tc>
          <w:tcPr>
            <w:tcW w:w="597"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Fonts w:hint="eastAsia" w:asciiTheme="minorEastAsia" w:hAnsiTheme="minorEastAsia" w:cstheme="minorEastAsia"/>
                <w:color w:val="000000"/>
                <w:kern w:val="0"/>
                <w:sz w:val="15"/>
                <w:szCs w:val="15"/>
                <w:lang w:bidi="ar"/>
              </w:rPr>
              <w:t xml:space="preserve">100 </w:t>
            </w:r>
          </w:p>
        </w:tc>
        <w:tc>
          <w:tcPr>
            <w:tcW w:w="598"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w:t>
            </w:r>
          </w:p>
        </w:tc>
        <w:tc>
          <w:tcPr>
            <w:tcW w:w="645"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Fonts w:hint="eastAsia" w:asciiTheme="minorEastAsia" w:hAnsiTheme="minorEastAsia" w:cstheme="minorEastAsia"/>
                <w:color w:val="000000"/>
                <w:kern w:val="0"/>
                <w:sz w:val="15"/>
                <w:szCs w:val="15"/>
                <w:lang w:bidi="ar"/>
              </w:rPr>
              <w:t xml:space="preserve">105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20" w:hRule="atLeast"/>
        </w:trPr>
        <w:tc>
          <w:tcPr>
            <w:tcW w:w="1366" w:type="pct"/>
            <w:shd w:val="clear" w:color="auto" w:fill="auto"/>
          </w:tcPr>
          <w:p>
            <w:pPr>
              <w:widowControl/>
              <w:adjustRightInd w:val="0"/>
              <w:snapToGrid w:val="0"/>
              <w:textAlignment w:val="top"/>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水直接冷却定子绕组、转子绕组和定子铁心的出水</w:t>
            </w:r>
          </w:p>
        </w:tc>
        <w:tc>
          <w:tcPr>
            <w:tcW w:w="597"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Fonts w:hint="eastAsia" w:asciiTheme="minorEastAsia" w:hAnsiTheme="minorEastAsia" w:cstheme="minorEastAsia"/>
                <w:color w:val="000000"/>
                <w:kern w:val="0"/>
                <w:sz w:val="15"/>
                <w:szCs w:val="15"/>
                <w:lang w:bidi="ar"/>
              </w:rPr>
              <w:t xml:space="preserve">25 </w:t>
            </w:r>
          </w:p>
        </w:tc>
        <w:tc>
          <w:tcPr>
            <w:tcW w:w="599"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w:t>
            </w:r>
          </w:p>
        </w:tc>
        <w:tc>
          <w:tcPr>
            <w:tcW w:w="598"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Fonts w:hint="eastAsia" w:asciiTheme="minorEastAsia" w:hAnsiTheme="minorEastAsia" w:cstheme="minorEastAsia"/>
                <w:color w:val="000000"/>
                <w:kern w:val="0"/>
                <w:sz w:val="15"/>
                <w:szCs w:val="15"/>
                <w:lang w:bidi="ar"/>
              </w:rPr>
              <w:t xml:space="preserve">25 </w:t>
            </w:r>
          </w:p>
        </w:tc>
        <w:tc>
          <w:tcPr>
            <w:tcW w:w="597"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Fonts w:hint="eastAsia" w:asciiTheme="minorEastAsia" w:hAnsiTheme="minorEastAsia" w:cstheme="minorEastAsia"/>
                <w:color w:val="000000"/>
                <w:kern w:val="0"/>
                <w:sz w:val="15"/>
                <w:szCs w:val="15"/>
                <w:lang w:bidi="ar"/>
              </w:rPr>
              <w:t xml:space="preserve">25 </w:t>
            </w:r>
          </w:p>
        </w:tc>
        <w:tc>
          <w:tcPr>
            <w:tcW w:w="598"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一</w:t>
            </w:r>
          </w:p>
        </w:tc>
        <w:tc>
          <w:tcPr>
            <w:tcW w:w="645"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Fonts w:hint="eastAsia" w:asciiTheme="minorEastAsia" w:hAnsiTheme="minorEastAsia" w:cstheme="minorEastAsia"/>
                <w:color w:val="000000"/>
                <w:kern w:val="0"/>
                <w:sz w:val="15"/>
                <w:szCs w:val="15"/>
                <w:lang w:bidi="ar"/>
              </w:rPr>
              <w:t xml:space="preserve">25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1366" w:type="pct"/>
            <w:shd w:val="clear" w:color="auto" w:fill="auto"/>
            <w:vAlign w:val="center"/>
          </w:tcPr>
          <w:p>
            <w:pPr>
              <w:widowControl/>
              <w:adjustRightInd w:val="0"/>
              <w:snapToGrid w:val="0"/>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两层及以上的转子绕组</w:t>
            </w:r>
          </w:p>
        </w:tc>
        <w:tc>
          <w:tcPr>
            <w:tcW w:w="597"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一</w:t>
            </w:r>
          </w:p>
        </w:tc>
        <w:tc>
          <w:tcPr>
            <w:tcW w:w="599"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Fonts w:hint="eastAsia" w:asciiTheme="minorEastAsia" w:hAnsiTheme="minorEastAsia" w:cstheme="minorEastAsia"/>
                <w:color w:val="000000"/>
                <w:kern w:val="0"/>
                <w:sz w:val="15"/>
                <w:szCs w:val="15"/>
                <w:lang w:bidi="ar"/>
              </w:rPr>
              <w:t xml:space="preserve">80 </w:t>
            </w:r>
          </w:p>
        </w:tc>
        <w:tc>
          <w:tcPr>
            <w:tcW w:w="598"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w:t>
            </w:r>
          </w:p>
        </w:tc>
        <w:tc>
          <w:tcPr>
            <w:tcW w:w="597"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w:t>
            </w:r>
          </w:p>
        </w:tc>
        <w:tc>
          <w:tcPr>
            <w:tcW w:w="598"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Fonts w:hint="eastAsia" w:asciiTheme="minorEastAsia" w:hAnsiTheme="minorEastAsia" w:cstheme="minorEastAsia"/>
                <w:color w:val="000000"/>
                <w:kern w:val="0"/>
                <w:sz w:val="15"/>
                <w:szCs w:val="15"/>
                <w:lang w:bidi="ar"/>
              </w:rPr>
              <w:t xml:space="preserve">100 </w:t>
            </w:r>
          </w:p>
        </w:tc>
        <w:tc>
          <w:tcPr>
            <w:tcW w:w="645" w:type="pct"/>
            <w:shd w:val="clear" w:color="auto" w:fill="auto"/>
          </w:tcPr>
          <w:p>
            <w:pPr>
              <w:adjustRightInd w:val="0"/>
              <w:snapToGrid w:val="0"/>
              <w:jc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90" w:hRule="atLeast"/>
        </w:trPr>
        <w:tc>
          <w:tcPr>
            <w:tcW w:w="1366" w:type="pct"/>
            <w:shd w:val="clear" w:color="auto" w:fill="auto"/>
            <w:vAlign w:val="center"/>
          </w:tcPr>
          <w:p>
            <w:pPr>
              <w:widowControl/>
              <w:adjustRightInd w:val="0"/>
              <w:snapToGrid w:val="0"/>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表面裸露的单层转子绕组</w:t>
            </w:r>
          </w:p>
        </w:tc>
        <w:tc>
          <w:tcPr>
            <w:tcW w:w="597"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w:t>
            </w:r>
          </w:p>
        </w:tc>
        <w:tc>
          <w:tcPr>
            <w:tcW w:w="599"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Fonts w:hint="eastAsia" w:asciiTheme="minorEastAsia" w:hAnsiTheme="minorEastAsia" w:cstheme="minorEastAsia"/>
                <w:color w:val="000000"/>
                <w:kern w:val="0"/>
                <w:sz w:val="15"/>
                <w:szCs w:val="15"/>
                <w:lang w:bidi="ar"/>
              </w:rPr>
              <w:t xml:space="preserve">90 </w:t>
            </w:r>
          </w:p>
        </w:tc>
        <w:tc>
          <w:tcPr>
            <w:tcW w:w="598" w:type="pct"/>
            <w:shd w:val="clear" w:color="auto" w:fill="auto"/>
          </w:tcPr>
          <w:p>
            <w:pPr>
              <w:adjustRightInd w:val="0"/>
              <w:snapToGrid w:val="0"/>
              <w:jc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w:t>
            </w:r>
          </w:p>
        </w:tc>
        <w:tc>
          <w:tcPr>
            <w:tcW w:w="597" w:type="pct"/>
            <w:shd w:val="clear" w:color="auto" w:fill="auto"/>
          </w:tcPr>
          <w:p>
            <w:pPr>
              <w:adjustRightInd w:val="0"/>
              <w:snapToGrid w:val="0"/>
              <w:jc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w:t>
            </w:r>
          </w:p>
        </w:tc>
        <w:tc>
          <w:tcPr>
            <w:tcW w:w="598"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Fonts w:hint="eastAsia" w:asciiTheme="minorEastAsia" w:hAnsiTheme="minorEastAsia" w:cstheme="minorEastAsia"/>
                <w:color w:val="000000"/>
                <w:kern w:val="0"/>
                <w:sz w:val="15"/>
                <w:szCs w:val="15"/>
                <w:lang w:bidi="ar"/>
              </w:rPr>
              <w:t xml:space="preserve">110 </w:t>
            </w:r>
          </w:p>
        </w:tc>
        <w:tc>
          <w:tcPr>
            <w:tcW w:w="645" w:type="pct"/>
            <w:shd w:val="clear" w:color="auto" w:fill="auto"/>
          </w:tcPr>
          <w:p>
            <w:pPr>
              <w:adjustRightInd w:val="0"/>
              <w:snapToGrid w:val="0"/>
              <w:jc w:val="center"/>
              <w:rPr>
                <w:rFonts w:hint="eastAsia" w:asciiTheme="minorEastAsia" w:hAnsiTheme="minorEastAsia" w:cstheme="minorEastAsia"/>
                <w:color w:val="000000"/>
                <w:sz w:val="15"/>
                <w:szCs w:val="15"/>
              </w:rPr>
            </w:pPr>
            <w:r>
              <w:rPr>
                <w:rFonts w:hint="eastAsia" w:asciiTheme="minorEastAsia" w:hAnsiTheme="minorEastAsia" w:cstheme="minorEastAsia"/>
                <w:color w:val="000000"/>
                <w:sz w:val="15"/>
                <w:szCs w:val="15"/>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90" w:hRule="atLeast"/>
        </w:trPr>
        <w:tc>
          <w:tcPr>
            <w:tcW w:w="1366" w:type="pct"/>
            <w:shd w:val="clear" w:color="auto" w:fill="auto"/>
            <w:vAlign w:val="center"/>
          </w:tcPr>
          <w:p>
            <w:pPr>
              <w:widowControl/>
              <w:adjustRightInd w:val="0"/>
              <w:snapToGrid w:val="0"/>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不与绕组接触的其他部件</w:t>
            </w:r>
          </w:p>
        </w:tc>
        <w:tc>
          <w:tcPr>
            <w:tcW w:w="3634" w:type="pct"/>
            <w:gridSpan w:val="6"/>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这些部件的温升应不损坏该部件本身或任何与其相邻部件的绝缘</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05" w:hRule="atLeast"/>
        </w:trPr>
        <w:tc>
          <w:tcPr>
            <w:tcW w:w="1366" w:type="pct"/>
            <w:shd w:val="clear" w:color="auto" w:fill="auto"/>
            <w:vAlign w:val="center"/>
          </w:tcPr>
          <w:p>
            <w:pPr>
              <w:widowControl/>
              <w:adjustRightInd w:val="0"/>
              <w:snapToGrid w:val="0"/>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集电环</w:t>
            </w:r>
          </w:p>
        </w:tc>
        <w:tc>
          <w:tcPr>
            <w:tcW w:w="597"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Fonts w:hint="eastAsia" w:asciiTheme="minorEastAsia" w:hAnsiTheme="minorEastAsia" w:cstheme="minorEastAsia"/>
                <w:color w:val="000000"/>
                <w:kern w:val="0"/>
                <w:sz w:val="15"/>
                <w:szCs w:val="15"/>
                <w:lang w:bidi="ar"/>
              </w:rPr>
              <w:t xml:space="preserve">80 </w:t>
            </w:r>
          </w:p>
        </w:tc>
        <w:tc>
          <w:tcPr>
            <w:tcW w:w="599" w:type="pct"/>
            <w:shd w:val="clear" w:color="auto" w:fill="auto"/>
          </w:tcPr>
          <w:p>
            <w:pPr>
              <w:adjustRightInd w:val="0"/>
              <w:snapToGrid w:val="0"/>
              <w:jc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w:t>
            </w:r>
          </w:p>
        </w:tc>
        <w:tc>
          <w:tcPr>
            <w:tcW w:w="598"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w:t>
            </w:r>
          </w:p>
        </w:tc>
        <w:tc>
          <w:tcPr>
            <w:tcW w:w="597"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Fonts w:hint="eastAsia" w:asciiTheme="minorEastAsia" w:hAnsiTheme="minorEastAsia" w:cstheme="minorEastAsia"/>
                <w:color w:val="000000"/>
                <w:kern w:val="0"/>
                <w:sz w:val="15"/>
                <w:szCs w:val="15"/>
                <w:lang w:bidi="ar"/>
              </w:rPr>
              <w:t xml:space="preserve">90 </w:t>
            </w:r>
          </w:p>
        </w:tc>
        <w:tc>
          <w:tcPr>
            <w:tcW w:w="598" w:type="pct"/>
            <w:shd w:val="clear" w:color="auto" w:fill="auto"/>
            <w:vAlign w:val="center"/>
          </w:tcPr>
          <w:p>
            <w:pPr>
              <w:widowControl/>
              <w:adjustRightInd w:val="0"/>
              <w:snapToGrid w:val="0"/>
              <w:jc w:val="center"/>
              <w:textAlignment w:val="center"/>
              <w:rPr>
                <w:rFonts w:hint="eastAsia" w:asciiTheme="minorEastAsia" w:hAnsiTheme="minorEastAsia" w:cstheme="minorEastAsia"/>
                <w:color w:val="000000"/>
                <w:sz w:val="15"/>
                <w:szCs w:val="15"/>
              </w:rPr>
            </w:pPr>
            <w:r>
              <w:rPr>
                <w:rStyle w:val="31"/>
                <w:rFonts w:hint="eastAsia" w:asciiTheme="minorEastAsia" w:hAnsiTheme="minorEastAsia" w:eastAsiaTheme="minorEastAsia" w:cstheme="minorEastAsia"/>
                <w:sz w:val="15"/>
                <w:szCs w:val="15"/>
                <w:lang w:bidi="ar"/>
              </w:rPr>
              <w:t>一</w:t>
            </w:r>
          </w:p>
        </w:tc>
        <w:tc>
          <w:tcPr>
            <w:tcW w:w="645" w:type="pct"/>
            <w:shd w:val="clear" w:color="auto" w:fill="auto"/>
          </w:tcPr>
          <w:p>
            <w:pPr>
              <w:adjustRightInd w:val="0"/>
              <w:snapToGrid w:val="0"/>
              <w:jc w:val="center"/>
              <w:rPr>
                <w:rFonts w:hint="eastAsia" w:asciiTheme="minorEastAsia" w:hAnsiTheme="minorEastAsia" w:cstheme="minorEastAsia"/>
                <w:color w:val="000000"/>
                <w:sz w:val="15"/>
                <w:szCs w:val="15"/>
              </w:rPr>
            </w:pPr>
            <w:r>
              <w:rPr>
                <w:rFonts w:hint="eastAsia" w:asciiTheme="minorEastAsia" w:hAnsiTheme="minorEastAsia" w:cstheme="minorEastAsia"/>
                <w:color w:val="000000"/>
                <w:sz w:val="15"/>
                <w:szCs w:val="15"/>
              </w:rPr>
              <w:t>—</w:t>
            </w:r>
          </w:p>
        </w:tc>
      </w:tr>
    </w:tbl>
    <w:p>
      <w:pPr>
        <w:widowControl/>
        <w:kinsoku w:val="0"/>
        <w:autoSpaceDE w:val="0"/>
        <w:autoSpaceDN w:val="0"/>
        <w:adjustRightInd w:val="0"/>
        <w:snapToGrid w:val="0"/>
        <w:spacing w:before="120" w:beforeLines="50" w:line="360" w:lineRule="auto"/>
        <w:textAlignment w:val="baseline"/>
        <w:rPr>
          <w:rFonts w:ascii="Times New Roman" w:hAnsi="Times New Roman" w:cs="Times New Roman"/>
          <w:snapToGrid w:val="0"/>
          <w:color w:val="000000"/>
          <w:kern w:val="0"/>
          <w:szCs w:val="21"/>
        </w:rPr>
      </w:pPr>
      <w:r>
        <w:rPr>
          <w:rFonts w:hint="eastAsia" w:ascii="黑体" w:hAnsi="黑体" w:eastAsia="黑体" w:cs="Times New Roman"/>
          <w:snapToGrid w:val="0"/>
          <w:color w:val="000000"/>
          <w:kern w:val="0"/>
          <w:szCs w:val="21"/>
        </w:rPr>
        <w:t>H</w:t>
      </w:r>
      <w:r>
        <w:rPr>
          <w:rFonts w:ascii="黑体" w:hAnsi="黑体" w:eastAsia="黑体" w:cs="Times New Roman"/>
          <w:snapToGrid w:val="0"/>
          <w:color w:val="000000"/>
          <w:kern w:val="0"/>
          <w:szCs w:val="21"/>
        </w:rPr>
        <w:t>.1.</w:t>
      </w:r>
      <w:r>
        <w:rPr>
          <w:rFonts w:hint="eastAsia" w:ascii="黑体" w:hAnsi="黑体" w:eastAsia="黑体" w:cs="Times New Roman"/>
          <w:snapToGrid w:val="0"/>
          <w:color w:val="000000"/>
          <w:kern w:val="0"/>
          <w:szCs w:val="21"/>
        </w:rPr>
        <w:t xml:space="preserve">4 </w:t>
      </w:r>
      <w:r>
        <w:rPr>
          <w:rFonts w:hint="eastAsia" w:ascii="Times New Roman" w:hAnsi="Times New Roman" w:cs="Times New Roman"/>
          <w:snapToGrid w:val="0"/>
          <w:color w:val="000000"/>
          <w:kern w:val="0"/>
          <w:szCs w:val="21"/>
        </w:rPr>
        <w:t xml:space="preserve"> </w:t>
      </w:r>
      <w:bookmarkStart w:id="232" w:name="OLE_LINK47"/>
      <w:r>
        <w:rPr>
          <w:rFonts w:hint="eastAsia" w:ascii="Times New Roman" w:hAnsi="Times New Roman" w:cs="Times New Roman"/>
          <w:snapToGrid w:val="0"/>
          <w:color w:val="000000"/>
          <w:kern w:val="0"/>
          <w:szCs w:val="21"/>
        </w:rPr>
        <w:t>发电机空载特性和三相稳态短路特性</w:t>
      </w:r>
      <w:bookmarkEnd w:id="232"/>
    </w:p>
    <w:p>
      <w:pPr>
        <w:widowControl/>
        <w:kinsoku w:val="0"/>
        <w:autoSpaceDE w:val="0"/>
        <w:autoSpaceDN w:val="0"/>
        <w:adjustRightInd w:val="0"/>
        <w:snapToGrid w:val="0"/>
        <w:spacing w:line="360" w:lineRule="auto"/>
        <w:ind w:firstLine="420" w:firstLineChars="200"/>
        <w:textAlignment w:val="baseline"/>
        <w:rPr>
          <w:rFonts w:ascii="Times New Roman" w:hAnsi="Times New Roman" w:cs="Times New Roman"/>
          <w:snapToGrid w:val="0"/>
          <w:color w:val="000000"/>
          <w:kern w:val="0"/>
          <w:szCs w:val="21"/>
        </w:rPr>
      </w:pPr>
      <w:r>
        <w:rPr>
          <w:rFonts w:hint="eastAsia" w:ascii="Times New Roman" w:hAnsi="Times New Roman" w:cs="Times New Roman"/>
          <w:snapToGrid w:val="0"/>
          <w:color w:val="000000"/>
          <w:kern w:val="0"/>
          <w:szCs w:val="21"/>
        </w:rPr>
        <w:t>容量为6MW及以上的同步发电机空载特性、三相稳态短路特性的试验周期和要求见表</w:t>
      </w:r>
      <w:r>
        <w:rPr>
          <w:rFonts w:hint="eastAsia" w:ascii="黑体" w:hAnsi="黑体" w:eastAsia="黑体" w:cs="Times New Roman"/>
          <w:snapToGrid w:val="0"/>
          <w:color w:val="000000"/>
          <w:kern w:val="0"/>
          <w:szCs w:val="21"/>
        </w:rPr>
        <w:t>H.1.3</w:t>
      </w:r>
      <w:r>
        <w:rPr>
          <w:rFonts w:hint="eastAsia" w:ascii="Times New Roman" w:hAnsi="Times New Roman" w:cs="Times New Roman"/>
          <w:snapToGrid w:val="0"/>
          <w:color w:val="000000"/>
          <w:kern w:val="0"/>
          <w:szCs w:val="21"/>
        </w:rPr>
        <w:t>，6MW以下者可参照执行。</w:t>
      </w:r>
    </w:p>
    <w:p>
      <w:pPr>
        <w:adjustRightInd w:val="0"/>
        <w:snapToGrid w:val="0"/>
        <w:ind w:right="-92" w:rightChars="-44"/>
        <w:jc w:val="center"/>
        <w:rPr>
          <w:rStyle w:val="28"/>
          <w:rFonts w:hint="eastAsia" w:ascii="黑体" w:hAnsi="黑体" w:eastAsia="黑体" w:cs="黑体"/>
          <w:b w:val="0"/>
          <w:bCs w:val="0"/>
          <w:sz w:val="18"/>
          <w:szCs w:val="18"/>
          <w:lang w:bidi="ar"/>
        </w:rPr>
      </w:pPr>
      <w:bookmarkStart w:id="233" w:name="OLE_LINK60"/>
      <w:r>
        <w:rPr>
          <w:rStyle w:val="28"/>
          <w:rFonts w:hint="eastAsia" w:ascii="黑体" w:hAnsi="黑体" w:eastAsia="黑体" w:cs="黑体"/>
          <w:b w:val="0"/>
          <w:bCs w:val="0"/>
          <w:sz w:val="18"/>
          <w:szCs w:val="18"/>
          <w:lang w:bidi="ar"/>
        </w:rPr>
        <w:t>表H.1.3  同步发电机空载特性和短路特性实验要求</w:t>
      </w:r>
      <w:bookmarkEnd w:id="233"/>
    </w:p>
    <w:tbl>
      <w:tblPr>
        <w:tblStyle w:val="20"/>
        <w:tblW w:w="0" w:type="auto"/>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704"/>
        <w:gridCol w:w="992"/>
        <w:gridCol w:w="1276"/>
        <w:gridCol w:w="3260"/>
        <w:gridCol w:w="2058"/>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704" w:type="dxa"/>
            <w:vAlign w:val="center"/>
          </w:tcPr>
          <w:p>
            <w:pPr>
              <w:widowControl/>
              <w:kinsoku w:val="0"/>
              <w:autoSpaceDE w:val="0"/>
              <w:autoSpaceDN w:val="0"/>
              <w:adjustRightInd w:val="0"/>
              <w:snapToGrid w:val="0"/>
              <w:spacing w:line="260" w:lineRule="exact"/>
              <w:jc w:val="center"/>
              <w:textAlignment w:val="baseline"/>
              <w:rPr>
                <w:rFonts w:hint="eastAsia" w:asciiTheme="minorEastAsia" w:hAnsiTheme="minorEastAsia" w:cstheme="minorEastAsia"/>
                <w:snapToGrid w:val="0"/>
                <w:color w:val="000000"/>
                <w:kern w:val="0"/>
                <w:sz w:val="15"/>
                <w:szCs w:val="15"/>
              </w:rPr>
            </w:pPr>
            <w:r>
              <w:rPr>
                <w:rFonts w:hint="eastAsia" w:asciiTheme="minorEastAsia" w:hAnsiTheme="minorEastAsia" w:cstheme="minorEastAsia"/>
                <w:snapToGrid w:val="0"/>
                <w:color w:val="000000"/>
                <w:kern w:val="0"/>
                <w:sz w:val="15"/>
                <w:szCs w:val="15"/>
              </w:rPr>
              <w:t>序号</w:t>
            </w:r>
          </w:p>
        </w:tc>
        <w:tc>
          <w:tcPr>
            <w:tcW w:w="992" w:type="dxa"/>
            <w:vAlign w:val="center"/>
          </w:tcPr>
          <w:p>
            <w:pPr>
              <w:widowControl/>
              <w:kinsoku w:val="0"/>
              <w:autoSpaceDE w:val="0"/>
              <w:autoSpaceDN w:val="0"/>
              <w:adjustRightInd w:val="0"/>
              <w:snapToGrid w:val="0"/>
              <w:spacing w:line="260" w:lineRule="exact"/>
              <w:jc w:val="center"/>
              <w:textAlignment w:val="baseline"/>
              <w:rPr>
                <w:rFonts w:hint="eastAsia" w:asciiTheme="minorEastAsia" w:hAnsiTheme="minorEastAsia" w:cstheme="minorEastAsia"/>
                <w:snapToGrid w:val="0"/>
                <w:color w:val="000000"/>
                <w:kern w:val="0"/>
                <w:sz w:val="15"/>
                <w:szCs w:val="15"/>
              </w:rPr>
            </w:pPr>
            <w:r>
              <w:rPr>
                <w:rFonts w:hint="eastAsia" w:asciiTheme="minorEastAsia" w:hAnsiTheme="minorEastAsia" w:cstheme="minorEastAsia"/>
                <w:snapToGrid w:val="0"/>
                <w:color w:val="000000"/>
                <w:kern w:val="0"/>
                <w:sz w:val="15"/>
                <w:szCs w:val="15"/>
              </w:rPr>
              <w:t>项目</w:t>
            </w:r>
          </w:p>
        </w:tc>
        <w:tc>
          <w:tcPr>
            <w:tcW w:w="1276" w:type="dxa"/>
            <w:vAlign w:val="center"/>
          </w:tcPr>
          <w:p>
            <w:pPr>
              <w:widowControl/>
              <w:kinsoku w:val="0"/>
              <w:autoSpaceDE w:val="0"/>
              <w:autoSpaceDN w:val="0"/>
              <w:adjustRightInd w:val="0"/>
              <w:snapToGrid w:val="0"/>
              <w:spacing w:line="260" w:lineRule="exact"/>
              <w:jc w:val="center"/>
              <w:textAlignment w:val="baseline"/>
              <w:rPr>
                <w:rFonts w:hint="eastAsia" w:asciiTheme="minorEastAsia" w:hAnsiTheme="minorEastAsia" w:cstheme="minorEastAsia"/>
                <w:snapToGrid w:val="0"/>
                <w:color w:val="000000"/>
                <w:kern w:val="0"/>
                <w:sz w:val="15"/>
                <w:szCs w:val="15"/>
              </w:rPr>
            </w:pPr>
            <w:r>
              <w:rPr>
                <w:rFonts w:hint="eastAsia" w:asciiTheme="minorEastAsia" w:hAnsiTheme="minorEastAsia" w:cstheme="minorEastAsia"/>
                <w:snapToGrid w:val="0"/>
                <w:color w:val="000000"/>
                <w:kern w:val="0"/>
                <w:sz w:val="15"/>
                <w:szCs w:val="15"/>
              </w:rPr>
              <w:t>周期</w:t>
            </w:r>
          </w:p>
        </w:tc>
        <w:tc>
          <w:tcPr>
            <w:tcW w:w="3260" w:type="dxa"/>
            <w:vAlign w:val="center"/>
          </w:tcPr>
          <w:p>
            <w:pPr>
              <w:widowControl/>
              <w:kinsoku w:val="0"/>
              <w:autoSpaceDE w:val="0"/>
              <w:autoSpaceDN w:val="0"/>
              <w:adjustRightInd w:val="0"/>
              <w:snapToGrid w:val="0"/>
              <w:spacing w:line="260" w:lineRule="exact"/>
              <w:jc w:val="center"/>
              <w:textAlignment w:val="baseline"/>
              <w:rPr>
                <w:rFonts w:hint="eastAsia" w:asciiTheme="minorEastAsia" w:hAnsiTheme="minorEastAsia" w:cstheme="minorEastAsia"/>
                <w:snapToGrid w:val="0"/>
                <w:color w:val="000000"/>
                <w:kern w:val="0"/>
                <w:sz w:val="15"/>
                <w:szCs w:val="15"/>
              </w:rPr>
            </w:pPr>
            <w:r>
              <w:rPr>
                <w:rFonts w:hint="eastAsia" w:asciiTheme="minorEastAsia" w:hAnsiTheme="minorEastAsia" w:cstheme="minorEastAsia"/>
                <w:snapToGrid w:val="0"/>
                <w:color w:val="000000"/>
                <w:kern w:val="0"/>
                <w:sz w:val="15"/>
                <w:szCs w:val="15"/>
              </w:rPr>
              <w:t>判据</w:t>
            </w:r>
          </w:p>
        </w:tc>
        <w:tc>
          <w:tcPr>
            <w:tcW w:w="2058" w:type="dxa"/>
            <w:vAlign w:val="center"/>
          </w:tcPr>
          <w:p>
            <w:pPr>
              <w:widowControl/>
              <w:kinsoku w:val="0"/>
              <w:autoSpaceDE w:val="0"/>
              <w:autoSpaceDN w:val="0"/>
              <w:adjustRightInd w:val="0"/>
              <w:snapToGrid w:val="0"/>
              <w:spacing w:line="260" w:lineRule="exact"/>
              <w:jc w:val="center"/>
              <w:textAlignment w:val="baseline"/>
              <w:rPr>
                <w:rFonts w:hint="eastAsia" w:asciiTheme="minorEastAsia" w:hAnsiTheme="minorEastAsia" w:cstheme="minorEastAsia"/>
                <w:snapToGrid w:val="0"/>
                <w:color w:val="000000"/>
                <w:kern w:val="0"/>
                <w:sz w:val="15"/>
                <w:szCs w:val="15"/>
              </w:rPr>
            </w:pPr>
            <w:r>
              <w:rPr>
                <w:rFonts w:hint="eastAsia" w:asciiTheme="minorEastAsia" w:hAnsiTheme="minorEastAsia" w:cstheme="minorEastAsia"/>
                <w:snapToGrid w:val="0"/>
                <w:color w:val="000000"/>
                <w:kern w:val="0"/>
                <w:sz w:val="15"/>
                <w:szCs w:val="15"/>
              </w:rPr>
              <w:t>方法及说明</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704" w:type="dxa"/>
            <w:vAlign w:val="center"/>
          </w:tcPr>
          <w:p>
            <w:pPr>
              <w:widowControl/>
              <w:kinsoku w:val="0"/>
              <w:autoSpaceDE w:val="0"/>
              <w:autoSpaceDN w:val="0"/>
              <w:adjustRightInd w:val="0"/>
              <w:snapToGrid w:val="0"/>
              <w:spacing w:line="260" w:lineRule="exact"/>
              <w:jc w:val="center"/>
              <w:textAlignment w:val="baseline"/>
              <w:rPr>
                <w:rFonts w:hint="eastAsia" w:asciiTheme="minorEastAsia" w:hAnsiTheme="minorEastAsia" w:cstheme="minorEastAsia"/>
                <w:snapToGrid w:val="0"/>
                <w:color w:val="000000"/>
                <w:kern w:val="0"/>
                <w:sz w:val="15"/>
                <w:szCs w:val="15"/>
              </w:rPr>
            </w:pPr>
            <w:r>
              <w:rPr>
                <w:rFonts w:hint="eastAsia" w:asciiTheme="minorEastAsia" w:hAnsiTheme="minorEastAsia" w:cstheme="minorEastAsia"/>
                <w:snapToGrid w:val="0"/>
                <w:color w:val="000000"/>
                <w:kern w:val="0"/>
                <w:sz w:val="15"/>
                <w:szCs w:val="15"/>
              </w:rPr>
              <w:t>1</w:t>
            </w:r>
          </w:p>
        </w:tc>
        <w:tc>
          <w:tcPr>
            <w:tcW w:w="992" w:type="dxa"/>
            <w:vAlign w:val="center"/>
          </w:tcPr>
          <w:p>
            <w:pPr>
              <w:widowControl/>
              <w:kinsoku w:val="0"/>
              <w:autoSpaceDE w:val="0"/>
              <w:autoSpaceDN w:val="0"/>
              <w:adjustRightInd w:val="0"/>
              <w:snapToGrid w:val="0"/>
              <w:spacing w:line="260" w:lineRule="exact"/>
              <w:textAlignment w:val="baseline"/>
              <w:rPr>
                <w:rFonts w:hint="eastAsia" w:asciiTheme="minorEastAsia" w:hAnsiTheme="minorEastAsia" w:cstheme="minorEastAsia"/>
                <w:snapToGrid w:val="0"/>
                <w:color w:val="000000"/>
                <w:kern w:val="0"/>
                <w:sz w:val="15"/>
                <w:szCs w:val="15"/>
              </w:rPr>
            </w:pPr>
            <w:r>
              <w:rPr>
                <w:rFonts w:hint="eastAsia" w:asciiTheme="minorEastAsia" w:hAnsiTheme="minorEastAsia" w:cstheme="minorEastAsia"/>
                <w:color w:val="000000"/>
                <w:kern w:val="0"/>
                <w:sz w:val="15"/>
                <w:szCs w:val="15"/>
                <w:lang w:bidi="ar"/>
              </w:rPr>
              <w:t>空载特性</w:t>
            </w:r>
          </w:p>
        </w:tc>
        <w:tc>
          <w:tcPr>
            <w:tcW w:w="1276" w:type="dxa"/>
            <w:vAlign w:val="center"/>
          </w:tcPr>
          <w:p>
            <w:pPr>
              <w:widowControl/>
              <w:kinsoku w:val="0"/>
              <w:autoSpaceDE w:val="0"/>
              <w:autoSpaceDN w:val="0"/>
              <w:adjustRightInd w:val="0"/>
              <w:snapToGrid w:val="0"/>
              <w:spacing w:line="260" w:lineRule="exact"/>
              <w:textAlignment w:val="baseline"/>
              <w:rPr>
                <w:rFonts w:hint="eastAsia" w:asciiTheme="minorEastAsia" w:hAnsiTheme="minorEastAsia" w:cstheme="minorEastAsia"/>
                <w:color w:val="000000"/>
                <w:kern w:val="0"/>
                <w:sz w:val="15"/>
                <w:szCs w:val="15"/>
                <w:lang w:bidi="ar"/>
              </w:rPr>
            </w:pPr>
            <w:r>
              <w:rPr>
                <w:rFonts w:hint="eastAsia" w:asciiTheme="minorEastAsia" w:hAnsiTheme="minorEastAsia" w:cstheme="minorEastAsia"/>
                <w:color w:val="000000"/>
                <w:kern w:val="0"/>
                <w:sz w:val="15"/>
                <w:szCs w:val="15"/>
                <w:lang w:bidi="ar"/>
              </w:rPr>
              <w:t>1)A级检修后</w:t>
            </w:r>
          </w:p>
          <w:p>
            <w:pPr>
              <w:widowControl/>
              <w:kinsoku w:val="0"/>
              <w:autoSpaceDE w:val="0"/>
              <w:autoSpaceDN w:val="0"/>
              <w:adjustRightInd w:val="0"/>
              <w:snapToGrid w:val="0"/>
              <w:spacing w:line="260" w:lineRule="exact"/>
              <w:textAlignment w:val="baseline"/>
              <w:rPr>
                <w:rFonts w:hint="eastAsia" w:asciiTheme="minorEastAsia" w:hAnsiTheme="minorEastAsia" w:cstheme="minorEastAsia"/>
                <w:snapToGrid w:val="0"/>
                <w:color w:val="000000"/>
                <w:kern w:val="0"/>
                <w:sz w:val="15"/>
                <w:szCs w:val="15"/>
              </w:rPr>
            </w:pPr>
            <w:r>
              <w:rPr>
                <w:rFonts w:hint="eastAsia" w:asciiTheme="minorEastAsia" w:hAnsiTheme="minorEastAsia" w:cstheme="minorEastAsia"/>
                <w:color w:val="000000"/>
                <w:kern w:val="0"/>
                <w:sz w:val="15"/>
                <w:szCs w:val="15"/>
                <w:lang w:bidi="ar"/>
              </w:rPr>
              <w:t>2)更换绕组后</w:t>
            </w:r>
          </w:p>
        </w:tc>
        <w:tc>
          <w:tcPr>
            <w:tcW w:w="3260" w:type="dxa"/>
            <w:vAlign w:val="center"/>
          </w:tcPr>
          <w:p>
            <w:pPr>
              <w:widowControl/>
              <w:kinsoku w:val="0"/>
              <w:autoSpaceDE w:val="0"/>
              <w:autoSpaceDN w:val="0"/>
              <w:adjustRightInd w:val="0"/>
              <w:snapToGrid w:val="0"/>
              <w:spacing w:line="260" w:lineRule="exact"/>
              <w:textAlignment w:val="baseline"/>
              <w:rPr>
                <w:rFonts w:hint="eastAsia" w:asciiTheme="minorEastAsia" w:hAnsiTheme="minorEastAsia" w:cstheme="minorEastAsia"/>
                <w:color w:val="000000"/>
                <w:kern w:val="0"/>
                <w:sz w:val="15"/>
                <w:szCs w:val="15"/>
                <w:lang w:bidi="ar"/>
              </w:rPr>
            </w:pPr>
            <w:r>
              <w:rPr>
                <w:rFonts w:hint="eastAsia" w:asciiTheme="minorEastAsia" w:hAnsiTheme="minorEastAsia" w:cstheme="minorEastAsia"/>
                <w:color w:val="000000"/>
                <w:kern w:val="0"/>
                <w:sz w:val="15"/>
                <w:szCs w:val="15"/>
                <w:lang w:bidi="ar"/>
              </w:rPr>
              <w:t>1)与制造厂(或以前测得的)数据比较，应在测量误差的范围以内；</w:t>
            </w:r>
          </w:p>
          <w:p>
            <w:pPr>
              <w:widowControl/>
              <w:kinsoku w:val="0"/>
              <w:autoSpaceDE w:val="0"/>
              <w:autoSpaceDN w:val="0"/>
              <w:adjustRightInd w:val="0"/>
              <w:snapToGrid w:val="0"/>
              <w:spacing w:line="260" w:lineRule="exact"/>
              <w:textAlignment w:val="baseline"/>
              <w:rPr>
                <w:rFonts w:hint="eastAsia" w:asciiTheme="minorEastAsia" w:hAnsiTheme="minorEastAsia" w:cstheme="minorEastAsia"/>
                <w:color w:val="000000"/>
                <w:kern w:val="0"/>
                <w:sz w:val="15"/>
                <w:szCs w:val="15"/>
                <w:lang w:bidi="ar"/>
              </w:rPr>
            </w:pPr>
            <w:r>
              <w:rPr>
                <w:rFonts w:hint="eastAsia" w:asciiTheme="minorEastAsia" w:hAnsiTheme="minorEastAsia" w:cstheme="minorEastAsia"/>
                <w:color w:val="000000"/>
                <w:kern w:val="0"/>
                <w:sz w:val="15"/>
                <w:szCs w:val="15"/>
                <w:lang w:bidi="ar"/>
              </w:rPr>
              <w:t>2)在额定转速下的定子电压最高值：水轮发电机为1.3U</w:t>
            </w:r>
            <w:r>
              <w:rPr>
                <w:rFonts w:hint="eastAsia" w:asciiTheme="minorEastAsia" w:hAnsiTheme="minorEastAsia" w:cstheme="minorEastAsia"/>
                <w:color w:val="000000"/>
                <w:kern w:val="0"/>
                <w:sz w:val="15"/>
                <w:szCs w:val="15"/>
                <w:vertAlign w:val="subscript"/>
                <w:lang w:bidi="ar"/>
              </w:rPr>
              <w:t>N</w:t>
            </w:r>
            <w:r>
              <w:rPr>
                <w:rFonts w:hint="eastAsia" w:asciiTheme="minorEastAsia" w:hAnsiTheme="minorEastAsia" w:cstheme="minorEastAsia"/>
                <w:color w:val="000000"/>
                <w:kern w:val="0"/>
                <w:sz w:val="15"/>
                <w:szCs w:val="15"/>
                <w:lang w:bidi="ar"/>
              </w:rPr>
              <w:t>(带变压器时为1.05 UN,以不超过额定励磁电流为限)；</w:t>
            </w:r>
          </w:p>
          <w:p>
            <w:pPr>
              <w:widowControl/>
              <w:kinsoku w:val="0"/>
              <w:autoSpaceDE w:val="0"/>
              <w:autoSpaceDN w:val="0"/>
              <w:adjustRightInd w:val="0"/>
              <w:snapToGrid w:val="0"/>
              <w:spacing w:line="260" w:lineRule="exact"/>
              <w:textAlignment w:val="baseline"/>
              <w:rPr>
                <w:rFonts w:hint="eastAsia" w:asciiTheme="minorEastAsia" w:hAnsiTheme="minorEastAsia" w:cstheme="minorEastAsia"/>
                <w:snapToGrid w:val="0"/>
                <w:color w:val="000000"/>
                <w:kern w:val="0"/>
                <w:sz w:val="15"/>
                <w:szCs w:val="15"/>
              </w:rPr>
            </w:pPr>
            <w:r>
              <w:rPr>
                <w:rFonts w:hint="eastAsia" w:asciiTheme="minorEastAsia" w:hAnsiTheme="minorEastAsia" w:cstheme="minorEastAsia"/>
                <w:color w:val="000000"/>
                <w:kern w:val="0"/>
                <w:sz w:val="15"/>
                <w:szCs w:val="15"/>
                <w:lang w:bidi="ar"/>
              </w:rPr>
              <w:t>3)对于有匝间绝缘的电机最高电压为1.3U</w:t>
            </w:r>
            <w:r>
              <w:rPr>
                <w:rFonts w:hint="eastAsia" w:asciiTheme="minorEastAsia" w:hAnsiTheme="minorEastAsia" w:cstheme="minorEastAsia"/>
                <w:color w:val="000000"/>
                <w:kern w:val="0"/>
                <w:sz w:val="15"/>
                <w:szCs w:val="15"/>
                <w:vertAlign w:val="subscript"/>
                <w:lang w:bidi="ar"/>
              </w:rPr>
              <w:t>N</w:t>
            </w:r>
            <w:r>
              <w:rPr>
                <w:rFonts w:hint="eastAsia" w:asciiTheme="minorEastAsia" w:hAnsiTheme="minorEastAsia" w:cstheme="minorEastAsia"/>
                <w:color w:val="000000"/>
                <w:kern w:val="0"/>
                <w:sz w:val="15"/>
                <w:szCs w:val="15"/>
                <w:lang w:bidi="ar"/>
              </w:rPr>
              <w:t>,持续时间为5min。</w:t>
            </w:r>
          </w:p>
        </w:tc>
        <w:tc>
          <w:tcPr>
            <w:tcW w:w="2058" w:type="dxa"/>
            <w:vAlign w:val="center"/>
          </w:tcPr>
          <w:p>
            <w:pPr>
              <w:widowControl/>
              <w:kinsoku w:val="0"/>
              <w:autoSpaceDE w:val="0"/>
              <w:autoSpaceDN w:val="0"/>
              <w:adjustRightInd w:val="0"/>
              <w:snapToGrid w:val="0"/>
              <w:spacing w:line="260" w:lineRule="exact"/>
              <w:textAlignment w:val="baseline"/>
              <w:rPr>
                <w:rFonts w:hint="eastAsia" w:asciiTheme="minorEastAsia" w:hAnsiTheme="minorEastAsia" w:cstheme="minorEastAsia"/>
                <w:snapToGrid w:val="0"/>
                <w:color w:val="000000"/>
                <w:kern w:val="0"/>
                <w:sz w:val="15"/>
                <w:szCs w:val="15"/>
              </w:rPr>
            </w:pPr>
            <w:r>
              <w:rPr>
                <w:rFonts w:hint="eastAsia" w:asciiTheme="minorEastAsia" w:hAnsiTheme="minorEastAsia" w:cstheme="minorEastAsia"/>
                <w:color w:val="000000"/>
                <w:kern w:val="0"/>
                <w:sz w:val="15"/>
                <w:szCs w:val="15"/>
                <w:lang w:bidi="ar"/>
              </w:rPr>
              <w:t>对于发电机变压器组，可只做带主变压器的整组空载特性试验。</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704" w:type="dxa"/>
            <w:vAlign w:val="center"/>
          </w:tcPr>
          <w:p>
            <w:pPr>
              <w:widowControl/>
              <w:kinsoku w:val="0"/>
              <w:autoSpaceDE w:val="0"/>
              <w:autoSpaceDN w:val="0"/>
              <w:adjustRightInd w:val="0"/>
              <w:snapToGrid w:val="0"/>
              <w:spacing w:line="260" w:lineRule="exact"/>
              <w:jc w:val="center"/>
              <w:textAlignment w:val="baseline"/>
              <w:rPr>
                <w:rFonts w:hint="eastAsia" w:asciiTheme="minorEastAsia" w:hAnsiTheme="minorEastAsia" w:cstheme="minorEastAsia"/>
                <w:snapToGrid w:val="0"/>
                <w:color w:val="000000"/>
                <w:kern w:val="0"/>
                <w:sz w:val="15"/>
                <w:szCs w:val="15"/>
              </w:rPr>
            </w:pPr>
            <w:r>
              <w:rPr>
                <w:rFonts w:hint="eastAsia" w:asciiTheme="minorEastAsia" w:hAnsiTheme="minorEastAsia" w:cstheme="minorEastAsia"/>
                <w:snapToGrid w:val="0"/>
                <w:color w:val="000000"/>
                <w:kern w:val="0"/>
                <w:sz w:val="15"/>
                <w:szCs w:val="15"/>
              </w:rPr>
              <w:t>2</w:t>
            </w:r>
          </w:p>
        </w:tc>
        <w:tc>
          <w:tcPr>
            <w:tcW w:w="992" w:type="dxa"/>
            <w:vAlign w:val="center"/>
          </w:tcPr>
          <w:p>
            <w:pPr>
              <w:widowControl/>
              <w:kinsoku w:val="0"/>
              <w:autoSpaceDE w:val="0"/>
              <w:autoSpaceDN w:val="0"/>
              <w:adjustRightInd w:val="0"/>
              <w:snapToGrid w:val="0"/>
              <w:spacing w:line="260" w:lineRule="exact"/>
              <w:textAlignment w:val="baseline"/>
              <w:rPr>
                <w:rFonts w:hint="eastAsia" w:asciiTheme="minorEastAsia" w:hAnsiTheme="minorEastAsia" w:cstheme="minorEastAsia"/>
                <w:snapToGrid w:val="0"/>
                <w:color w:val="000000"/>
                <w:kern w:val="0"/>
                <w:sz w:val="15"/>
                <w:szCs w:val="15"/>
              </w:rPr>
            </w:pPr>
            <w:r>
              <w:rPr>
                <w:rFonts w:hint="eastAsia" w:asciiTheme="minorEastAsia" w:hAnsiTheme="minorEastAsia" w:cstheme="minorEastAsia"/>
                <w:color w:val="000000"/>
                <w:kern w:val="0"/>
                <w:sz w:val="15"/>
                <w:szCs w:val="15"/>
                <w:lang w:bidi="ar"/>
              </w:rPr>
              <w:t>三相稳定短路特性</w:t>
            </w:r>
          </w:p>
        </w:tc>
        <w:tc>
          <w:tcPr>
            <w:tcW w:w="1276" w:type="dxa"/>
            <w:vAlign w:val="center"/>
          </w:tcPr>
          <w:p>
            <w:pPr>
              <w:widowControl/>
              <w:kinsoku w:val="0"/>
              <w:autoSpaceDE w:val="0"/>
              <w:autoSpaceDN w:val="0"/>
              <w:adjustRightInd w:val="0"/>
              <w:snapToGrid w:val="0"/>
              <w:spacing w:line="260" w:lineRule="exact"/>
              <w:textAlignment w:val="baseline"/>
              <w:rPr>
                <w:rFonts w:hint="eastAsia" w:asciiTheme="minorEastAsia" w:hAnsiTheme="minorEastAsia" w:cstheme="minorEastAsia"/>
                <w:snapToGrid w:val="0"/>
                <w:color w:val="000000"/>
                <w:kern w:val="0"/>
                <w:sz w:val="15"/>
                <w:szCs w:val="15"/>
              </w:rPr>
            </w:pPr>
            <w:r>
              <w:rPr>
                <w:rFonts w:hint="eastAsia" w:asciiTheme="minorEastAsia" w:hAnsiTheme="minorEastAsia" w:cstheme="minorEastAsia"/>
                <w:color w:val="000000"/>
                <w:kern w:val="0"/>
                <w:sz w:val="15"/>
                <w:szCs w:val="15"/>
                <w:lang w:bidi="ar"/>
              </w:rPr>
              <w:t>1)更换绕组后</w:t>
            </w:r>
          </w:p>
        </w:tc>
        <w:tc>
          <w:tcPr>
            <w:tcW w:w="3260" w:type="dxa"/>
            <w:vAlign w:val="center"/>
          </w:tcPr>
          <w:p>
            <w:pPr>
              <w:widowControl/>
              <w:kinsoku w:val="0"/>
              <w:autoSpaceDE w:val="0"/>
              <w:autoSpaceDN w:val="0"/>
              <w:adjustRightInd w:val="0"/>
              <w:snapToGrid w:val="0"/>
              <w:spacing w:line="260" w:lineRule="exact"/>
              <w:textAlignment w:val="baseline"/>
              <w:rPr>
                <w:rFonts w:hint="eastAsia" w:asciiTheme="minorEastAsia" w:hAnsiTheme="minorEastAsia" w:cstheme="minorEastAsia"/>
                <w:snapToGrid w:val="0"/>
                <w:color w:val="000000"/>
                <w:kern w:val="0"/>
                <w:sz w:val="15"/>
                <w:szCs w:val="15"/>
              </w:rPr>
            </w:pPr>
            <w:r>
              <w:rPr>
                <w:rFonts w:hint="eastAsia" w:asciiTheme="minorEastAsia" w:hAnsiTheme="minorEastAsia" w:cstheme="minorEastAsia"/>
                <w:color w:val="000000"/>
                <w:kern w:val="0"/>
                <w:sz w:val="15"/>
                <w:szCs w:val="15"/>
                <w:lang w:bidi="ar"/>
              </w:rPr>
              <w:t>与制造厂出厂(或以前测得的)数据比较，其差别应在测量误差的范围以内。</w:t>
            </w:r>
          </w:p>
        </w:tc>
        <w:tc>
          <w:tcPr>
            <w:tcW w:w="2058" w:type="dxa"/>
            <w:vAlign w:val="center"/>
          </w:tcPr>
          <w:p>
            <w:pPr>
              <w:widowControl/>
              <w:kinsoku w:val="0"/>
              <w:autoSpaceDE w:val="0"/>
              <w:autoSpaceDN w:val="0"/>
              <w:adjustRightInd w:val="0"/>
              <w:snapToGrid w:val="0"/>
              <w:spacing w:line="260" w:lineRule="exact"/>
              <w:textAlignment w:val="baseline"/>
              <w:rPr>
                <w:rFonts w:hint="eastAsia" w:asciiTheme="minorEastAsia" w:hAnsiTheme="minorEastAsia" w:cstheme="minorEastAsia"/>
                <w:color w:val="000000"/>
                <w:kern w:val="0"/>
                <w:sz w:val="15"/>
                <w:szCs w:val="15"/>
                <w:lang w:bidi="ar"/>
              </w:rPr>
            </w:pPr>
            <w:r>
              <w:rPr>
                <w:rFonts w:hint="eastAsia" w:asciiTheme="minorEastAsia" w:hAnsiTheme="minorEastAsia" w:cstheme="minorEastAsia"/>
                <w:color w:val="000000"/>
                <w:kern w:val="0"/>
                <w:sz w:val="15"/>
                <w:szCs w:val="15"/>
                <w:lang w:bidi="ar"/>
              </w:rPr>
              <w:t>1)对于发电机变压器组，可只做带主变压器的整组短路特性试验；</w:t>
            </w:r>
          </w:p>
          <w:p>
            <w:pPr>
              <w:widowControl/>
              <w:kinsoku w:val="0"/>
              <w:autoSpaceDE w:val="0"/>
              <w:autoSpaceDN w:val="0"/>
              <w:adjustRightInd w:val="0"/>
              <w:snapToGrid w:val="0"/>
              <w:spacing w:line="260" w:lineRule="exact"/>
              <w:textAlignment w:val="baseline"/>
              <w:rPr>
                <w:rFonts w:hint="eastAsia" w:asciiTheme="minorEastAsia" w:hAnsiTheme="minorEastAsia" w:cstheme="minorEastAsia"/>
                <w:snapToGrid w:val="0"/>
                <w:color w:val="000000"/>
                <w:kern w:val="0"/>
                <w:sz w:val="15"/>
                <w:szCs w:val="15"/>
              </w:rPr>
            </w:pPr>
            <w:r>
              <w:rPr>
                <w:rFonts w:hint="eastAsia" w:asciiTheme="minorEastAsia" w:hAnsiTheme="minorEastAsia" w:cstheme="minorEastAsia"/>
                <w:color w:val="000000"/>
                <w:kern w:val="0"/>
                <w:sz w:val="15"/>
                <w:szCs w:val="15"/>
                <w:lang w:bidi="ar"/>
              </w:rPr>
              <w:t>2)最大短路电流不低于额定电流。</w:t>
            </w:r>
          </w:p>
        </w:tc>
      </w:tr>
    </w:tbl>
    <w:p>
      <w:pPr>
        <w:widowControl/>
        <w:kinsoku w:val="0"/>
        <w:autoSpaceDE w:val="0"/>
        <w:autoSpaceDN w:val="0"/>
        <w:adjustRightInd w:val="0"/>
        <w:snapToGrid w:val="0"/>
        <w:spacing w:line="360" w:lineRule="auto"/>
        <w:textAlignment w:val="baseline"/>
        <w:rPr>
          <w:rFonts w:ascii="Times New Roman" w:hAnsi="Times New Roman" w:cs="Times New Roman"/>
          <w:snapToGrid w:val="0"/>
          <w:color w:val="000000"/>
          <w:kern w:val="0"/>
          <w:szCs w:val="21"/>
        </w:rPr>
      </w:pPr>
    </w:p>
    <w:p>
      <w:pPr>
        <w:pStyle w:val="3"/>
        <w:snapToGrid w:val="0"/>
        <w:spacing w:beforeLines="50" w:afterLines="50" w:line="360" w:lineRule="auto"/>
        <w:jc w:val="center"/>
        <w:rPr>
          <w:rFonts w:ascii="黑体" w:hAnsi="黑体" w:cs="黑体"/>
          <w:sz w:val="24"/>
          <w:szCs w:val="24"/>
        </w:rPr>
      </w:pPr>
      <w:bookmarkStart w:id="234" w:name="_Toc17684"/>
      <w:bookmarkStart w:id="235" w:name="_Toc16378"/>
      <w:bookmarkStart w:id="236" w:name="_Toc6905"/>
      <w:r>
        <w:rPr>
          <w:rFonts w:ascii="黑体" w:hAnsi="黑体" w:cs="黑体"/>
          <w:sz w:val="24"/>
          <w:szCs w:val="24"/>
        </w:rPr>
        <w:t>H.2   水泵机组</w:t>
      </w:r>
      <w:bookmarkEnd w:id="234"/>
      <w:bookmarkEnd w:id="235"/>
      <w:bookmarkEnd w:id="236"/>
    </w:p>
    <w:p>
      <w:pPr>
        <w:widowControl/>
        <w:kinsoku w:val="0"/>
        <w:autoSpaceDE w:val="0"/>
        <w:autoSpaceDN w:val="0"/>
        <w:adjustRightInd w:val="0"/>
        <w:snapToGrid w:val="0"/>
        <w:spacing w:line="360" w:lineRule="auto"/>
        <w:textAlignment w:val="baseline"/>
        <w:rPr>
          <w:rFonts w:ascii="Times New Roman" w:hAnsi="Times New Roman" w:cs="Times New Roman"/>
          <w:snapToGrid w:val="0"/>
          <w:color w:val="000000"/>
          <w:kern w:val="0"/>
          <w:szCs w:val="21"/>
        </w:rPr>
      </w:pPr>
      <w:bookmarkStart w:id="237" w:name="OLE_LINK66"/>
      <w:r>
        <w:rPr>
          <w:rFonts w:hint="eastAsia" w:ascii="黑体" w:hAnsi="黑体" w:eastAsia="黑体" w:cs="Times New Roman"/>
          <w:snapToGrid w:val="0"/>
          <w:color w:val="000000"/>
          <w:kern w:val="0"/>
          <w:szCs w:val="21"/>
        </w:rPr>
        <w:t>H.2.1</w:t>
      </w:r>
      <w:r>
        <w:rPr>
          <w:rFonts w:hint="eastAsia" w:ascii="Times New Roman" w:hAnsi="Times New Roman" w:cs="Times New Roman"/>
          <w:snapToGrid w:val="0"/>
          <w:color w:val="000000"/>
          <w:kern w:val="0"/>
          <w:szCs w:val="21"/>
        </w:rPr>
        <w:t xml:space="preserve">  泵的振动评价</w:t>
      </w:r>
    </w:p>
    <w:bookmarkEnd w:id="237"/>
    <w:p>
      <w:pPr>
        <w:widowControl/>
        <w:kinsoku w:val="0"/>
        <w:autoSpaceDE w:val="0"/>
        <w:autoSpaceDN w:val="0"/>
        <w:adjustRightInd w:val="0"/>
        <w:snapToGrid w:val="0"/>
        <w:spacing w:line="360" w:lineRule="auto"/>
        <w:textAlignment w:val="baseline"/>
        <w:rPr>
          <w:rFonts w:ascii="Times New Roman" w:hAnsi="Times New Roman" w:cs="Times New Roman"/>
          <w:snapToGrid w:val="0"/>
          <w:color w:val="000000"/>
          <w:kern w:val="0"/>
          <w:szCs w:val="21"/>
        </w:rPr>
      </w:pPr>
      <w:r>
        <w:rPr>
          <w:rFonts w:hint="eastAsia" w:ascii="黑体" w:hAnsi="黑体" w:eastAsia="黑体" w:cs="Times New Roman"/>
          <w:snapToGrid w:val="0"/>
          <w:color w:val="000000"/>
          <w:kern w:val="0"/>
          <w:szCs w:val="21"/>
        </w:rPr>
        <w:t>H.2.1.1</w:t>
      </w:r>
      <w:r>
        <w:rPr>
          <w:rFonts w:ascii="Times New Roman" w:hAnsi="Times New Roman" w:cs="Times New Roman"/>
          <w:snapToGrid w:val="0"/>
          <w:color w:val="000000"/>
          <w:kern w:val="0"/>
          <w:szCs w:val="21"/>
        </w:rPr>
        <w:t xml:space="preserve">  泵的振动级别分别为A、B、C、D四级，D 为不合格。</w:t>
      </w:r>
    </w:p>
    <w:p>
      <w:pPr>
        <w:widowControl/>
        <w:kinsoku w:val="0"/>
        <w:autoSpaceDE w:val="0"/>
        <w:autoSpaceDN w:val="0"/>
        <w:adjustRightInd w:val="0"/>
        <w:snapToGrid w:val="0"/>
        <w:spacing w:line="360" w:lineRule="auto"/>
        <w:textAlignment w:val="baseline"/>
        <w:rPr>
          <w:rFonts w:ascii="Times New Roman" w:hAnsi="Times New Roman" w:cs="Times New Roman"/>
          <w:snapToGrid w:val="0"/>
          <w:color w:val="000000"/>
          <w:kern w:val="0"/>
          <w:szCs w:val="21"/>
        </w:rPr>
      </w:pPr>
      <w:bookmarkStart w:id="238" w:name="OLE_LINK58"/>
      <w:r>
        <w:rPr>
          <w:rFonts w:hint="eastAsia" w:ascii="黑体" w:hAnsi="黑体" w:eastAsia="黑体" w:cs="Times New Roman"/>
          <w:snapToGrid w:val="0"/>
          <w:color w:val="000000"/>
          <w:kern w:val="0"/>
          <w:szCs w:val="21"/>
        </w:rPr>
        <w:t>H.2.1.2</w:t>
      </w:r>
      <w:r>
        <w:rPr>
          <w:rFonts w:hint="eastAsia" w:ascii="Times New Roman" w:hAnsi="Times New Roman" w:cs="Times New Roman"/>
          <w:snapToGrid w:val="0"/>
          <w:color w:val="000000"/>
          <w:kern w:val="0"/>
          <w:szCs w:val="21"/>
        </w:rPr>
        <w:t xml:space="preserve">  </w:t>
      </w:r>
      <w:bookmarkEnd w:id="238"/>
      <w:r>
        <w:rPr>
          <w:rFonts w:ascii="Times New Roman" w:hAnsi="Times New Roman" w:cs="Times New Roman"/>
          <w:snapToGrid w:val="0"/>
          <w:color w:val="000000"/>
          <w:kern w:val="0"/>
          <w:szCs w:val="21"/>
        </w:rPr>
        <w:t>泵的振动级别评价方法先按泵的中心高和转速查表</w:t>
      </w:r>
      <w:r>
        <w:rPr>
          <w:rFonts w:hint="eastAsia" w:ascii="Times New Roman" w:hAnsi="Times New Roman" w:cs="Times New Roman"/>
          <w:snapToGrid w:val="0"/>
          <w:color w:val="000000"/>
          <w:kern w:val="0"/>
          <w:szCs w:val="21"/>
        </w:rPr>
        <w:t>H.</w:t>
      </w:r>
      <w:r>
        <w:rPr>
          <w:rFonts w:ascii="Times New Roman" w:hAnsi="Times New Roman" w:cs="Times New Roman"/>
          <w:snapToGrid w:val="0"/>
          <w:color w:val="000000"/>
          <w:kern w:val="0"/>
          <w:szCs w:val="21"/>
        </w:rPr>
        <w:t>2</w:t>
      </w:r>
      <w:r>
        <w:rPr>
          <w:rFonts w:hint="eastAsia" w:ascii="Times New Roman" w:hAnsi="Times New Roman" w:cs="Times New Roman"/>
          <w:snapToGrid w:val="0"/>
          <w:color w:val="000000"/>
          <w:kern w:val="0"/>
          <w:szCs w:val="21"/>
        </w:rPr>
        <w:t>.1</w:t>
      </w:r>
      <w:r>
        <w:rPr>
          <w:rFonts w:ascii="Times New Roman" w:hAnsi="Times New Roman" w:cs="Times New Roman"/>
          <w:snapToGrid w:val="0"/>
          <w:color w:val="000000"/>
          <w:kern w:val="0"/>
          <w:szCs w:val="21"/>
        </w:rPr>
        <w:t>确定泵的类别，再按泵振动烈度级和类别查表</w:t>
      </w:r>
      <w:bookmarkStart w:id="239" w:name="OLE_LINK59"/>
      <w:r>
        <w:rPr>
          <w:rFonts w:hint="eastAsia" w:ascii="Times New Roman" w:hAnsi="Times New Roman" w:cs="Times New Roman"/>
          <w:snapToGrid w:val="0"/>
          <w:color w:val="000000"/>
          <w:kern w:val="0"/>
          <w:szCs w:val="21"/>
        </w:rPr>
        <w:t>H.2.2</w:t>
      </w:r>
      <w:bookmarkEnd w:id="239"/>
      <w:r>
        <w:rPr>
          <w:rFonts w:ascii="Times New Roman" w:hAnsi="Times New Roman" w:cs="Times New Roman"/>
          <w:snapToGrid w:val="0"/>
          <w:color w:val="000000"/>
          <w:kern w:val="0"/>
          <w:szCs w:val="21"/>
        </w:rPr>
        <w:t>评价泵的振动级别。</w:t>
      </w:r>
    </w:p>
    <w:p>
      <w:pPr>
        <w:widowControl/>
        <w:kinsoku w:val="0"/>
        <w:autoSpaceDE w:val="0"/>
        <w:autoSpaceDN w:val="0"/>
        <w:adjustRightInd w:val="0"/>
        <w:snapToGrid w:val="0"/>
        <w:spacing w:line="360" w:lineRule="auto"/>
        <w:textAlignment w:val="baseline"/>
        <w:rPr>
          <w:rFonts w:ascii="Times New Roman" w:hAnsi="Times New Roman" w:cs="Times New Roman"/>
          <w:snapToGrid w:val="0"/>
          <w:color w:val="000000"/>
          <w:kern w:val="0"/>
          <w:szCs w:val="21"/>
        </w:rPr>
      </w:pPr>
      <w:r>
        <w:rPr>
          <w:rFonts w:hint="eastAsia" w:ascii="黑体" w:hAnsi="黑体" w:eastAsia="黑体" w:cs="Times New Roman"/>
          <w:snapToGrid w:val="0"/>
          <w:color w:val="000000"/>
          <w:kern w:val="0"/>
          <w:szCs w:val="21"/>
        </w:rPr>
        <w:t>H</w:t>
      </w:r>
      <w:r>
        <w:rPr>
          <w:rFonts w:ascii="黑体" w:hAnsi="黑体" w:eastAsia="黑体" w:cs="Times New Roman"/>
          <w:snapToGrid w:val="0"/>
          <w:color w:val="000000"/>
          <w:kern w:val="0"/>
          <w:szCs w:val="21"/>
        </w:rPr>
        <w:t>.2.1.</w:t>
      </w:r>
      <w:r>
        <w:rPr>
          <w:rFonts w:hint="eastAsia" w:ascii="黑体" w:hAnsi="黑体" w:eastAsia="黑体" w:cs="Times New Roman"/>
          <w:snapToGrid w:val="0"/>
          <w:color w:val="000000"/>
          <w:kern w:val="0"/>
          <w:szCs w:val="21"/>
        </w:rPr>
        <w:t>3</w:t>
      </w:r>
      <w:bookmarkStart w:id="240" w:name="OLE_LINK68"/>
      <w:r>
        <w:rPr>
          <w:rFonts w:ascii="Times New Roman" w:hAnsi="Times New Roman" w:cs="Times New Roman"/>
          <w:snapToGrid w:val="0"/>
          <w:color w:val="000000"/>
          <w:kern w:val="0"/>
          <w:szCs w:val="21"/>
        </w:rPr>
        <w:t xml:space="preserve">  </w:t>
      </w:r>
      <w:bookmarkEnd w:id="240"/>
      <w:r>
        <w:rPr>
          <w:rFonts w:ascii="Times New Roman" w:hAnsi="Times New Roman" w:cs="Times New Roman"/>
          <w:snapToGrid w:val="0"/>
          <w:color w:val="000000"/>
          <w:kern w:val="0"/>
          <w:szCs w:val="21"/>
        </w:rPr>
        <w:t>杂质泵的振动评价方法</w:t>
      </w:r>
      <w:r>
        <w:rPr>
          <w:rFonts w:hint="eastAsia" w:ascii="Times New Roman" w:hAnsi="Times New Roman" w:cs="Times New Roman"/>
          <w:snapToGrid w:val="0"/>
          <w:color w:val="000000"/>
          <w:kern w:val="0"/>
          <w:szCs w:val="21"/>
        </w:rPr>
        <w:t>，</w:t>
      </w:r>
      <w:r>
        <w:rPr>
          <w:rFonts w:ascii="Times New Roman" w:hAnsi="Times New Roman" w:cs="Times New Roman"/>
          <w:snapToGrid w:val="0"/>
          <w:color w:val="000000"/>
          <w:kern w:val="0"/>
          <w:szCs w:val="21"/>
        </w:rPr>
        <w:t>将表</w:t>
      </w:r>
      <w:r>
        <w:rPr>
          <w:rFonts w:hint="eastAsia" w:ascii="Times New Roman" w:hAnsi="Times New Roman" w:cs="Times New Roman"/>
          <w:snapToGrid w:val="0"/>
          <w:color w:val="000000"/>
          <w:kern w:val="0"/>
          <w:szCs w:val="21"/>
        </w:rPr>
        <w:t>H</w:t>
      </w:r>
      <w:r>
        <w:rPr>
          <w:rFonts w:ascii="Times New Roman" w:hAnsi="Times New Roman" w:cs="Times New Roman"/>
          <w:snapToGrid w:val="0"/>
          <w:color w:val="000000"/>
          <w:kern w:val="0"/>
          <w:szCs w:val="21"/>
        </w:rPr>
        <w:t>.2.</w:t>
      </w:r>
      <w:r>
        <w:rPr>
          <w:rFonts w:hint="eastAsia" w:ascii="Times New Roman" w:hAnsi="Times New Roman" w:cs="Times New Roman"/>
          <w:snapToGrid w:val="0"/>
          <w:color w:val="000000"/>
          <w:kern w:val="0"/>
          <w:szCs w:val="21"/>
        </w:rPr>
        <w:t>1</w:t>
      </w:r>
      <w:r>
        <w:rPr>
          <w:rFonts w:ascii="Times New Roman" w:hAnsi="Times New Roman" w:cs="Times New Roman"/>
          <w:snapToGrid w:val="0"/>
          <w:color w:val="000000"/>
          <w:kern w:val="0"/>
          <w:szCs w:val="21"/>
        </w:rPr>
        <w:t>所确定的泵的类别向后推1类，如按表</w:t>
      </w:r>
      <w:r>
        <w:rPr>
          <w:rFonts w:hint="eastAsia" w:ascii="Times New Roman" w:hAnsi="Times New Roman" w:cs="Times New Roman"/>
          <w:snapToGrid w:val="0"/>
          <w:color w:val="000000"/>
          <w:kern w:val="0"/>
          <w:szCs w:val="21"/>
        </w:rPr>
        <w:t>H</w:t>
      </w:r>
      <w:r>
        <w:rPr>
          <w:rFonts w:ascii="Times New Roman" w:hAnsi="Times New Roman" w:cs="Times New Roman"/>
          <w:snapToGrid w:val="0"/>
          <w:color w:val="000000"/>
          <w:kern w:val="0"/>
          <w:szCs w:val="21"/>
        </w:rPr>
        <w:t>.2.</w:t>
      </w:r>
      <w:r>
        <w:rPr>
          <w:rFonts w:hint="eastAsia" w:ascii="Times New Roman" w:hAnsi="Times New Roman" w:cs="Times New Roman"/>
          <w:snapToGrid w:val="0"/>
          <w:color w:val="000000"/>
          <w:kern w:val="0"/>
          <w:szCs w:val="21"/>
        </w:rPr>
        <w:t>1</w:t>
      </w:r>
      <w:r>
        <w:rPr>
          <w:rFonts w:ascii="Times New Roman" w:hAnsi="Times New Roman" w:cs="Times New Roman"/>
          <w:snapToGrid w:val="0"/>
          <w:color w:val="000000"/>
          <w:kern w:val="0"/>
          <w:szCs w:val="21"/>
        </w:rPr>
        <w:t>第一类的泵，用表</w:t>
      </w:r>
      <w:r>
        <w:rPr>
          <w:rFonts w:hint="eastAsia" w:ascii="Times New Roman" w:hAnsi="Times New Roman" w:cs="Times New Roman"/>
          <w:snapToGrid w:val="0"/>
          <w:color w:val="000000"/>
          <w:kern w:val="0"/>
          <w:szCs w:val="21"/>
        </w:rPr>
        <w:t>H</w:t>
      </w:r>
      <w:r>
        <w:rPr>
          <w:rFonts w:ascii="Times New Roman" w:hAnsi="Times New Roman" w:cs="Times New Roman"/>
          <w:snapToGrid w:val="0"/>
          <w:color w:val="000000"/>
          <w:kern w:val="0"/>
          <w:szCs w:val="21"/>
        </w:rPr>
        <w:t>.2.2中的第二类评价它的振动级别，依此类推。</w:t>
      </w:r>
    </w:p>
    <w:p>
      <w:pPr>
        <w:jc w:val="center"/>
        <w:rPr>
          <w:sz w:val="18"/>
          <w:szCs w:val="18"/>
        </w:rPr>
      </w:pPr>
      <w:bookmarkStart w:id="241" w:name="OLE_LINK64"/>
      <w:r>
        <w:rPr>
          <w:rStyle w:val="28"/>
          <w:rFonts w:hint="eastAsia" w:ascii="黑体" w:hAnsi="黑体" w:eastAsia="黑体" w:cs="黑体"/>
          <w:b w:val="0"/>
          <w:bCs w:val="0"/>
          <w:sz w:val="18"/>
          <w:szCs w:val="18"/>
          <w:lang w:bidi="ar"/>
        </w:rPr>
        <w:t>表H.2.1</w:t>
      </w:r>
      <w:r>
        <w:rPr>
          <w:rStyle w:val="28"/>
          <w:rFonts w:hint="eastAsia" w:ascii="黑体" w:hAnsi="黑体" w:eastAsia="黑体" w:cs="黑体"/>
          <w:sz w:val="18"/>
          <w:szCs w:val="18"/>
        </w:rPr>
        <w:t xml:space="preserve">  </w:t>
      </w:r>
      <w:r>
        <w:rPr>
          <w:rStyle w:val="28"/>
          <w:rFonts w:hint="eastAsia" w:ascii="黑体" w:hAnsi="黑体" w:eastAsia="黑体" w:cs="黑体"/>
          <w:b w:val="0"/>
          <w:bCs w:val="0"/>
          <w:sz w:val="18"/>
          <w:szCs w:val="18"/>
          <w:lang w:bidi="ar"/>
        </w:rPr>
        <w:t>泵的分类</w:t>
      </w:r>
    </w:p>
    <w:bookmarkEnd w:id="241"/>
    <w:tbl>
      <w:tblPr>
        <w:tblStyle w:val="20"/>
        <w:tblW w:w="0" w:type="auto"/>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988"/>
        <w:gridCol w:w="2409"/>
        <w:gridCol w:w="2410"/>
        <w:gridCol w:w="2483"/>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988" w:type="dxa"/>
            <w:vMerge w:val="restart"/>
            <w:vAlign w:val="center"/>
          </w:tcPr>
          <w:p>
            <w:pPr>
              <w:spacing w:line="320" w:lineRule="exact"/>
              <w:rPr>
                <w:rFonts w:hint="eastAsia" w:asciiTheme="minorEastAsia" w:hAnsiTheme="minorEastAsia" w:cstheme="minorEastAsia"/>
                <w:sz w:val="15"/>
                <w:szCs w:val="15"/>
              </w:rPr>
            </w:pPr>
            <w:r>
              <w:rPr>
                <w:rFonts w:hint="eastAsia" w:asciiTheme="minorEastAsia" w:hAnsiTheme="minorEastAsia" w:cstheme="minorEastAsia"/>
                <w:sz w:val="15"/>
                <w:szCs w:val="15"/>
              </w:rPr>
              <w:t>类别</w:t>
            </w:r>
          </w:p>
        </w:tc>
        <w:tc>
          <w:tcPr>
            <w:tcW w:w="7302" w:type="dxa"/>
            <w:gridSpan w:val="3"/>
            <w:vAlign w:val="center"/>
          </w:tcPr>
          <w:p>
            <w:pPr>
              <w:spacing w:line="32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中心高（mm）及转速（r/min）</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c>
          <w:tcPr>
            <w:tcW w:w="988" w:type="dxa"/>
            <w:vMerge w:val="continue"/>
            <w:vAlign w:val="center"/>
          </w:tcPr>
          <w:p>
            <w:pPr>
              <w:spacing w:line="320" w:lineRule="exact"/>
              <w:rPr>
                <w:rFonts w:hint="eastAsia" w:asciiTheme="minorEastAsia" w:hAnsiTheme="minorEastAsia" w:cstheme="minorEastAsia"/>
                <w:sz w:val="15"/>
                <w:szCs w:val="15"/>
              </w:rPr>
            </w:pPr>
          </w:p>
        </w:tc>
        <w:tc>
          <w:tcPr>
            <w:tcW w:w="2409" w:type="dxa"/>
            <w:vAlign w:val="center"/>
          </w:tcPr>
          <w:p>
            <w:pPr>
              <w:spacing w:line="32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≤225mm</w:t>
            </w:r>
          </w:p>
        </w:tc>
        <w:tc>
          <w:tcPr>
            <w:tcW w:w="2410" w:type="dxa"/>
            <w:vAlign w:val="center"/>
          </w:tcPr>
          <w:p>
            <w:pPr>
              <w:spacing w:line="32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大于225m～550mm</w:t>
            </w:r>
          </w:p>
        </w:tc>
        <w:tc>
          <w:tcPr>
            <w:tcW w:w="2483" w:type="dxa"/>
            <w:vAlign w:val="center"/>
          </w:tcPr>
          <w:p>
            <w:pPr>
              <w:spacing w:line="32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＞550mm</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988" w:type="dxa"/>
            <w:vAlign w:val="center"/>
          </w:tcPr>
          <w:p>
            <w:pPr>
              <w:spacing w:line="320" w:lineRule="exact"/>
              <w:rPr>
                <w:rFonts w:hint="eastAsia" w:asciiTheme="minorEastAsia" w:hAnsiTheme="minorEastAsia" w:cstheme="minorEastAsia"/>
                <w:sz w:val="15"/>
                <w:szCs w:val="15"/>
              </w:rPr>
            </w:pPr>
            <w:r>
              <w:rPr>
                <w:rFonts w:hint="eastAsia" w:asciiTheme="minorEastAsia" w:hAnsiTheme="minorEastAsia" w:cstheme="minorEastAsia"/>
                <w:sz w:val="15"/>
                <w:szCs w:val="15"/>
              </w:rPr>
              <w:t>第一类</w:t>
            </w:r>
          </w:p>
        </w:tc>
        <w:tc>
          <w:tcPr>
            <w:tcW w:w="2409" w:type="dxa"/>
            <w:vAlign w:val="center"/>
          </w:tcPr>
          <w:p>
            <w:pPr>
              <w:spacing w:line="320" w:lineRule="exact"/>
              <w:jc w:val="center"/>
              <w:rPr>
                <w:rFonts w:hint="eastAsia" w:asciiTheme="minorEastAsia" w:hAnsiTheme="minorEastAsia" w:cstheme="minorEastAsia"/>
                <w:sz w:val="15"/>
                <w:szCs w:val="15"/>
              </w:rPr>
            </w:pPr>
            <w:bookmarkStart w:id="242" w:name="OLE_LINK61"/>
            <w:r>
              <w:rPr>
                <w:rFonts w:hint="eastAsia" w:asciiTheme="minorEastAsia" w:hAnsiTheme="minorEastAsia" w:cstheme="minorEastAsia"/>
                <w:sz w:val="15"/>
                <w:szCs w:val="15"/>
              </w:rPr>
              <w:t>≤1800 r/min</w:t>
            </w:r>
            <w:bookmarkEnd w:id="242"/>
          </w:p>
        </w:tc>
        <w:tc>
          <w:tcPr>
            <w:tcW w:w="2410" w:type="dxa"/>
            <w:vAlign w:val="center"/>
          </w:tcPr>
          <w:p>
            <w:pPr>
              <w:spacing w:line="32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≤1000 r/min</w:t>
            </w:r>
          </w:p>
        </w:tc>
        <w:tc>
          <w:tcPr>
            <w:tcW w:w="2483" w:type="dxa"/>
            <w:vAlign w:val="center"/>
          </w:tcPr>
          <w:p>
            <w:pPr>
              <w:spacing w:line="320" w:lineRule="exact"/>
              <w:jc w:val="center"/>
              <w:rPr>
                <w:rFonts w:hint="eastAsia" w:asciiTheme="minorEastAsia" w:hAnsiTheme="minorEastAsia" w:cstheme="minorEastAsia"/>
                <w:sz w:val="15"/>
                <w:szCs w:val="15"/>
              </w:rPr>
            </w:pPr>
            <w:bookmarkStart w:id="243" w:name="OLE_LINK63"/>
            <w:r>
              <w:rPr>
                <w:rFonts w:hint="eastAsia" w:asciiTheme="minorEastAsia" w:hAnsiTheme="minorEastAsia" w:cstheme="minorEastAsia"/>
                <w:sz w:val="15"/>
                <w:szCs w:val="15"/>
              </w:rPr>
              <w:t>—</w:t>
            </w:r>
            <w:bookmarkEnd w:id="243"/>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988" w:type="dxa"/>
            <w:vAlign w:val="center"/>
          </w:tcPr>
          <w:p>
            <w:pPr>
              <w:spacing w:line="320" w:lineRule="exact"/>
              <w:rPr>
                <w:rFonts w:hint="eastAsia" w:asciiTheme="minorEastAsia" w:hAnsiTheme="minorEastAsia" w:cstheme="minorEastAsia"/>
                <w:sz w:val="15"/>
                <w:szCs w:val="15"/>
              </w:rPr>
            </w:pPr>
            <w:r>
              <w:rPr>
                <w:rFonts w:hint="eastAsia" w:asciiTheme="minorEastAsia" w:hAnsiTheme="minorEastAsia" w:cstheme="minorEastAsia"/>
                <w:sz w:val="15"/>
                <w:szCs w:val="15"/>
              </w:rPr>
              <w:t>第二类</w:t>
            </w:r>
          </w:p>
        </w:tc>
        <w:tc>
          <w:tcPr>
            <w:tcW w:w="2409" w:type="dxa"/>
            <w:vAlign w:val="center"/>
          </w:tcPr>
          <w:p>
            <w:pPr>
              <w:spacing w:line="320" w:lineRule="exact"/>
              <w:jc w:val="center"/>
              <w:rPr>
                <w:rFonts w:hint="eastAsia" w:asciiTheme="minorEastAsia" w:hAnsiTheme="minorEastAsia" w:cstheme="minorEastAsia"/>
                <w:sz w:val="15"/>
                <w:szCs w:val="15"/>
              </w:rPr>
            </w:pPr>
            <w:bookmarkStart w:id="244" w:name="OLE_LINK62"/>
            <w:r>
              <w:rPr>
                <w:rFonts w:hint="eastAsia" w:asciiTheme="minorEastAsia" w:hAnsiTheme="minorEastAsia" w:cstheme="minorEastAsia"/>
                <w:sz w:val="15"/>
                <w:szCs w:val="15"/>
              </w:rPr>
              <w:t>＞1800 r/min～4500 r/min</w:t>
            </w:r>
            <w:bookmarkEnd w:id="244"/>
          </w:p>
        </w:tc>
        <w:tc>
          <w:tcPr>
            <w:tcW w:w="2410" w:type="dxa"/>
            <w:vAlign w:val="center"/>
          </w:tcPr>
          <w:p>
            <w:pPr>
              <w:spacing w:line="32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＞1000 r/min～1800 r/min</w:t>
            </w:r>
          </w:p>
        </w:tc>
        <w:tc>
          <w:tcPr>
            <w:tcW w:w="2483" w:type="dxa"/>
            <w:vAlign w:val="center"/>
          </w:tcPr>
          <w:p>
            <w:pPr>
              <w:spacing w:line="32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＞600 r/min～1500 r/min</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988" w:type="dxa"/>
            <w:vAlign w:val="center"/>
          </w:tcPr>
          <w:p>
            <w:pPr>
              <w:spacing w:line="320" w:lineRule="exact"/>
              <w:rPr>
                <w:rFonts w:hint="eastAsia" w:asciiTheme="minorEastAsia" w:hAnsiTheme="minorEastAsia" w:cstheme="minorEastAsia"/>
                <w:sz w:val="15"/>
                <w:szCs w:val="15"/>
              </w:rPr>
            </w:pPr>
            <w:r>
              <w:rPr>
                <w:rFonts w:hint="eastAsia" w:asciiTheme="minorEastAsia" w:hAnsiTheme="minorEastAsia" w:cstheme="minorEastAsia"/>
                <w:sz w:val="15"/>
                <w:szCs w:val="15"/>
              </w:rPr>
              <w:t>第三类</w:t>
            </w:r>
          </w:p>
        </w:tc>
        <w:tc>
          <w:tcPr>
            <w:tcW w:w="2409" w:type="dxa"/>
            <w:vAlign w:val="center"/>
          </w:tcPr>
          <w:p>
            <w:pPr>
              <w:spacing w:line="32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＞4500 r/min～12000 r/min</w:t>
            </w:r>
          </w:p>
        </w:tc>
        <w:tc>
          <w:tcPr>
            <w:tcW w:w="2410" w:type="dxa"/>
            <w:vAlign w:val="center"/>
          </w:tcPr>
          <w:p>
            <w:pPr>
              <w:spacing w:line="32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＞1800 r/min～4500 r/min</w:t>
            </w:r>
          </w:p>
        </w:tc>
        <w:tc>
          <w:tcPr>
            <w:tcW w:w="2483" w:type="dxa"/>
            <w:vAlign w:val="center"/>
          </w:tcPr>
          <w:p>
            <w:pPr>
              <w:spacing w:line="32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＞1500 r/min～3600 r/min</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988" w:type="dxa"/>
            <w:vAlign w:val="center"/>
          </w:tcPr>
          <w:p>
            <w:pPr>
              <w:spacing w:line="320" w:lineRule="exact"/>
              <w:rPr>
                <w:rFonts w:hint="eastAsia" w:asciiTheme="minorEastAsia" w:hAnsiTheme="minorEastAsia" w:cstheme="minorEastAsia"/>
                <w:sz w:val="15"/>
                <w:szCs w:val="15"/>
              </w:rPr>
            </w:pPr>
            <w:r>
              <w:rPr>
                <w:rFonts w:hint="eastAsia" w:asciiTheme="minorEastAsia" w:hAnsiTheme="minorEastAsia" w:cstheme="minorEastAsia"/>
                <w:sz w:val="15"/>
                <w:szCs w:val="15"/>
              </w:rPr>
              <w:t>第四类</w:t>
            </w:r>
          </w:p>
        </w:tc>
        <w:tc>
          <w:tcPr>
            <w:tcW w:w="2409" w:type="dxa"/>
            <w:vAlign w:val="center"/>
          </w:tcPr>
          <w:p>
            <w:pPr>
              <w:spacing w:line="32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w:t>
            </w:r>
          </w:p>
        </w:tc>
        <w:tc>
          <w:tcPr>
            <w:tcW w:w="2410" w:type="dxa"/>
            <w:vAlign w:val="center"/>
          </w:tcPr>
          <w:p>
            <w:pPr>
              <w:spacing w:line="32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＞4500 r/min～12000 r/min</w:t>
            </w:r>
          </w:p>
        </w:tc>
        <w:tc>
          <w:tcPr>
            <w:tcW w:w="2483" w:type="dxa"/>
            <w:vAlign w:val="center"/>
          </w:tcPr>
          <w:p>
            <w:pPr>
              <w:spacing w:line="32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＞3600 r/min～12000 r/min</w:t>
            </w:r>
          </w:p>
        </w:tc>
      </w:tr>
    </w:tbl>
    <w:p/>
    <w:p>
      <w:pPr>
        <w:jc w:val="center"/>
        <w:rPr>
          <w:rStyle w:val="28"/>
          <w:rFonts w:hint="eastAsia" w:ascii="黑体" w:hAnsi="黑体" w:eastAsia="黑体" w:cs="黑体"/>
          <w:sz w:val="18"/>
          <w:szCs w:val="18"/>
          <w:lang w:bidi="ar"/>
        </w:rPr>
      </w:pPr>
      <w:r>
        <w:rPr>
          <w:rStyle w:val="28"/>
          <w:rFonts w:hint="eastAsia" w:ascii="黑体" w:hAnsi="黑体" w:eastAsia="黑体" w:cs="黑体"/>
          <w:b w:val="0"/>
          <w:bCs w:val="0"/>
          <w:sz w:val="18"/>
          <w:szCs w:val="18"/>
          <w:lang w:bidi="ar"/>
        </w:rPr>
        <w:t>表H.2.2  评价泵的振动级别</w:t>
      </w:r>
    </w:p>
    <w:tbl>
      <w:tblPr>
        <w:tblStyle w:val="20"/>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319"/>
        <w:gridCol w:w="1656"/>
        <w:gridCol w:w="1236"/>
        <w:gridCol w:w="1236"/>
        <w:gridCol w:w="1236"/>
        <w:gridCol w:w="1238"/>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6" w:hRule="atLeast"/>
          <w:jc w:val="center"/>
        </w:trPr>
        <w:tc>
          <w:tcPr>
            <w:tcW w:w="2975" w:type="dxa"/>
            <w:gridSpan w:val="2"/>
            <w:vAlign w:val="center"/>
          </w:tcPr>
          <w:p>
            <w:pPr>
              <w:spacing w:line="300" w:lineRule="exact"/>
              <w:jc w:val="center"/>
              <w:rPr>
                <w:rFonts w:ascii="Times New Roman" w:hAnsi="Times New Roman" w:cs="Times New Roman"/>
                <w:sz w:val="15"/>
                <w:szCs w:val="15"/>
              </w:rPr>
            </w:pPr>
            <w:r>
              <w:rPr>
                <w:rFonts w:ascii="Times New Roman" w:hAnsi="Times New Roman" w:cs="Times New Roman"/>
                <w:sz w:val="15"/>
                <w:szCs w:val="15"/>
              </w:rPr>
              <w:t>振动烈度范围</w:t>
            </w:r>
          </w:p>
        </w:tc>
        <w:tc>
          <w:tcPr>
            <w:tcW w:w="4946" w:type="dxa"/>
            <w:gridSpan w:val="4"/>
            <w:vAlign w:val="center"/>
          </w:tcPr>
          <w:p>
            <w:pPr>
              <w:spacing w:line="300" w:lineRule="exact"/>
              <w:jc w:val="center"/>
              <w:rPr>
                <w:rFonts w:ascii="Times New Roman" w:hAnsi="Times New Roman" w:cs="Times New Roman"/>
                <w:sz w:val="15"/>
                <w:szCs w:val="15"/>
              </w:rPr>
            </w:pPr>
            <w:r>
              <w:rPr>
                <w:rFonts w:ascii="Times New Roman" w:hAnsi="Times New Roman" w:cs="Times New Roman"/>
                <w:sz w:val="15"/>
                <w:szCs w:val="15"/>
              </w:rPr>
              <w:t>评价泵的振动级别</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6" w:hRule="atLeast"/>
          <w:jc w:val="center"/>
        </w:trPr>
        <w:tc>
          <w:tcPr>
            <w:tcW w:w="1319" w:type="dxa"/>
            <w:vAlign w:val="center"/>
          </w:tcPr>
          <w:p>
            <w:pPr>
              <w:spacing w:line="300" w:lineRule="exact"/>
              <w:jc w:val="center"/>
              <w:rPr>
                <w:rFonts w:ascii="Times New Roman" w:hAnsi="Times New Roman" w:cs="Times New Roman"/>
                <w:sz w:val="15"/>
                <w:szCs w:val="15"/>
              </w:rPr>
            </w:pPr>
            <w:r>
              <w:rPr>
                <w:rFonts w:ascii="Times New Roman" w:hAnsi="Times New Roman" w:cs="Times New Roman"/>
                <w:sz w:val="15"/>
                <w:szCs w:val="15"/>
              </w:rPr>
              <w:t>振动烈度级</w:t>
            </w:r>
          </w:p>
        </w:tc>
        <w:tc>
          <w:tcPr>
            <w:tcW w:w="1656" w:type="dxa"/>
            <w:vAlign w:val="center"/>
          </w:tcPr>
          <w:p>
            <w:pPr>
              <w:spacing w:line="300" w:lineRule="exact"/>
              <w:jc w:val="center"/>
              <w:rPr>
                <w:rFonts w:ascii="Times New Roman" w:hAnsi="Times New Roman" w:cs="Times New Roman"/>
                <w:sz w:val="15"/>
                <w:szCs w:val="15"/>
              </w:rPr>
            </w:pPr>
            <w:r>
              <w:rPr>
                <w:rFonts w:ascii="Times New Roman" w:hAnsi="Times New Roman" w:cs="Times New Roman"/>
                <w:sz w:val="15"/>
                <w:szCs w:val="15"/>
              </w:rPr>
              <w:t>振动烈度分级界线</w:t>
            </w:r>
          </w:p>
        </w:tc>
        <w:tc>
          <w:tcPr>
            <w:tcW w:w="1236" w:type="dxa"/>
            <w:vAlign w:val="center"/>
          </w:tcPr>
          <w:p>
            <w:pPr>
              <w:spacing w:line="300" w:lineRule="exact"/>
              <w:jc w:val="center"/>
              <w:rPr>
                <w:rFonts w:ascii="Times New Roman" w:hAnsi="Times New Roman" w:cs="Times New Roman"/>
                <w:sz w:val="15"/>
                <w:szCs w:val="15"/>
              </w:rPr>
            </w:pPr>
            <w:r>
              <w:rPr>
                <w:rFonts w:ascii="Times New Roman" w:hAnsi="Times New Roman" w:cs="Times New Roman"/>
                <w:sz w:val="15"/>
                <w:szCs w:val="15"/>
              </w:rPr>
              <w:t>第一类</w:t>
            </w:r>
          </w:p>
        </w:tc>
        <w:tc>
          <w:tcPr>
            <w:tcW w:w="1236" w:type="dxa"/>
            <w:vAlign w:val="center"/>
          </w:tcPr>
          <w:p>
            <w:pPr>
              <w:spacing w:line="300" w:lineRule="exact"/>
              <w:jc w:val="center"/>
              <w:rPr>
                <w:rFonts w:ascii="Times New Roman" w:hAnsi="Times New Roman" w:cs="Times New Roman"/>
                <w:sz w:val="15"/>
                <w:szCs w:val="15"/>
              </w:rPr>
            </w:pPr>
            <w:r>
              <w:rPr>
                <w:rFonts w:ascii="Times New Roman" w:hAnsi="Times New Roman" w:cs="Times New Roman"/>
                <w:sz w:val="15"/>
                <w:szCs w:val="15"/>
              </w:rPr>
              <w:t>第二类</w:t>
            </w:r>
          </w:p>
        </w:tc>
        <w:tc>
          <w:tcPr>
            <w:tcW w:w="1236" w:type="dxa"/>
            <w:vAlign w:val="center"/>
          </w:tcPr>
          <w:p>
            <w:pPr>
              <w:spacing w:line="300" w:lineRule="exact"/>
              <w:jc w:val="center"/>
              <w:rPr>
                <w:rFonts w:ascii="Times New Roman" w:hAnsi="Times New Roman" w:cs="Times New Roman"/>
                <w:sz w:val="15"/>
                <w:szCs w:val="15"/>
              </w:rPr>
            </w:pPr>
            <w:r>
              <w:rPr>
                <w:rFonts w:ascii="Times New Roman" w:hAnsi="Times New Roman" w:cs="Times New Roman"/>
                <w:sz w:val="15"/>
                <w:szCs w:val="15"/>
              </w:rPr>
              <w:t>第三类</w:t>
            </w:r>
          </w:p>
        </w:tc>
        <w:tc>
          <w:tcPr>
            <w:tcW w:w="1236" w:type="dxa"/>
            <w:vAlign w:val="center"/>
          </w:tcPr>
          <w:p>
            <w:pPr>
              <w:spacing w:line="300" w:lineRule="exact"/>
              <w:jc w:val="center"/>
              <w:rPr>
                <w:rFonts w:ascii="Times New Roman" w:hAnsi="Times New Roman" w:cs="Times New Roman"/>
                <w:sz w:val="15"/>
                <w:szCs w:val="15"/>
              </w:rPr>
            </w:pPr>
            <w:r>
              <w:rPr>
                <w:rFonts w:ascii="Times New Roman" w:hAnsi="Times New Roman" w:cs="Times New Roman"/>
                <w:sz w:val="15"/>
                <w:szCs w:val="15"/>
              </w:rPr>
              <w:t>第四类</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94" w:hRule="atLeast"/>
          <w:jc w:val="center"/>
        </w:trPr>
        <w:tc>
          <w:tcPr>
            <w:tcW w:w="1319" w:type="dxa"/>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0.28</w:t>
            </w:r>
          </w:p>
        </w:tc>
        <w:tc>
          <w:tcPr>
            <w:tcW w:w="1656" w:type="dxa"/>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mc:AlternateContent>
                <mc:Choice Requires="wpg">
                  <w:drawing>
                    <wp:anchor distT="0" distB="0" distL="114300" distR="114300" simplePos="0" relativeHeight="251659264" behindDoc="0" locked="0" layoutInCell="1" allowOverlap="1">
                      <wp:simplePos x="0" y="0"/>
                      <wp:positionH relativeFrom="column">
                        <wp:posOffset>306705</wp:posOffset>
                      </wp:positionH>
                      <wp:positionV relativeFrom="paragraph">
                        <wp:posOffset>72390</wp:posOffset>
                      </wp:positionV>
                      <wp:extent cx="396875" cy="668020"/>
                      <wp:effectExtent l="0" t="0" r="3810" b="0"/>
                      <wp:wrapNone/>
                      <wp:docPr id="1988614195" name="组合 264"/>
                      <wp:cNvGraphicFramePr/>
                      <a:graphic xmlns:a="http://schemas.openxmlformats.org/drawingml/2006/main">
                        <a:graphicData uri="http://schemas.microsoft.com/office/word/2010/wordprocessingGroup">
                          <wpg:wgp>
                            <wpg:cNvGrpSpPr/>
                            <wpg:grpSpPr>
                              <a:xfrm>
                                <a:off x="0" y="0"/>
                                <a:ext cx="396633" cy="667933"/>
                                <a:chOff x="0" y="0"/>
                                <a:chExt cx="396633" cy="667933"/>
                              </a:xfrm>
                            </wpg:grpSpPr>
                            <wps:wsp>
                              <wps:cNvPr id="1401164461" name="文本框 2"/>
                              <wps:cNvSpPr txBox="1">
                                <a:spLocks noChangeArrowheads="1"/>
                              </wps:cNvSpPr>
                              <wps:spPr bwMode="auto">
                                <a:xfrm>
                                  <a:off x="4233" y="397933"/>
                                  <a:ext cx="392400" cy="270000"/>
                                </a:xfrm>
                                <a:prstGeom prst="rect">
                                  <a:avLst/>
                                </a:prstGeom>
                                <a:solidFill>
                                  <a:srgbClr val="FFFFFF"/>
                                </a:solidFill>
                                <a:ln w="9525">
                                  <a:noFill/>
                                  <a:miter lim="800000"/>
                                </a:ln>
                              </wps:spPr>
                              <wps:txbx>
                                <w:txbxContent>
                                  <w:p>
                                    <w:pPr>
                                      <w:rPr>
                                        <w:rFonts w:ascii="Times New Roman" w:hAnsi="Times New Roman" w:cs="Times New Roman"/>
                                        <w:sz w:val="18"/>
                                        <w:szCs w:val="18"/>
                                      </w:rPr>
                                    </w:pPr>
                                    <w:r>
                                      <w:rPr>
                                        <w:rFonts w:ascii="Times New Roman" w:hAnsi="Times New Roman" w:cs="Times New Roman"/>
                                        <w:sz w:val="18"/>
                                        <w:szCs w:val="18"/>
                                      </w:rPr>
                                      <w:t>0.71</w:t>
                                    </w:r>
                                  </w:p>
                                </w:txbxContent>
                              </wps:txbx>
                              <wps:bodyPr rot="0" vert="horz" wrap="square" lIns="91440" tIns="45720" rIns="91440" bIns="45720" anchor="t" anchorCtr="0">
                                <a:noAutofit/>
                              </wps:bodyPr>
                            </wps:wsp>
                            <wps:wsp>
                              <wps:cNvPr id="2032848121" name="文本框 2"/>
                              <wps:cNvSpPr txBox="1">
                                <a:spLocks noChangeArrowheads="1"/>
                              </wps:cNvSpPr>
                              <wps:spPr bwMode="auto">
                                <a:xfrm>
                                  <a:off x="4233" y="0"/>
                                  <a:ext cx="392400" cy="270000"/>
                                </a:xfrm>
                                <a:prstGeom prst="rect">
                                  <a:avLst/>
                                </a:prstGeom>
                                <a:solidFill>
                                  <a:srgbClr val="FFFFFF"/>
                                </a:solidFill>
                                <a:ln w="9525">
                                  <a:noFill/>
                                  <a:miter lim="800000"/>
                                </a:ln>
                              </wps:spPr>
                              <wps:txbx>
                                <w:txbxContent>
                                  <w:p>
                                    <w:pPr>
                                      <w:rPr>
                                        <w:rFonts w:ascii="Times New Roman" w:hAnsi="Times New Roman" w:cs="Times New Roman"/>
                                        <w:sz w:val="18"/>
                                        <w:szCs w:val="18"/>
                                      </w:rPr>
                                    </w:pPr>
                                    <w:r>
                                      <w:rPr>
                                        <w:rFonts w:ascii="Times New Roman" w:hAnsi="Times New Roman" w:cs="Times New Roman"/>
                                        <w:sz w:val="18"/>
                                        <w:szCs w:val="18"/>
                                      </w:rPr>
                                      <w:t>0.</w:t>
                                    </w:r>
                                    <w:r>
                                      <w:rPr>
                                        <w:rFonts w:hint="eastAsia" w:ascii="Times New Roman" w:hAnsi="Times New Roman" w:cs="Times New Roman"/>
                                        <w:sz w:val="18"/>
                                        <w:szCs w:val="18"/>
                                      </w:rPr>
                                      <w:t>28</w:t>
                                    </w:r>
                                  </w:p>
                                </w:txbxContent>
                              </wps:txbx>
                              <wps:bodyPr rot="0" vert="horz" wrap="square" lIns="91440" tIns="45720" rIns="91440" bIns="45720" anchor="t" anchorCtr="0">
                                <a:noAutofit/>
                              </wps:bodyPr>
                            </wps:wsp>
                            <wps:wsp>
                              <wps:cNvPr id="1636461143" name="文本框 2"/>
                              <wps:cNvSpPr txBox="1">
                                <a:spLocks noChangeArrowheads="1"/>
                              </wps:cNvSpPr>
                              <wps:spPr bwMode="auto">
                                <a:xfrm>
                                  <a:off x="0" y="194733"/>
                                  <a:ext cx="392400" cy="270000"/>
                                </a:xfrm>
                                <a:prstGeom prst="rect">
                                  <a:avLst/>
                                </a:prstGeom>
                                <a:solidFill>
                                  <a:srgbClr val="FFFFFF"/>
                                </a:solidFill>
                                <a:ln w="9525">
                                  <a:noFill/>
                                  <a:miter lim="800000"/>
                                </a:ln>
                              </wps:spPr>
                              <wps:txbx>
                                <w:txbxContent>
                                  <w:p>
                                    <w:pPr>
                                      <w:rPr>
                                        <w:rFonts w:ascii="Times New Roman" w:hAnsi="Times New Roman" w:cs="Times New Roman"/>
                                        <w:sz w:val="18"/>
                                        <w:szCs w:val="18"/>
                                      </w:rPr>
                                    </w:pPr>
                                    <w:r>
                                      <w:rPr>
                                        <w:rFonts w:ascii="Times New Roman" w:hAnsi="Times New Roman" w:cs="Times New Roman"/>
                                        <w:sz w:val="18"/>
                                        <w:szCs w:val="18"/>
                                      </w:rPr>
                                      <w:t>0.</w:t>
                                    </w:r>
                                    <w:r>
                                      <w:rPr>
                                        <w:rFonts w:hint="eastAsia" w:ascii="Times New Roman" w:hAnsi="Times New Roman" w:cs="Times New Roman"/>
                                        <w:sz w:val="18"/>
                                        <w:szCs w:val="18"/>
                                      </w:rPr>
                                      <w:t>45</w:t>
                                    </w:r>
                                  </w:p>
                                </w:txbxContent>
                              </wps:txbx>
                              <wps:bodyPr rot="0" vert="horz" wrap="square" lIns="91440" tIns="45720" rIns="91440" bIns="45720" anchor="t" anchorCtr="0">
                                <a:noAutofit/>
                              </wps:bodyPr>
                            </wps:wsp>
                          </wpg:wgp>
                        </a:graphicData>
                      </a:graphic>
                    </wp:anchor>
                  </w:drawing>
                </mc:Choice>
                <mc:Fallback>
                  <w:pict>
                    <v:group id="组合 264" o:spid="_x0000_s1026" o:spt="203" style="position:absolute;left:0pt;margin-left:24.15pt;margin-top:5.7pt;height:52.6pt;width:31.25pt;z-index:251659264;mso-width-relative:page;mso-height-relative:page;" coordsize="396633,667933" o:gfxdata="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">
                      <o:lock v:ext="edit" aspectratio="f"/>
                      <v:shape id="文本框 2" o:spid="_x0000_s1026" o:spt="202" type="#_x0000_t202" style="position:absolute;left:4233;top:397933;height:270000;width:392400;" fillcolor="#FFFFFF" filled="t" stroked="f" coordsize="21600,21600" o:gfxdata="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KkrVi/&#10;AAAA4wAAAA8AAAAAAAAAAQAgAAAAIgAAAGRycy9kb3ducmV2LnhtbFBLAQIUABQAAAAIAIdO4kAz&#10;LwWeOwAAADkAAAAQAAAAAAAAAAEAIAAAAA4BAABkcnMvc2hhcGV4bWwueG1sUEsFBgAAAAAGAAYA&#10;WwEAALgDAAAAAA==&#10;">
                        <v:fill on="t" focussize="0,0"/>
                        <v:stroke on="f" miterlimit="8" joinstyle="miter"/>
                        <v:imagedata o:title=""/>
                        <o:lock v:ext="edit" aspectratio="f"/>
                        <v:textbox>
                          <w:txbxContent>
                            <w:p>
                              <w:pPr>
                                <w:rPr>
                                  <w:rFonts w:ascii="Times New Roman" w:hAnsi="Times New Roman" w:cs="Times New Roman"/>
                                  <w:sz w:val="18"/>
                                  <w:szCs w:val="18"/>
                                </w:rPr>
                              </w:pPr>
                              <w:r>
                                <w:rPr>
                                  <w:rFonts w:ascii="Times New Roman" w:hAnsi="Times New Roman" w:cs="Times New Roman"/>
                                  <w:sz w:val="18"/>
                                  <w:szCs w:val="18"/>
                                </w:rPr>
                                <w:t>0.71</w:t>
                              </w:r>
                            </w:p>
                          </w:txbxContent>
                        </v:textbox>
                      </v:shape>
                      <v:shape id="文本框 2" o:spid="_x0000_s1026" o:spt="202" type="#_x0000_t202" style="position:absolute;left:4233;top:0;height:270000;width:392400;" fillcolor="#FFFFFF" filled="t" stroked="f" coordsize="21600,21600" o:gfxdata="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Ci&#10;mnfDwwAAAOMAAAAPAAAAAAAAAAEAIAAAACIAAABkcnMvZG93bnJldi54bWxQSwECFAAUAAAACACH&#10;TuJAMy8FnjsAAAA5AAAAEAAAAAAAAAABACAAAAASAQAAZHJzL3NoYXBleG1sLnhtbFBLBQYAAAAA&#10;BgAGAFsBAAC8AwAAAAA=&#10;">
                        <v:fill on="t" focussize="0,0"/>
                        <v:stroke on="f" miterlimit="8" joinstyle="miter"/>
                        <v:imagedata o:title=""/>
                        <o:lock v:ext="edit" aspectratio="f"/>
                        <v:textbox>
                          <w:txbxContent>
                            <w:p>
                              <w:pPr>
                                <w:rPr>
                                  <w:rFonts w:ascii="Times New Roman" w:hAnsi="Times New Roman" w:cs="Times New Roman"/>
                                  <w:sz w:val="18"/>
                                  <w:szCs w:val="18"/>
                                </w:rPr>
                              </w:pPr>
                              <w:r>
                                <w:rPr>
                                  <w:rFonts w:ascii="Times New Roman" w:hAnsi="Times New Roman" w:cs="Times New Roman"/>
                                  <w:sz w:val="18"/>
                                  <w:szCs w:val="18"/>
                                </w:rPr>
                                <w:t>0.</w:t>
                              </w:r>
                              <w:r>
                                <w:rPr>
                                  <w:rFonts w:hint="eastAsia" w:ascii="Times New Roman" w:hAnsi="Times New Roman" w:cs="Times New Roman"/>
                                  <w:sz w:val="18"/>
                                  <w:szCs w:val="18"/>
                                </w:rPr>
                                <w:t>28</w:t>
                              </w:r>
                            </w:p>
                          </w:txbxContent>
                        </v:textbox>
                      </v:shape>
                      <v:shape id="文本框 2" o:spid="_x0000_s1026" o:spt="202" type="#_x0000_t202" style="position:absolute;left:0;top:194733;height:270000;width:392400;" fillcolor="#FFFFFF" filled="t" stroked="f" coordsize="21600,21600" o:gfxdata="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1J9h+/&#10;AAAA4wAAAA8AAAAAAAAAAQAgAAAAIgAAAGRycy9kb3ducmV2LnhtbFBLAQIUABQAAAAIAIdO4kAz&#10;LwWeOwAAADkAAAAQAAAAAAAAAAEAIAAAAA4BAABkcnMvc2hhcGV4bWwueG1sUEsFBgAAAAAGAAYA&#10;WwEAALgDAAAAAA==&#10;">
                        <v:fill on="t" focussize="0,0"/>
                        <v:stroke on="f" miterlimit="8" joinstyle="miter"/>
                        <v:imagedata o:title=""/>
                        <o:lock v:ext="edit" aspectratio="f"/>
                        <v:textbox>
                          <w:txbxContent>
                            <w:p>
                              <w:pPr>
                                <w:rPr>
                                  <w:rFonts w:ascii="Times New Roman" w:hAnsi="Times New Roman" w:cs="Times New Roman"/>
                                  <w:sz w:val="18"/>
                                  <w:szCs w:val="18"/>
                                </w:rPr>
                              </w:pPr>
                              <w:r>
                                <w:rPr>
                                  <w:rFonts w:ascii="Times New Roman" w:hAnsi="Times New Roman" w:cs="Times New Roman"/>
                                  <w:sz w:val="18"/>
                                  <w:szCs w:val="18"/>
                                </w:rPr>
                                <w:t>0.</w:t>
                              </w:r>
                              <w:r>
                                <w:rPr>
                                  <w:rFonts w:hint="eastAsia" w:ascii="Times New Roman" w:hAnsi="Times New Roman" w:cs="Times New Roman"/>
                                  <w:sz w:val="18"/>
                                  <w:szCs w:val="18"/>
                                </w:rPr>
                                <w:t>45</w:t>
                              </w:r>
                            </w:p>
                          </w:txbxContent>
                        </v:textbox>
                      </v:shape>
                    </v:group>
                  </w:pict>
                </mc:Fallback>
              </mc:AlternateContent>
            </w:r>
          </w:p>
        </w:tc>
        <w:tc>
          <w:tcPr>
            <w:tcW w:w="1236" w:type="dxa"/>
            <w:vMerge w:val="restart"/>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A</w:t>
            </w:r>
          </w:p>
        </w:tc>
        <w:tc>
          <w:tcPr>
            <w:tcW w:w="1236" w:type="dxa"/>
            <w:vMerge w:val="restart"/>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A</w:t>
            </w:r>
          </w:p>
        </w:tc>
        <w:tc>
          <w:tcPr>
            <w:tcW w:w="1236" w:type="dxa"/>
            <w:vMerge w:val="restart"/>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A</w:t>
            </w:r>
          </w:p>
        </w:tc>
        <w:tc>
          <w:tcPr>
            <w:tcW w:w="1236" w:type="dxa"/>
            <w:vMerge w:val="restart"/>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A</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6" w:hRule="atLeast"/>
          <w:jc w:val="center"/>
        </w:trPr>
        <w:tc>
          <w:tcPr>
            <w:tcW w:w="1319" w:type="dxa"/>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0.45</w:t>
            </w:r>
          </w:p>
        </w:tc>
        <w:tc>
          <w:tcPr>
            <w:tcW w:w="1656" w:type="dxa"/>
            <w:vAlign w:val="center"/>
          </w:tcPr>
          <w:p>
            <w:pPr>
              <w:spacing w:line="300" w:lineRule="exact"/>
              <w:jc w:val="center"/>
              <w:rPr>
                <w:rFonts w:hint="eastAsia" w:asciiTheme="minorEastAsia" w:hAnsiTheme="minorEastAsia" w:cstheme="minorEastAsia"/>
                <w:sz w:val="15"/>
                <w:szCs w:val="15"/>
              </w:rPr>
            </w:pPr>
          </w:p>
        </w:tc>
        <w:tc>
          <w:tcPr>
            <w:tcW w:w="1236" w:type="dxa"/>
            <w:vMerge w:val="continue"/>
            <w:vAlign w:val="center"/>
          </w:tcPr>
          <w:p>
            <w:pPr>
              <w:spacing w:line="300" w:lineRule="exact"/>
              <w:jc w:val="center"/>
              <w:rPr>
                <w:rFonts w:hint="eastAsia" w:asciiTheme="minorEastAsia" w:hAnsiTheme="minorEastAsia" w:cstheme="minorEastAsia"/>
                <w:sz w:val="15"/>
                <w:szCs w:val="15"/>
              </w:rPr>
            </w:pPr>
          </w:p>
        </w:tc>
        <w:tc>
          <w:tcPr>
            <w:tcW w:w="1236" w:type="dxa"/>
            <w:vMerge w:val="continue"/>
            <w:vAlign w:val="center"/>
          </w:tcPr>
          <w:p>
            <w:pPr>
              <w:spacing w:line="300" w:lineRule="exact"/>
              <w:jc w:val="center"/>
              <w:rPr>
                <w:rFonts w:hint="eastAsia" w:asciiTheme="minorEastAsia" w:hAnsiTheme="minorEastAsia" w:cstheme="minorEastAsia"/>
                <w:sz w:val="15"/>
                <w:szCs w:val="15"/>
              </w:rPr>
            </w:pPr>
          </w:p>
        </w:tc>
        <w:tc>
          <w:tcPr>
            <w:tcW w:w="1236" w:type="dxa"/>
            <w:vMerge w:val="continue"/>
            <w:vAlign w:val="center"/>
          </w:tcPr>
          <w:p>
            <w:pPr>
              <w:spacing w:line="300" w:lineRule="exact"/>
              <w:jc w:val="center"/>
              <w:rPr>
                <w:rFonts w:hint="eastAsia" w:asciiTheme="minorEastAsia" w:hAnsiTheme="minorEastAsia" w:cstheme="minorEastAsia"/>
                <w:sz w:val="15"/>
                <w:szCs w:val="15"/>
              </w:rPr>
            </w:pPr>
          </w:p>
        </w:tc>
        <w:tc>
          <w:tcPr>
            <w:tcW w:w="1236" w:type="dxa"/>
            <w:vMerge w:val="continue"/>
            <w:vAlign w:val="center"/>
          </w:tcPr>
          <w:p>
            <w:pPr>
              <w:spacing w:line="300" w:lineRule="exact"/>
              <w:jc w:val="center"/>
              <w:rPr>
                <w:rFonts w:hint="eastAsia" w:asciiTheme="minorEastAsia" w:hAnsiTheme="minorEastAsia" w:cstheme="minorEastAsia"/>
                <w:sz w:val="15"/>
                <w:szCs w:val="15"/>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6" w:hRule="atLeast"/>
          <w:jc w:val="center"/>
        </w:trPr>
        <w:tc>
          <w:tcPr>
            <w:tcW w:w="1319" w:type="dxa"/>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0.71</w:t>
            </w:r>
          </w:p>
        </w:tc>
        <w:tc>
          <w:tcPr>
            <w:tcW w:w="1656" w:type="dxa"/>
            <w:vAlign w:val="center"/>
          </w:tcPr>
          <w:p>
            <w:pPr>
              <w:spacing w:line="300" w:lineRule="exact"/>
              <w:jc w:val="center"/>
              <w:rPr>
                <w:rFonts w:hint="eastAsia" w:asciiTheme="minorEastAsia" w:hAnsiTheme="minorEastAsia" w:cstheme="minorEastAsia"/>
                <w:sz w:val="15"/>
                <w:szCs w:val="15"/>
              </w:rPr>
            </w:pPr>
          </w:p>
        </w:tc>
        <w:tc>
          <w:tcPr>
            <w:tcW w:w="1236" w:type="dxa"/>
            <w:vMerge w:val="continue"/>
            <w:vAlign w:val="center"/>
          </w:tcPr>
          <w:p>
            <w:pPr>
              <w:spacing w:line="300" w:lineRule="exact"/>
              <w:jc w:val="center"/>
              <w:rPr>
                <w:rFonts w:hint="eastAsia" w:asciiTheme="minorEastAsia" w:hAnsiTheme="minorEastAsia" w:cstheme="minorEastAsia"/>
                <w:sz w:val="15"/>
                <w:szCs w:val="15"/>
              </w:rPr>
            </w:pPr>
          </w:p>
        </w:tc>
        <w:tc>
          <w:tcPr>
            <w:tcW w:w="1236" w:type="dxa"/>
            <w:vMerge w:val="continue"/>
            <w:vAlign w:val="center"/>
          </w:tcPr>
          <w:p>
            <w:pPr>
              <w:spacing w:line="300" w:lineRule="exact"/>
              <w:jc w:val="center"/>
              <w:rPr>
                <w:rFonts w:hint="eastAsia" w:asciiTheme="minorEastAsia" w:hAnsiTheme="minorEastAsia" w:cstheme="minorEastAsia"/>
                <w:sz w:val="15"/>
                <w:szCs w:val="15"/>
              </w:rPr>
            </w:pPr>
          </w:p>
        </w:tc>
        <w:tc>
          <w:tcPr>
            <w:tcW w:w="1236" w:type="dxa"/>
            <w:vMerge w:val="continue"/>
            <w:vAlign w:val="center"/>
          </w:tcPr>
          <w:p>
            <w:pPr>
              <w:spacing w:line="300" w:lineRule="exact"/>
              <w:jc w:val="center"/>
              <w:rPr>
                <w:rFonts w:hint="eastAsia" w:asciiTheme="minorEastAsia" w:hAnsiTheme="minorEastAsia" w:cstheme="minorEastAsia"/>
                <w:sz w:val="15"/>
                <w:szCs w:val="15"/>
              </w:rPr>
            </w:pPr>
          </w:p>
        </w:tc>
        <w:tc>
          <w:tcPr>
            <w:tcW w:w="1236" w:type="dxa"/>
            <w:vMerge w:val="continue"/>
            <w:vAlign w:val="center"/>
          </w:tcPr>
          <w:p>
            <w:pPr>
              <w:spacing w:line="300" w:lineRule="exact"/>
              <w:jc w:val="center"/>
              <w:rPr>
                <w:rFonts w:hint="eastAsia" w:asciiTheme="minorEastAsia" w:hAnsiTheme="minorEastAsia" w:cstheme="minorEastAsia"/>
                <w:sz w:val="15"/>
                <w:szCs w:val="15"/>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6" w:hRule="atLeast"/>
          <w:jc w:val="center"/>
        </w:trPr>
        <w:tc>
          <w:tcPr>
            <w:tcW w:w="1319" w:type="dxa"/>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1.12</w:t>
            </w:r>
          </w:p>
        </w:tc>
        <w:tc>
          <w:tcPr>
            <w:tcW w:w="1656" w:type="dxa"/>
            <w:vAlign w:val="center"/>
          </w:tcPr>
          <w:p>
            <w:pPr>
              <w:spacing w:line="300" w:lineRule="exact"/>
              <w:jc w:val="center"/>
              <w:rPr>
                <w:rFonts w:hint="eastAsia" w:asciiTheme="minorEastAsia" w:hAnsiTheme="minorEastAsia" w:cstheme="minorEastAsia"/>
                <w:sz w:val="15"/>
                <w:szCs w:val="15"/>
              </w:rPr>
            </w:pPr>
          </w:p>
        </w:tc>
        <w:tc>
          <w:tcPr>
            <w:tcW w:w="1236" w:type="dxa"/>
            <w:vMerge w:val="restart"/>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B</w:t>
            </w:r>
          </w:p>
        </w:tc>
        <w:tc>
          <w:tcPr>
            <w:tcW w:w="1236" w:type="dxa"/>
            <w:vMerge w:val="continue"/>
            <w:vAlign w:val="center"/>
          </w:tcPr>
          <w:p>
            <w:pPr>
              <w:spacing w:line="300" w:lineRule="exact"/>
              <w:jc w:val="center"/>
              <w:rPr>
                <w:rFonts w:hint="eastAsia" w:asciiTheme="minorEastAsia" w:hAnsiTheme="minorEastAsia" w:cstheme="minorEastAsia"/>
                <w:sz w:val="15"/>
                <w:szCs w:val="15"/>
              </w:rPr>
            </w:pPr>
          </w:p>
        </w:tc>
        <w:tc>
          <w:tcPr>
            <w:tcW w:w="1236" w:type="dxa"/>
            <w:vMerge w:val="continue"/>
            <w:vAlign w:val="center"/>
          </w:tcPr>
          <w:p>
            <w:pPr>
              <w:spacing w:line="300" w:lineRule="exact"/>
              <w:jc w:val="center"/>
              <w:rPr>
                <w:rFonts w:hint="eastAsia" w:asciiTheme="minorEastAsia" w:hAnsiTheme="minorEastAsia" w:cstheme="minorEastAsia"/>
                <w:sz w:val="15"/>
                <w:szCs w:val="15"/>
              </w:rPr>
            </w:pPr>
          </w:p>
        </w:tc>
        <w:tc>
          <w:tcPr>
            <w:tcW w:w="1236" w:type="dxa"/>
            <w:vMerge w:val="continue"/>
            <w:vAlign w:val="center"/>
          </w:tcPr>
          <w:p>
            <w:pPr>
              <w:spacing w:line="300" w:lineRule="exact"/>
              <w:jc w:val="center"/>
              <w:rPr>
                <w:rFonts w:hint="eastAsia" w:asciiTheme="minorEastAsia" w:hAnsiTheme="minorEastAsia" w:cstheme="minorEastAsia"/>
                <w:sz w:val="15"/>
                <w:szCs w:val="15"/>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6" w:hRule="atLeast"/>
          <w:jc w:val="center"/>
        </w:trPr>
        <w:tc>
          <w:tcPr>
            <w:tcW w:w="1319" w:type="dxa"/>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1.80</w:t>
            </w:r>
          </w:p>
        </w:tc>
        <w:tc>
          <w:tcPr>
            <w:tcW w:w="1656" w:type="dxa"/>
            <w:vAlign w:val="center"/>
          </w:tcPr>
          <w:p>
            <w:pPr>
              <w:spacing w:line="300" w:lineRule="exact"/>
              <w:jc w:val="center"/>
              <w:rPr>
                <w:rFonts w:hint="eastAsia" w:asciiTheme="minorEastAsia" w:hAnsiTheme="minorEastAsia" w:cstheme="minorEastAsia"/>
                <w:sz w:val="15"/>
                <w:szCs w:val="15"/>
              </w:rPr>
            </w:pPr>
          </w:p>
        </w:tc>
        <w:tc>
          <w:tcPr>
            <w:tcW w:w="1236" w:type="dxa"/>
            <w:vMerge w:val="continue"/>
            <w:vAlign w:val="center"/>
          </w:tcPr>
          <w:p>
            <w:pPr>
              <w:spacing w:line="300" w:lineRule="exact"/>
              <w:jc w:val="center"/>
              <w:rPr>
                <w:rFonts w:hint="eastAsia" w:asciiTheme="minorEastAsia" w:hAnsiTheme="minorEastAsia" w:cstheme="minorEastAsia"/>
                <w:sz w:val="15"/>
                <w:szCs w:val="15"/>
              </w:rPr>
            </w:pPr>
          </w:p>
        </w:tc>
        <w:tc>
          <w:tcPr>
            <w:tcW w:w="1236" w:type="dxa"/>
            <w:vMerge w:val="restart"/>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B</w:t>
            </w:r>
          </w:p>
        </w:tc>
        <w:tc>
          <w:tcPr>
            <w:tcW w:w="1236" w:type="dxa"/>
            <w:vMerge w:val="continue"/>
            <w:vAlign w:val="center"/>
          </w:tcPr>
          <w:p>
            <w:pPr>
              <w:spacing w:line="300" w:lineRule="exact"/>
              <w:jc w:val="center"/>
              <w:rPr>
                <w:rFonts w:hint="eastAsia" w:asciiTheme="minorEastAsia" w:hAnsiTheme="minorEastAsia" w:cstheme="minorEastAsia"/>
                <w:sz w:val="15"/>
                <w:szCs w:val="15"/>
              </w:rPr>
            </w:pPr>
          </w:p>
        </w:tc>
        <w:tc>
          <w:tcPr>
            <w:tcW w:w="1236" w:type="dxa"/>
            <w:vMerge w:val="continue"/>
            <w:vAlign w:val="center"/>
          </w:tcPr>
          <w:p>
            <w:pPr>
              <w:spacing w:line="300" w:lineRule="exact"/>
              <w:jc w:val="center"/>
              <w:rPr>
                <w:rFonts w:hint="eastAsia" w:asciiTheme="minorEastAsia" w:hAnsiTheme="minorEastAsia" w:cstheme="minorEastAsia"/>
                <w:sz w:val="15"/>
                <w:szCs w:val="15"/>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6" w:hRule="atLeast"/>
          <w:jc w:val="center"/>
        </w:trPr>
        <w:tc>
          <w:tcPr>
            <w:tcW w:w="1319" w:type="dxa"/>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2.80</w:t>
            </w:r>
          </w:p>
        </w:tc>
        <w:tc>
          <w:tcPr>
            <w:tcW w:w="1656" w:type="dxa"/>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mc:AlternateContent>
                <mc:Choice Requires="wpg">
                  <w:drawing>
                    <wp:anchor distT="0" distB="0" distL="114300" distR="114300" simplePos="0" relativeHeight="251662336" behindDoc="0" locked="0" layoutInCell="1" allowOverlap="1">
                      <wp:simplePos x="0" y="0"/>
                      <wp:positionH relativeFrom="column">
                        <wp:posOffset>298450</wp:posOffset>
                      </wp:positionH>
                      <wp:positionV relativeFrom="paragraph">
                        <wp:posOffset>-324485</wp:posOffset>
                      </wp:positionV>
                      <wp:extent cx="396240" cy="667385"/>
                      <wp:effectExtent l="0" t="0" r="3810" b="0"/>
                      <wp:wrapNone/>
                      <wp:docPr id="1970111527" name="组合 264"/>
                      <wp:cNvGraphicFramePr/>
                      <a:graphic xmlns:a="http://schemas.openxmlformats.org/drawingml/2006/main">
                        <a:graphicData uri="http://schemas.microsoft.com/office/word/2010/wordprocessingGroup">
                          <wpg:wgp>
                            <wpg:cNvGrpSpPr/>
                            <wpg:grpSpPr>
                              <a:xfrm>
                                <a:off x="0" y="0"/>
                                <a:ext cx="396240" cy="667385"/>
                                <a:chOff x="0" y="0"/>
                                <a:chExt cx="396633" cy="667933"/>
                              </a:xfrm>
                            </wpg:grpSpPr>
                            <wps:wsp>
                              <wps:cNvPr id="1723035712" name="文本框 2"/>
                              <wps:cNvSpPr txBox="1">
                                <a:spLocks noChangeArrowheads="1"/>
                              </wps:cNvSpPr>
                              <wps:spPr bwMode="auto">
                                <a:xfrm>
                                  <a:off x="4233" y="397933"/>
                                  <a:ext cx="392400" cy="270000"/>
                                </a:xfrm>
                                <a:prstGeom prst="rect">
                                  <a:avLst/>
                                </a:prstGeom>
                                <a:solidFill>
                                  <a:srgbClr val="FFFFFF"/>
                                </a:solidFill>
                                <a:ln w="9525">
                                  <a:noFill/>
                                  <a:miter lim="800000"/>
                                </a:ln>
                              </wps:spPr>
                              <wps:txbx>
                                <w:txbxContent>
                                  <w:p>
                                    <w:pPr>
                                      <w:rPr>
                                        <w:rFonts w:ascii="Times New Roman" w:hAnsi="Times New Roman" w:cs="Times New Roman"/>
                                        <w:sz w:val="18"/>
                                        <w:szCs w:val="18"/>
                                      </w:rPr>
                                    </w:pPr>
                                    <w:r>
                                      <w:rPr>
                                        <w:rFonts w:hint="eastAsia" w:ascii="Times New Roman" w:hAnsi="Times New Roman" w:cs="Times New Roman"/>
                                        <w:sz w:val="18"/>
                                        <w:szCs w:val="18"/>
                                      </w:rPr>
                                      <w:t>2</w:t>
                                    </w:r>
                                    <w:r>
                                      <w:rPr>
                                        <w:rFonts w:ascii="Times New Roman" w:hAnsi="Times New Roman" w:cs="Times New Roman"/>
                                        <w:sz w:val="18"/>
                                        <w:szCs w:val="18"/>
                                      </w:rPr>
                                      <w:t>.</w:t>
                                    </w:r>
                                    <w:r>
                                      <w:rPr>
                                        <w:rFonts w:hint="eastAsia" w:ascii="Times New Roman" w:hAnsi="Times New Roman" w:cs="Times New Roman"/>
                                        <w:sz w:val="18"/>
                                        <w:szCs w:val="18"/>
                                      </w:rPr>
                                      <w:t>80</w:t>
                                    </w:r>
                                  </w:p>
                                </w:txbxContent>
                              </wps:txbx>
                              <wps:bodyPr rot="0" vert="horz" wrap="square" lIns="91440" tIns="45720" rIns="91440" bIns="45720" anchor="t" anchorCtr="0">
                                <a:noAutofit/>
                              </wps:bodyPr>
                            </wps:wsp>
                            <wps:wsp>
                              <wps:cNvPr id="129411175" name="文本框 2"/>
                              <wps:cNvSpPr txBox="1">
                                <a:spLocks noChangeArrowheads="1"/>
                              </wps:cNvSpPr>
                              <wps:spPr bwMode="auto">
                                <a:xfrm>
                                  <a:off x="4233" y="0"/>
                                  <a:ext cx="392400" cy="270000"/>
                                </a:xfrm>
                                <a:prstGeom prst="rect">
                                  <a:avLst/>
                                </a:prstGeom>
                                <a:solidFill>
                                  <a:srgbClr val="FFFFFF"/>
                                </a:solidFill>
                                <a:ln w="9525">
                                  <a:noFill/>
                                  <a:miter lim="800000"/>
                                </a:ln>
                              </wps:spPr>
                              <wps:txbx>
                                <w:txbxContent>
                                  <w:p>
                                    <w:pPr>
                                      <w:rPr>
                                        <w:rFonts w:ascii="Times New Roman" w:hAnsi="Times New Roman" w:cs="Times New Roman"/>
                                        <w:sz w:val="18"/>
                                        <w:szCs w:val="18"/>
                                      </w:rPr>
                                    </w:pPr>
                                    <w:r>
                                      <w:rPr>
                                        <w:rFonts w:hint="eastAsia" w:ascii="Times New Roman" w:hAnsi="Times New Roman" w:cs="Times New Roman"/>
                                        <w:sz w:val="18"/>
                                        <w:szCs w:val="18"/>
                                      </w:rPr>
                                      <w:t>1</w:t>
                                    </w:r>
                                    <w:r>
                                      <w:rPr>
                                        <w:rFonts w:ascii="Times New Roman" w:hAnsi="Times New Roman" w:cs="Times New Roman"/>
                                        <w:sz w:val="18"/>
                                        <w:szCs w:val="18"/>
                                      </w:rPr>
                                      <w:t>.</w:t>
                                    </w:r>
                                    <w:r>
                                      <w:rPr>
                                        <w:rFonts w:hint="eastAsia" w:ascii="Times New Roman" w:hAnsi="Times New Roman" w:cs="Times New Roman"/>
                                        <w:sz w:val="18"/>
                                        <w:szCs w:val="18"/>
                                      </w:rPr>
                                      <w:t>12</w:t>
                                    </w:r>
                                  </w:p>
                                </w:txbxContent>
                              </wps:txbx>
                              <wps:bodyPr rot="0" vert="horz" wrap="square" lIns="91440" tIns="45720" rIns="91440" bIns="45720" anchor="t" anchorCtr="0">
                                <a:noAutofit/>
                              </wps:bodyPr>
                            </wps:wsp>
                            <wps:wsp>
                              <wps:cNvPr id="1166514393" name="文本框 2"/>
                              <wps:cNvSpPr txBox="1">
                                <a:spLocks noChangeArrowheads="1"/>
                              </wps:cNvSpPr>
                              <wps:spPr bwMode="auto">
                                <a:xfrm>
                                  <a:off x="0" y="194733"/>
                                  <a:ext cx="392400" cy="270000"/>
                                </a:xfrm>
                                <a:prstGeom prst="rect">
                                  <a:avLst/>
                                </a:prstGeom>
                                <a:solidFill>
                                  <a:srgbClr val="FFFFFF"/>
                                </a:solidFill>
                                <a:ln w="9525">
                                  <a:noFill/>
                                  <a:miter lim="800000"/>
                                </a:ln>
                              </wps:spPr>
                              <wps:txbx>
                                <w:txbxContent>
                                  <w:p>
                                    <w:pPr>
                                      <w:rPr>
                                        <w:rFonts w:ascii="Times New Roman" w:hAnsi="Times New Roman" w:cs="Times New Roman"/>
                                        <w:sz w:val="18"/>
                                        <w:szCs w:val="18"/>
                                      </w:rPr>
                                    </w:pPr>
                                    <w:r>
                                      <w:rPr>
                                        <w:rFonts w:hint="eastAsia" w:ascii="Times New Roman" w:hAnsi="Times New Roman" w:cs="Times New Roman"/>
                                        <w:sz w:val="18"/>
                                        <w:szCs w:val="18"/>
                                      </w:rPr>
                                      <w:t>1</w:t>
                                    </w:r>
                                    <w:r>
                                      <w:rPr>
                                        <w:rFonts w:ascii="Times New Roman" w:hAnsi="Times New Roman" w:cs="Times New Roman"/>
                                        <w:sz w:val="18"/>
                                        <w:szCs w:val="18"/>
                                      </w:rPr>
                                      <w:t>.</w:t>
                                    </w:r>
                                    <w:r>
                                      <w:rPr>
                                        <w:rFonts w:hint="eastAsia" w:ascii="Times New Roman" w:hAnsi="Times New Roman" w:cs="Times New Roman"/>
                                        <w:sz w:val="18"/>
                                        <w:szCs w:val="18"/>
                                      </w:rPr>
                                      <w:t>80</w:t>
                                    </w:r>
                                  </w:p>
                                </w:txbxContent>
                              </wps:txbx>
                              <wps:bodyPr rot="0" vert="horz" wrap="square" lIns="91440" tIns="45720" rIns="91440" bIns="45720" anchor="t" anchorCtr="0">
                                <a:noAutofit/>
                              </wps:bodyPr>
                            </wps:wsp>
                          </wpg:wgp>
                        </a:graphicData>
                      </a:graphic>
                    </wp:anchor>
                  </w:drawing>
                </mc:Choice>
                <mc:Fallback>
                  <w:pict>
                    <v:group id="组合 264" o:spid="_x0000_s1026" o:spt="203" style="position:absolute;left:0pt;margin-left:23.5pt;margin-top:-25.55pt;height:52.55pt;width:31.2pt;z-index:251662336;mso-width-relative:page;mso-height-relative:page;" coordsize="396633,667933" o:gfxdata="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">
                      <o:lock v:ext="edit" aspectratio="f"/>
                      <v:shape id="文本框 2" o:spid="_x0000_s1026" o:spt="202" type="#_x0000_t202" style="position:absolute;left:4233;top:397933;height:270000;width:392400;" fillcolor="#FFFFFF" filled="t" stroked="f" coordsize="21600,21600" o:gfxdata="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EuOy0&#10;wAAAAOMAAAAPAAAAAAAAAAEAIAAAACIAAABkcnMvZG93bnJldi54bWxQSwECFAAUAAAACACHTuJA&#10;My8FnjsAAAA5AAAAEAAAAAAAAAABACAAAAAPAQAAZHJzL3NoYXBleG1sLnhtbFBLBQYAAAAABgAG&#10;AFsBAAC5AwAAAAA=&#10;">
                        <v:fill on="t" focussize="0,0"/>
                        <v:stroke on="f" miterlimit="8" joinstyle="miter"/>
                        <v:imagedata o:title=""/>
                        <o:lock v:ext="edit" aspectratio="f"/>
                        <v:textbox>
                          <w:txbxContent>
                            <w:p>
                              <w:pPr>
                                <w:rPr>
                                  <w:rFonts w:ascii="Times New Roman" w:hAnsi="Times New Roman" w:cs="Times New Roman"/>
                                  <w:sz w:val="18"/>
                                  <w:szCs w:val="18"/>
                                </w:rPr>
                              </w:pPr>
                              <w:r>
                                <w:rPr>
                                  <w:rFonts w:hint="eastAsia" w:ascii="Times New Roman" w:hAnsi="Times New Roman" w:cs="Times New Roman"/>
                                  <w:sz w:val="18"/>
                                  <w:szCs w:val="18"/>
                                </w:rPr>
                                <w:t>2</w:t>
                              </w:r>
                              <w:r>
                                <w:rPr>
                                  <w:rFonts w:ascii="Times New Roman" w:hAnsi="Times New Roman" w:cs="Times New Roman"/>
                                  <w:sz w:val="18"/>
                                  <w:szCs w:val="18"/>
                                </w:rPr>
                                <w:t>.</w:t>
                              </w:r>
                              <w:r>
                                <w:rPr>
                                  <w:rFonts w:hint="eastAsia" w:ascii="Times New Roman" w:hAnsi="Times New Roman" w:cs="Times New Roman"/>
                                  <w:sz w:val="18"/>
                                  <w:szCs w:val="18"/>
                                </w:rPr>
                                <w:t>80</w:t>
                              </w:r>
                            </w:p>
                          </w:txbxContent>
                        </v:textbox>
                      </v:shape>
                      <v:shape id="文本框 2" o:spid="_x0000_s1026" o:spt="202" type="#_x0000_t202" style="position:absolute;left:4233;top:0;height:270000;width:392400;" fillcolor="#FFFFFF" filled="t" stroked="f" coordsize="21600,21600" o:gfxdata="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Q7o1zvQAA&#10;AOIAAAAPAAAAAAAAAAEAIAAAACIAAABkcnMvZG93bnJldi54bWxQSwECFAAUAAAACACHTuJAMy8F&#10;njsAAAA5AAAAEAAAAAAAAAABACAAAAAMAQAAZHJzL3NoYXBleG1sLnhtbFBLBQYAAAAABgAGAFsB&#10;AAC2AwAAAAA=&#10;">
                        <v:fill on="t" focussize="0,0"/>
                        <v:stroke on="f" miterlimit="8" joinstyle="miter"/>
                        <v:imagedata o:title=""/>
                        <o:lock v:ext="edit" aspectratio="f"/>
                        <v:textbox>
                          <w:txbxContent>
                            <w:p>
                              <w:pPr>
                                <w:rPr>
                                  <w:rFonts w:ascii="Times New Roman" w:hAnsi="Times New Roman" w:cs="Times New Roman"/>
                                  <w:sz w:val="18"/>
                                  <w:szCs w:val="18"/>
                                </w:rPr>
                              </w:pPr>
                              <w:r>
                                <w:rPr>
                                  <w:rFonts w:hint="eastAsia" w:ascii="Times New Roman" w:hAnsi="Times New Roman" w:cs="Times New Roman"/>
                                  <w:sz w:val="18"/>
                                  <w:szCs w:val="18"/>
                                </w:rPr>
                                <w:t>1</w:t>
                              </w:r>
                              <w:r>
                                <w:rPr>
                                  <w:rFonts w:ascii="Times New Roman" w:hAnsi="Times New Roman" w:cs="Times New Roman"/>
                                  <w:sz w:val="18"/>
                                  <w:szCs w:val="18"/>
                                </w:rPr>
                                <w:t>.</w:t>
                              </w:r>
                              <w:r>
                                <w:rPr>
                                  <w:rFonts w:hint="eastAsia" w:ascii="Times New Roman" w:hAnsi="Times New Roman" w:cs="Times New Roman"/>
                                  <w:sz w:val="18"/>
                                  <w:szCs w:val="18"/>
                                </w:rPr>
                                <w:t>12</w:t>
                              </w:r>
                            </w:p>
                          </w:txbxContent>
                        </v:textbox>
                      </v:shape>
                      <v:shape id="文本框 2" o:spid="_x0000_s1026" o:spt="202" type="#_x0000_t202" style="position:absolute;left:0;top:194733;height:270000;width:392400;" fillcolor="#FFFFFF" filled="t" stroked="f" coordsize="21600,21600" o:gfxdata="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ykui&#10;L8EAAADjAAAADwAAAAAAAAABACAAAAAiAAAAZHJzL2Rvd25yZXYueG1sUEsBAhQAFAAAAAgAh07i&#10;QDMvBZ47AAAAOQAAABAAAAAAAAAAAQAgAAAAEAEAAGRycy9zaGFwZXhtbC54bWxQSwUGAAAAAAYA&#10;BgBbAQAAugMAAAAA&#10;">
                        <v:fill on="t" focussize="0,0"/>
                        <v:stroke on="f" miterlimit="8" joinstyle="miter"/>
                        <v:imagedata o:title=""/>
                        <o:lock v:ext="edit" aspectratio="f"/>
                        <v:textbox>
                          <w:txbxContent>
                            <w:p>
                              <w:pPr>
                                <w:rPr>
                                  <w:rFonts w:ascii="Times New Roman" w:hAnsi="Times New Roman" w:cs="Times New Roman"/>
                                  <w:sz w:val="18"/>
                                  <w:szCs w:val="18"/>
                                </w:rPr>
                              </w:pPr>
                              <w:r>
                                <w:rPr>
                                  <w:rFonts w:hint="eastAsia" w:ascii="Times New Roman" w:hAnsi="Times New Roman" w:cs="Times New Roman"/>
                                  <w:sz w:val="18"/>
                                  <w:szCs w:val="18"/>
                                </w:rPr>
                                <w:t>1</w:t>
                              </w:r>
                              <w:r>
                                <w:rPr>
                                  <w:rFonts w:ascii="Times New Roman" w:hAnsi="Times New Roman" w:cs="Times New Roman"/>
                                  <w:sz w:val="18"/>
                                  <w:szCs w:val="18"/>
                                </w:rPr>
                                <w:t>.</w:t>
                              </w:r>
                              <w:r>
                                <w:rPr>
                                  <w:rFonts w:hint="eastAsia" w:ascii="Times New Roman" w:hAnsi="Times New Roman" w:cs="Times New Roman"/>
                                  <w:sz w:val="18"/>
                                  <w:szCs w:val="18"/>
                                </w:rPr>
                                <w:t>80</w:t>
                              </w:r>
                            </w:p>
                          </w:txbxContent>
                        </v:textbox>
                      </v:shape>
                    </v:group>
                  </w:pict>
                </mc:Fallback>
              </mc:AlternateContent>
            </w:r>
          </w:p>
        </w:tc>
        <w:tc>
          <w:tcPr>
            <w:tcW w:w="1236" w:type="dxa"/>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C</w:t>
            </w:r>
          </w:p>
        </w:tc>
        <w:tc>
          <w:tcPr>
            <w:tcW w:w="1236" w:type="dxa"/>
            <w:vMerge w:val="continue"/>
            <w:vAlign w:val="center"/>
          </w:tcPr>
          <w:p>
            <w:pPr>
              <w:spacing w:line="300" w:lineRule="exact"/>
              <w:jc w:val="center"/>
              <w:rPr>
                <w:rFonts w:hint="eastAsia" w:asciiTheme="minorEastAsia" w:hAnsiTheme="minorEastAsia" w:cstheme="minorEastAsia"/>
                <w:sz w:val="15"/>
                <w:szCs w:val="15"/>
              </w:rPr>
            </w:pPr>
          </w:p>
        </w:tc>
        <w:tc>
          <w:tcPr>
            <w:tcW w:w="1236" w:type="dxa"/>
            <w:vMerge w:val="restart"/>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B</w:t>
            </w:r>
          </w:p>
        </w:tc>
        <w:tc>
          <w:tcPr>
            <w:tcW w:w="1236" w:type="dxa"/>
            <w:vMerge w:val="continue"/>
            <w:vAlign w:val="center"/>
          </w:tcPr>
          <w:p>
            <w:pPr>
              <w:spacing w:line="300" w:lineRule="exact"/>
              <w:jc w:val="center"/>
              <w:rPr>
                <w:rFonts w:hint="eastAsia" w:asciiTheme="minorEastAsia" w:hAnsiTheme="minorEastAsia" w:cstheme="minorEastAsia"/>
                <w:sz w:val="15"/>
                <w:szCs w:val="15"/>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94" w:hRule="atLeast"/>
          <w:jc w:val="center"/>
        </w:trPr>
        <w:tc>
          <w:tcPr>
            <w:tcW w:w="1319" w:type="dxa"/>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4.50</w:t>
            </w:r>
          </w:p>
        </w:tc>
        <w:tc>
          <w:tcPr>
            <w:tcW w:w="1656" w:type="dxa"/>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mc:AlternateContent>
                <mc:Choice Requires="wpg">
                  <w:drawing>
                    <wp:anchor distT="0" distB="0" distL="114300" distR="114300" simplePos="0" relativeHeight="251668480" behindDoc="0" locked="0" layoutInCell="1" allowOverlap="1">
                      <wp:simplePos x="0" y="0"/>
                      <wp:positionH relativeFrom="column">
                        <wp:posOffset>300355</wp:posOffset>
                      </wp:positionH>
                      <wp:positionV relativeFrom="paragraph">
                        <wp:posOffset>55880</wp:posOffset>
                      </wp:positionV>
                      <wp:extent cx="473710" cy="667385"/>
                      <wp:effectExtent l="0" t="0" r="2540" b="0"/>
                      <wp:wrapNone/>
                      <wp:docPr id="1530310222" name="组合 264"/>
                      <wp:cNvGraphicFramePr/>
                      <a:graphic xmlns:a="http://schemas.openxmlformats.org/drawingml/2006/main">
                        <a:graphicData uri="http://schemas.microsoft.com/office/word/2010/wordprocessingGroup">
                          <wpg:wgp>
                            <wpg:cNvGrpSpPr/>
                            <wpg:grpSpPr>
                              <a:xfrm>
                                <a:off x="0" y="0"/>
                                <a:ext cx="473710" cy="667385"/>
                                <a:chOff x="0" y="0"/>
                                <a:chExt cx="474824" cy="667933"/>
                              </a:xfrm>
                            </wpg:grpSpPr>
                            <wps:wsp>
                              <wps:cNvPr id="1363524499" name="文本框 2"/>
                              <wps:cNvSpPr txBox="1">
                                <a:spLocks noChangeArrowheads="1"/>
                              </wps:cNvSpPr>
                              <wps:spPr bwMode="auto">
                                <a:xfrm>
                                  <a:off x="4233" y="397933"/>
                                  <a:ext cx="449182" cy="270000"/>
                                </a:xfrm>
                                <a:prstGeom prst="rect">
                                  <a:avLst/>
                                </a:prstGeom>
                                <a:solidFill>
                                  <a:srgbClr val="FFFFFF"/>
                                </a:solidFill>
                                <a:ln w="9525">
                                  <a:noFill/>
                                  <a:miter lim="800000"/>
                                </a:ln>
                              </wps:spPr>
                              <wps:txbx>
                                <w:txbxContent>
                                  <w:p>
                                    <w:pPr>
                                      <w:rPr>
                                        <w:rFonts w:ascii="Times New Roman" w:hAnsi="Times New Roman" w:cs="Times New Roman"/>
                                        <w:sz w:val="18"/>
                                        <w:szCs w:val="18"/>
                                      </w:rPr>
                                    </w:pPr>
                                    <w:r>
                                      <w:rPr>
                                        <w:rFonts w:hint="eastAsia" w:ascii="Times New Roman" w:hAnsi="Times New Roman" w:cs="Times New Roman"/>
                                        <w:sz w:val="18"/>
                                        <w:szCs w:val="18"/>
                                      </w:rPr>
                                      <w:t>11</w:t>
                                    </w:r>
                                    <w:r>
                                      <w:rPr>
                                        <w:rFonts w:ascii="Times New Roman" w:hAnsi="Times New Roman" w:cs="Times New Roman"/>
                                        <w:sz w:val="18"/>
                                        <w:szCs w:val="18"/>
                                      </w:rPr>
                                      <w:t>.</w:t>
                                    </w:r>
                                    <w:r>
                                      <w:rPr>
                                        <w:rFonts w:hint="eastAsia" w:ascii="Times New Roman" w:hAnsi="Times New Roman" w:cs="Times New Roman"/>
                                        <w:sz w:val="18"/>
                                        <w:szCs w:val="18"/>
                                      </w:rPr>
                                      <w:t>20</w:t>
                                    </w:r>
                                  </w:p>
                                </w:txbxContent>
                              </wps:txbx>
                              <wps:bodyPr rot="0" vert="horz" wrap="square" lIns="91440" tIns="45720" rIns="91440" bIns="45720" anchor="t" anchorCtr="0">
                                <a:noAutofit/>
                              </wps:bodyPr>
                            </wps:wsp>
                            <wps:wsp>
                              <wps:cNvPr id="1284953970" name="文本框 2"/>
                              <wps:cNvSpPr txBox="1">
                                <a:spLocks noChangeArrowheads="1"/>
                              </wps:cNvSpPr>
                              <wps:spPr bwMode="auto">
                                <a:xfrm>
                                  <a:off x="4233" y="0"/>
                                  <a:ext cx="470591" cy="270000"/>
                                </a:xfrm>
                                <a:prstGeom prst="rect">
                                  <a:avLst/>
                                </a:prstGeom>
                                <a:solidFill>
                                  <a:srgbClr val="FFFFFF"/>
                                </a:solidFill>
                                <a:ln w="9525">
                                  <a:noFill/>
                                  <a:miter lim="800000"/>
                                </a:ln>
                              </wps:spPr>
                              <wps:txbx>
                                <w:txbxContent>
                                  <w:p>
                                    <w:pPr>
                                      <w:rPr>
                                        <w:rFonts w:ascii="Times New Roman" w:hAnsi="Times New Roman" w:cs="Times New Roman"/>
                                        <w:sz w:val="18"/>
                                        <w:szCs w:val="18"/>
                                      </w:rPr>
                                    </w:pPr>
                                    <w:r>
                                      <w:rPr>
                                        <w:rFonts w:hint="eastAsia" w:ascii="Times New Roman" w:hAnsi="Times New Roman" w:cs="Times New Roman"/>
                                        <w:sz w:val="18"/>
                                        <w:szCs w:val="18"/>
                                      </w:rPr>
                                      <w:t>4.50</w:t>
                                    </w:r>
                                  </w:p>
                                </w:txbxContent>
                              </wps:txbx>
                              <wps:bodyPr rot="0" vert="horz" wrap="square" lIns="91440" tIns="45720" rIns="91440" bIns="45720" anchor="t" anchorCtr="0">
                                <a:noAutofit/>
                              </wps:bodyPr>
                            </wps:wsp>
                            <wps:wsp>
                              <wps:cNvPr id="1341237862" name="文本框 2"/>
                              <wps:cNvSpPr txBox="1">
                                <a:spLocks noChangeArrowheads="1"/>
                              </wps:cNvSpPr>
                              <wps:spPr bwMode="auto">
                                <a:xfrm>
                                  <a:off x="0" y="194733"/>
                                  <a:ext cx="453415" cy="270000"/>
                                </a:xfrm>
                                <a:prstGeom prst="rect">
                                  <a:avLst/>
                                </a:prstGeom>
                                <a:solidFill>
                                  <a:srgbClr val="FFFFFF"/>
                                </a:solidFill>
                                <a:ln w="9525">
                                  <a:noFill/>
                                  <a:miter lim="800000"/>
                                </a:ln>
                              </wps:spPr>
                              <wps:txbx>
                                <w:txbxContent>
                                  <w:p>
                                    <w:pPr>
                                      <w:rPr>
                                        <w:rFonts w:ascii="Times New Roman" w:hAnsi="Times New Roman" w:cs="Times New Roman"/>
                                        <w:sz w:val="18"/>
                                        <w:szCs w:val="18"/>
                                      </w:rPr>
                                    </w:pPr>
                                    <w:r>
                                      <w:rPr>
                                        <w:rFonts w:hint="eastAsia" w:ascii="Times New Roman" w:hAnsi="Times New Roman" w:cs="Times New Roman"/>
                                        <w:sz w:val="18"/>
                                        <w:szCs w:val="18"/>
                                      </w:rPr>
                                      <w:t>7</w:t>
                                    </w:r>
                                    <w:r>
                                      <w:rPr>
                                        <w:rFonts w:ascii="Times New Roman" w:hAnsi="Times New Roman" w:cs="Times New Roman"/>
                                        <w:sz w:val="18"/>
                                        <w:szCs w:val="18"/>
                                      </w:rPr>
                                      <w:t>.</w:t>
                                    </w:r>
                                    <w:r>
                                      <w:rPr>
                                        <w:rFonts w:hint="eastAsia" w:ascii="Times New Roman" w:hAnsi="Times New Roman" w:cs="Times New Roman"/>
                                        <w:sz w:val="18"/>
                                        <w:szCs w:val="18"/>
                                      </w:rPr>
                                      <w:t>10</w:t>
                                    </w:r>
                                  </w:p>
                                </w:txbxContent>
                              </wps:txbx>
                              <wps:bodyPr rot="0" vert="horz" wrap="square" lIns="91440" tIns="45720" rIns="91440" bIns="45720" anchor="t" anchorCtr="0">
                                <a:noAutofit/>
                              </wps:bodyPr>
                            </wps:wsp>
                          </wpg:wgp>
                        </a:graphicData>
                      </a:graphic>
                    </wp:anchor>
                  </w:drawing>
                </mc:Choice>
                <mc:Fallback>
                  <w:pict>
                    <v:group id="组合 264" o:spid="_x0000_s1026" o:spt="203" style="position:absolute;left:0pt;margin-left:23.65pt;margin-top:4.4pt;height:52.55pt;width:37.3pt;z-index:251668480;mso-width-relative:page;mso-height-relative:page;" coordsize="474824,667933" o:gfxdata="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">
                      <o:lock v:ext="edit" aspectratio="f"/>
                      <v:shape id="文本框 2" o:spid="_x0000_s1026" o:spt="202" type="#_x0000_t202" style="position:absolute;left:4233;top:397933;height:270000;width:449182;" fillcolor="#FFFFFF" filled="t" stroked="f" coordsize="21600,21600" o:gfxdata="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KqpKe/&#10;AAAA4wAAAA8AAAAAAAAAAQAgAAAAIgAAAGRycy9kb3ducmV2LnhtbFBLAQIUABQAAAAIAIdO4kAz&#10;LwWeOwAAADkAAAAQAAAAAAAAAAEAIAAAAA4BAABkcnMvc2hhcGV4bWwueG1sUEsFBgAAAAAGAAYA&#10;WwEAALgDAAAAAA==&#10;">
                        <v:fill on="t" focussize="0,0"/>
                        <v:stroke on="f" miterlimit="8" joinstyle="miter"/>
                        <v:imagedata o:title=""/>
                        <o:lock v:ext="edit" aspectratio="f"/>
                        <v:textbox>
                          <w:txbxContent>
                            <w:p>
                              <w:pPr>
                                <w:rPr>
                                  <w:rFonts w:ascii="Times New Roman" w:hAnsi="Times New Roman" w:cs="Times New Roman"/>
                                  <w:sz w:val="18"/>
                                  <w:szCs w:val="18"/>
                                </w:rPr>
                              </w:pPr>
                              <w:r>
                                <w:rPr>
                                  <w:rFonts w:hint="eastAsia" w:ascii="Times New Roman" w:hAnsi="Times New Roman" w:cs="Times New Roman"/>
                                  <w:sz w:val="18"/>
                                  <w:szCs w:val="18"/>
                                </w:rPr>
                                <w:t>11</w:t>
                              </w:r>
                              <w:r>
                                <w:rPr>
                                  <w:rFonts w:ascii="Times New Roman" w:hAnsi="Times New Roman" w:cs="Times New Roman"/>
                                  <w:sz w:val="18"/>
                                  <w:szCs w:val="18"/>
                                </w:rPr>
                                <w:t>.</w:t>
                              </w:r>
                              <w:r>
                                <w:rPr>
                                  <w:rFonts w:hint="eastAsia" w:ascii="Times New Roman" w:hAnsi="Times New Roman" w:cs="Times New Roman"/>
                                  <w:sz w:val="18"/>
                                  <w:szCs w:val="18"/>
                                </w:rPr>
                                <w:t>20</w:t>
                              </w:r>
                            </w:p>
                          </w:txbxContent>
                        </v:textbox>
                      </v:shape>
                      <v:shape id="文本框 2" o:spid="_x0000_s1026" o:spt="202" type="#_x0000_t202" style="position:absolute;left:4233;top:0;height:270000;width:470591;" fillcolor="#FFFFFF" filled="t" stroked="f" coordsize="21600,21600" o:gfxdata="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AC&#10;VMWUwwAAAOMAAAAPAAAAAAAAAAEAIAAAACIAAABkcnMvZG93bnJldi54bWxQSwECFAAUAAAACACH&#10;TuJAMy8FnjsAAAA5AAAAEAAAAAAAAAABACAAAAASAQAAZHJzL3NoYXBleG1sLnhtbFBLBQYAAAAA&#10;BgAGAFsBAAC8AwAAAAA=&#10;">
                        <v:fill on="t" focussize="0,0"/>
                        <v:stroke on="f" miterlimit="8" joinstyle="miter"/>
                        <v:imagedata o:title=""/>
                        <o:lock v:ext="edit" aspectratio="f"/>
                        <v:textbox>
                          <w:txbxContent>
                            <w:p>
                              <w:pPr>
                                <w:rPr>
                                  <w:rFonts w:ascii="Times New Roman" w:hAnsi="Times New Roman" w:cs="Times New Roman"/>
                                  <w:sz w:val="18"/>
                                  <w:szCs w:val="18"/>
                                </w:rPr>
                              </w:pPr>
                              <w:r>
                                <w:rPr>
                                  <w:rFonts w:hint="eastAsia" w:ascii="Times New Roman" w:hAnsi="Times New Roman" w:cs="Times New Roman"/>
                                  <w:sz w:val="18"/>
                                  <w:szCs w:val="18"/>
                                </w:rPr>
                                <w:t>4.50</w:t>
                              </w:r>
                            </w:p>
                          </w:txbxContent>
                        </v:textbox>
                      </v:shape>
                      <v:shape id="文本框 2" o:spid="_x0000_s1026" o:spt="202" type="#_x0000_t202" style="position:absolute;left:0;top:194733;height:270000;width:453415;" fillcolor="#FFFFFF" filled="t" stroked="f" coordsize="21600,21600" o:gfxdata="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WgVDW/&#10;AAAA4wAAAA8AAAAAAAAAAQAgAAAAIgAAAGRycy9kb3ducmV2LnhtbFBLAQIUABQAAAAIAIdO4kAz&#10;LwWeOwAAADkAAAAQAAAAAAAAAAEAIAAAAA4BAABkcnMvc2hhcGV4bWwueG1sUEsFBgAAAAAGAAYA&#10;WwEAALgDAAAAAA==&#10;">
                        <v:fill on="t" focussize="0,0"/>
                        <v:stroke on="f" miterlimit="8" joinstyle="miter"/>
                        <v:imagedata o:title=""/>
                        <o:lock v:ext="edit" aspectratio="f"/>
                        <v:textbox>
                          <w:txbxContent>
                            <w:p>
                              <w:pPr>
                                <w:rPr>
                                  <w:rFonts w:ascii="Times New Roman" w:hAnsi="Times New Roman" w:cs="Times New Roman"/>
                                  <w:sz w:val="18"/>
                                  <w:szCs w:val="18"/>
                                </w:rPr>
                              </w:pPr>
                              <w:r>
                                <w:rPr>
                                  <w:rFonts w:hint="eastAsia" w:ascii="Times New Roman" w:hAnsi="Times New Roman" w:cs="Times New Roman"/>
                                  <w:sz w:val="18"/>
                                  <w:szCs w:val="18"/>
                                </w:rPr>
                                <w:t>7</w:t>
                              </w:r>
                              <w:r>
                                <w:rPr>
                                  <w:rFonts w:ascii="Times New Roman" w:hAnsi="Times New Roman" w:cs="Times New Roman"/>
                                  <w:sz w:val="18"/>
                                  <w:szCs w:val="18"/>
                                </w:rPr>
                                <w:t>.</w:t>
                              </w:r>
                              <w:r>
                                <w:rPr>
                                  <w:rFonts w:hint="eastAsia" w:ascii="Times New Roman" w:hAnsi="Times New Roman" w:cs="Times New Roman"/>
                                  <w:sz w:val="18"/>
                                  <w:szCs w:val="18"/>
                                </w:rPr>
                                <w:t>10</w:t>
                              </w:r>
                            </w:p>
                          </w:txbxContent>
                        </v:textbox>
                      </v:shape>
                    </v:group>
                  </w:pict>
                </mc:Fallback>
              </mc:AlternateContent>
            </w:r>
          </w:p>
        </w:tc>
        <w:tc>
          <w:tcPr>
            <w:tcW w:w="1236" w:type="dxa"/>
            <w:vMerge w:val="restart"/>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D</w:t>
            </w:r>
          </w:p>
        </w:tc>
        <w:tc>
          <w:tcPr>
            <w:tcW w:w="1236" w:type="dxa"/>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C</w:t>
            </w:r>
          </w:p>
        </w:tc>
        <w:tc>
          <w:tcPr>
            <w:tcW w:w="1236" w:type="dxa"/>
            <w:vMerge w:val="continue"/>
            <w:vAlign w:val="center"/>
          </w:tcPr>
          <w:p>
            <w:pPr>
              <w:spacing w:line="300" w:lineRule="exact"/>
              <w:jc w:val="center"/>
              <w:rPr>
                <w:rFonts w:hint="eastAsia" w:asciiTheme="minorEastAsia" w:hAnsiTheme="minorEastAsia" w:cstheme="minorEastAsia"/>
                <w:sz w:val="15"/>
                <w:szCs w:val="15"/>
              </w:rPr>
            </w:pPr>
          </w:p>
        </w:tc>
        <w:tc>
          <w:tcPr>
            <w:tcW w:w="1236" w:type="dxa"/>
            <w:vMerge w:val="restart"/>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B</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6" w:hRule="atLeast"/>
          <w:jc w:val="center"/>
        </w:trPr>
        <w:tc>
          <w:tcPr>
            <w:tcW w:w="1319" w:type="dxa"/>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7.10</w:t>
            </w:r>
          </w:p>
        </w:tc>
        <w:tc>
          <w:tcPr>
            <w:tcW w:w="1656" w:type="dxa"/>
            <w:vAlign w:val="center"/>
          </w:tcPr>
          <w:p>
            <w:pPr>
              <w:spacing w:line="300" w:lineRule="exact"/>
              <w:jc w:val="center"/>
              <w:rPr>
                <w:rFonts w:hint="eastAsia" w:asciiTheme="minorEastAsia" w:hAnsiTheme="minorEastAsia" w:cstheme="minorEastAsia"/>
                <w:sz w:val="15"/>
                <w:szCs w:val="15"/>
              </w:rPr>
            </w:pPr>
          </w:p>
        </w:tc>
        <w:tc>
          <w:tcPr>
            <w:tcW w:w="1236" w:type="dxa"/>
            <w:vMerge w:val="continue"/>
            <w:vAlign w:val="center"/>
          </w:tcPr>
          <w:p>
            <w:pPr>
              <w:spacing w:line="300" w:lineRule="exact"/>
              <w:jc w:val="center"/>
              <w:rPr>
                <w:rFonts w:hint="eastAsia" w:asciiTheme="minorEastAsia" w:hAnsiTheme="minorEastAsia" w:cstheme="minorEastAsia"/>
                <w:sz w:val="15"/>
                <w:szCs w:val="15"/>
              </w:rPr>
            </w:pPr>
          </w:p>
        </w:tc>
        <w:tc>
          <w:tcPr>
            <w:tcW w:w="1236" w:type="dxa"/>
            <w:vMerge w:val="restart"/>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D</w:t>
            </w:r>
          </w:p>
        </w:tc>
        <w:tc>
          <w:tcPr>
            <w:tcW w:w="1236" w:type="dxa"/>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C</w:t>
            </w:r>
          </w:p>
        </w:tc>
        <w:tc>
          <w:tcPr>
            <w:tcW w:w="1236" w:type="dxa"/>
            <w:vMerge w:val="continue"/>
            <w:vAlign w:val="center"/>
          </w:tcPr>
          <w:p>
            <w:pPr>
              <w:spacing w:line="300" w:lineRule="exact"/>
              <w:jc w:val="center"/>
              <w:rPr>
                <w:rFonts w:hint="eastAsia" w:asciiTheme="minorEastAsia" w:hAnsiTheme="minorEastAsia" w:cstheme="minorEastAsia"/>
                <w:sz w:val="15"/>
                <w:szCs w:val="15"/>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6" w:hRule="atLeast"/>
          <w:jc w:val="center"/>
        </w:trPr>
        <w:tc>
          <w:tcPr>
            <w:tcW w:w="1319" w:type="dxa"/>
            <w:vAlign w:val="center"/>
          </w:tcPr>
          <w:p>
            <w:pPr>
              <w:spacing w:line="300" w:lineRule="exact"/>
              <w:jc w:val="center"/>
              <w:rPr>
                <w:rFonts w:hint="eastAsia" w:asciiTheme="minorEastAsia" w:hAnsiTheme="minorEastAsia" w:cstheme="minorEastAsia"/>
                <w:sz w:val="15"/>
                <w:szCs w:val="15"/>
              </w:rPr>
            </w:pPr>
            <w:bookmarkStart w:id="245" w:name="OLE_LINK65"/>
            <w:r>
              <w:rPr>
                <w:rFonts w:hint="eastAsia" w:asciiTheme="minorEastAsia" w:hAnsiTheme="minorEastAsia" w:cstheme="minorEastAsia"/>
                <w:sz w:val="15"/>
                <w:szCs w:val="15"/>
              </w:rPr>
              <w:t>11.20</w:t>
            </w:r>
          </w:p>
        </w:tc>
        <w:tc>
          <w:tcPr>
            <w:tcW w:w="1656" w:type="dxa"/>
            <w:vAlign w:val="center"/>
          </w:tcPr>
          <w:p>
            <w:pPr>
              <w:spacing w:line="300" w:lineRule="exact"/>
              <w:jc w:val="center"/>
              <w:rPr>
                <w:rFonts w:hint="eastAsia" w:asciiTheme="minorEastAsia" w:hAnsiTheme="minorEastAsia" w:cstheme="minorEastAsia"/>
                <w:sz w:val="15"/>
                <w:szCs w:val="15"/>
              </w:rPr>
            </w:pPr>
          </w:p>
        </w:tc>
        <w:tc>
          <w:tcPr>
            <w:tcW w:w="1236" w:type="dxa"/>
            <w:vMerge w:val="continue"/>
            <w:vAlign w:val="center"/>
          </w:tcPr>
          <w:p>
            <w:pPr>
              <w:spacing w:line="300" w:lineRule="exact"/>
              <w:jc w:val="center"/>
              <w:rPr>
                <w:rFonts w:hint="eastAsia" w:asciiTheme="minorEastAsia" w:hAnsiTheme="minorEastAsia" w:cstheme="minorEastAsia"/>
                <w:sz w:val="15"/>
                <w:szCs w:val="15"/>
              </w:rPr>
            </w:pPr>
          </w:p>
        </w:tc>
        <w:tc>
          <w:tcPr>
            <w:tcW w:w="1236" w:type="dxa"/>
            <w:vMerge w:val="continue"/>
            <w:vAlign w:val="center"/>
          </w:tcPr>
          <w:p>
            <w:pPr>
              <w:spacing w:line="300" w:lineRule="exact"/>
              <w:jc w:val="center"/>
              <w:rPr>
                <w:rFonts w:hint="eastAsia" w:asciiTheme="minorEastAsia" w:hAnsiTheme="minorEastAsia" w:cstheme="minorEastAsia"/>
                <w:sz w:val="15"/>
                <w:szCs w:val="15"/>
              </w:rPr>
            </w:pPr>
          </w:p>
        </w:tc>
        <w:tc>
          <w:tcPr>
            <w:tcW w:w="1236" w:type="dxa"/>
            <w:vMerge w:val="restart"/>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D</w:t>
            </w:r>
          </w:p>
        </w:tc>
        <w:tc>
          <w:tcPr>
            <w:tcW w:w="1236" w:type="dxa"/>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C</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6" w:hRule="atLeast"/>
          <w:jc w:val="center"/>
        </w:trPr>
        <w:tc>
          <w:tcPr>
            <w:tcW w:w="1319" w:type="dxa"/>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18.00</w:t>
            </w:r>
          </w:p>
        </w:tc>
        <w:tc>
          <w:tcPr>
            <w:tcW w:w="1656" w:type="dxa"/>
            <w:vAlign w:val="center"/>
          </w:tcPr>
          <w:p>
            <w:pPr>
              <w:spacing w:line="300" w:lineRule="exact"/>
              <w:jc w:val="center"/>
              <w:rPr>
                <w:rFonts w:hint="eastAsia" w:asciiTheme="minorEastAsia" w:hAnsiTheme="minorEastAsia" w:cstheme="minorEastAsia"/>
                <w:sz w:val="15"/>
                <w:szCs w:val="15"/>
              </w:rPr>
            </w:pPr>
          </w:p>
        </w:tc>
        <w:tc>
          <w:tcPr>
            <w:tcW w:w="1236" w:type="dxa"/>
            <w:vMerge w:val="continue"/>
            <w:vAlign w:val="center"/>
          </w:tcPr>
          <w:p>
            <w:pPr>
              <w:spacing w:line="300" w:lineRule="exact"/>
              <w:jc w:val="center"/>
              <w:rPr>
                <w:rFonts w:hint="eastAsia" w:asciiTheme="minorEastAsia" w:hAnsiTheme="minorEastAsia" w:cstheme="minorEastAsia"/>
                <w:sz w:val="15"/>
                <w:szCs w:val="15"/>
              </w:rPr>
            </w:pPr>
          </w:p>
        </w:tc>
        <w:tc>
          <w:tcPr>
            <w:tcW w:w="1236" w:type="dxa"/>
            <w:vMerge w:val="continue"/>
            <w:vAlign w:val="center"/>
          </w:tcPr>
          <w:p>
            <w:pPr>
              <w:spacing w:line="300" w:lineRule="exact"/>
              <w:jc w:val="center"/>
              <w:rPr>
                <w:rFonts w:hint="eastAsia" w:asciiTheme="minorEastAsia" w:hAnsiTheme="minorEastAsia" w:cstheme="minorEastAsia"/>
                <w:sz w:val="15"/>
                <w:szCs w:val="15"/>
              </w:rPr>
            </w:pPr>
          </w:p>
        </w:tc>
        <w:tc>
          <w:tcPr>
            <w:tcW w:w="1236" w:type="dxa"/>
            <w:vMerge w:val="continue"/>
            <w:vAlign w:val="center"/>
          </w:tcPr>
          <w:p>
            <w:pPr>
              <w:spacing w:line="300" w:lineRule="exact"/>
              <w:jc w:val="center"/>
              <w:rPr>
                <w:rFonts w:hint="eastAsia" w:asciiTheme="minorEastAsia" w:hAnsiTheme="minorEastAsia" w:cstheme="minorEastAsia"/>
                <w:sz w:val="15"/>
                <w:szCs w:val="15"/>
              </w:rPr>
            </w:pPr>
          </w:p>
        </w:tc>
        <w:tc>
          <w:tcPr>
            <w:tcW w:w="1236" w:type="dxa"/>
            <w:vMerge w:val="restart"/>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D</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6" w:hRule="atLeast"/>
          <w:jc w:val="center"/>
        </w:trPr>
        <w:tc>
          <w:tcPr>
            <w:tcW w:w="1319" w:type="dxa"/>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28.00</w:t>
            </w:r>
          </w:p>
        </w:tc>
        <w:tc>
          <w:tcPr>
            <w:tcW w:w="1656" w:type="dxa"/>
            <w:vAlign w:val="center"/>
          </w:tcPr>
          <w:p>
            <w:pPr>
              <w:spacing w:line="300" w:lineRule="exact"/>
              <w:jc w:val="center"/>
              <w:rPr>
                <w:rFonts w:hint="eastAsia" w:asciiTheme="minorEastAsia" w:hAnsiTheme="minorEastAsia" w:cstheme="minorEastAsia"/>
                <w:sz w:val="15"/>
                <w:szCs w:val="15"/>
              </w:rPr>
            </w:pPr>
          </w:p>
        </w:tc>
        <w:tc>
          <w:tcPr>
            <w:tcW w:w="1236" w:type="dxa"/>
            <w:vMerge w:val="continue"/>
            <w:vAlign w:val="center"/>
          </w:tcPr>
          <w:p>
            <w:pPr>
              <w:spacing w:line="300" w:lineRule="exact"/>
              <w:jc w:val="center"/>
              <w:rPr>
                <w:rFonts w:ascii="Times New Roman" w:hAnsi="Times New Roman" w:cs="Times New Roman"/>
                <w:sz w:val="18"/>
                <w:szCs w:val="18"/>
              </w:rPr>
            </w:pPr>
          </w:p>
        </w:tc>
        <w:tc>
          <w:tcPr>
            <w:tcW w:w="1236" w:type="dxa"/>
            <w:vMerge w:val="continue"/>
            <w:vAlign w:val="center"/>
          </w:tcPr>
          <w:p>
            <w:pPr>
              <w:spacing w:line="300" w:lineRule="exact"/>
              <w:jc w:val="center"/>
              <w:rPr>
                <w:rFonts w:ascii="Times New Roman" w:hAnsi="Times New Roman" w:cs="Times New Roman"/>
                <w:sz w:val="18"/>
                <w:szCs w:val="18"/>
              </w:rPr>
            </w:pPr>
          </w:p>
        </w:tc>
        <w:tc>
          <w:tcPr>
            <w:tcW w:w="1236" w:type="dxa"/>
            <w:vMerge w:val="continue"/>
            <w:vAlign w:val="center"/>
          </w:tcPr>
          <w:p>
            <w:pPr>
              <w:spacing w:line="300" w:lineRule="exact"/>
              <w:jc w:val="center"/>
              <w:rPr>
                <w:rFonts w:ascii="Times New Roman" w:hAnsi="Times New Roman" w:cs="Times New Roman"/>
                <w:sz w:val="18"/>
                <w:szCs w:val="18"/>
              </w:rPr>
            </w:pPr>
          </w:p>
        </w:tc>
        <w:tc>
          <w:tcPr>
            <w:tcW w:w="1236" w:type="dxa"/>
            <w:vMerge w:val="continue"/>
            <w:vAlign w:val="center"/>
          </w:tcPr>
          <w:p>
            <w:pPr>
              <w:spacing w:line="300" w:lineRule="exact"/>
              <w:jc w:val="center"/>
              <w:rPr>
                <w:rFonts w:ascii="Times New Roman" w:hAnsi="Times New Roman" w:cs="Times New Roman"/>
                <w:sz w:val="18"/>
                <w:szCs w:val="18"/>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94" w:hRule="atLeast"/>
          <w:jc w:val="center"/>
        </w:trPr>
        <w:tc>
          <w:tcPr>
            <w:tcW w:w="1319" w:type="dxa"/>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sz w:val="15"/>
                <w:szCs w:val="15"/>
              </w:rPr>
              <w:t>45.00</w:t>
            </w:r>
          </w:p>
        </w:tc>
        <w:tc>
          <w:tcPr>
            <w:tcW w:w="1656" w:type="dxa"/>
            <w:vAlign w:val="center"/>
          </w:tcPr>
          <w:p>
            <w:pPr>
              <w:spacing w:line="300" w:lineRule="exact"/>
              <w:jc w:val="center"/>
              <w:rPr>
                <w:rFonts w:hint="eastAsia" w:asciiTheme="minorEastAsia" w:hAnsiTheme="minorEastAsia" w:cstheme="minorEastAsia"/>
                <w:sz w:val="15"/>
                <w:szCs w:val="15"/>
              </w:rPr>
            </w:pPr>
            <w:r>
              <w:rPr>
                <w:rFonts w:hint="eastAsia" w:asciiTheme="minorEastAsia" w:hAnsiTheme="minorEastAsia" w:cstheme="minorEastAsia"/>
                <w:kern w:val="0"/>
                <w:sz w:val="15"/>
                <w:szCs w:val="15"/>
              </w:rPr>
              <mc:AlternateContent>
                <mc:Choice Requires="wpg">
                  <w:drawing>
                    <wp:anchor distT="0" distB="0" distL="114300" distR="114300" simplePos="0" relativeHeight="251669504" behindDoc="0" locked="0" layoutInCell="1" allowOverlap="1">
                      <wp:simplePos x="0" y="0"/>
                      <wp:positionH relativeFrom="column">
                        <wp:posOffset>299085</wp:posOffset>
                      </wp:positionH>
                      <wp:positionV relativeFrom="paragraph">
                        <wp:posOffset>-319405</wp:posOffset>
                      </wp:positionV>
                      <wp:extent cx="469900" cy="471805"/>
                      <wp:effectExtent l="0" t="0" r="6350" b="4445"/>
                      <wp:wrapNone/>
                      <wp:docPr id="1869887034" name="组合 265"/>
                      <wp:cNvGraphicFramePr/>
                      <a:graphic xmlns:a="http://schemas.openxmlformats.org/drawingml/2006/main">
                        <a:graphicData uri="http://schemas.microsoft.com/office/word/2010/wordprocessingGroup">
                          <wpg:wgp>
                            <wpg:cNvGrpSpPr/>
                            <wpg:grpSpPr>
                              <a:xfrm>
                                <a:off x="0" y="0"/>
                                <a:ext cx="469900" cy="471805"/>
                                <a:chOff x="0" y="0"/>
                                <a:chExt cx="396633" cy="473213"/>
                              </a:xfrm>
                            </wpg:grpSpPr>
                            <wps:wsp>
                              <wps:cNvPr id="260584454" name="文本框 2"/>
                              <wps:cNvSpPr txBox="1">
                                <a:spLocks noChangeArrowheads="1"/>
                              </wps:cNvSpPr>
                              <wps:spPr bwMode="auto">
                                <a:xfrm>
                                  <a:off x="4233" y="0"/>
                                  <a:ext cx="392400" cy="270000"/>
                                </a:xfrm>
                                <a:prstGeom prst="rect">
                                  <a:avLst/>
                                </a:prstGeom>
                                <a:solidFill>
                                  <a:srgbClr val="FFFFFF"/>
                                </a:solidFill>
                                <a:ln w="9525">
                                  <a:noFill/>
                                  <a:miter lim="800000"/>
                                </a:ln>
                              </wps:spPr>
                              <wps:txbx>
                                <w:txbxContent>
                                  <w:p>
                                    <w:pPr>
                                      <w:rPr>
                                        <w:rFonts w:ascii="Times New Roman" w:hAnsi="Times New Roman" w:cs="Times New Roman"/>
                                        <w:sz w:val="18"/>
                                        <w:szCs w:val="18"/>
                                      </w:rPr>
                                    </w:pPr>
                                    <w:r>
                                      <w:rPr>
                                        <w:rFonts w:hint="eastAsia" w:ascii="Times New Roman" w:hAnsi="Times New Roman" w:cs="Times New Roman"/>
                                        <w:sz w:val="18"/>
                                        <w:szCs w:val="18"/>
                                      </w:rPr>
                                      <w:t>18.00</w:t>
                                    </w:r>
                                  </w:p>
                                </w:txbxContent>
                              </wps:txbx>
                              <wps:bodyPr rot="0" vert="horz" wrap="square" lIns="91440" tIns="45720" rIns="91440" bIns="45720" anchor="t" anchorCtr="0">
                                <a:noAutofit/>
                              </wps:bodyPr>
                            </wps:wsp>
                            <wps:wsp>
                              <wps:cNvPr id="429024514" name="文本框 2"/>
                              <wps:cNvSpPr txBox="1">
                                <a:spLocks noChangeArrowheads="1"/>
                              </wps:cNvSpPr>
                              <wps:spPr bwMode="auto">
                                <a:xfrm>
                                  <a:off x="0" y="203213"/>
                                  <a:ext cx="392400" cy="270000"/>
                                </a:xfrm>
                                <a:prstGeom prst="rect">
                                  <a:avLst/>
                                </a:prstGeom>
                                <a:solidFill>
                                  <a:srgbClr val="FFFFFF"/>
                                </a:solidFill>
                                <a:ln w="9525">
                                  <a:noFill/>
                                  <a:miter lim="800000"/>
                                </a:ln>
                              </wps:spPr>
                              <wps:txbx>
                                <w:txbxContent>
                                  <w:p>
                                    <w:pPr>
                                      <w:rPr>
                                        <w:rFonts w:ascii="Times New Roman" w:hAnsi="Times New Roman" w:cs="Times New Roman"/>
                                        <w:sz w:val="18"/>
                                        <w:szCs w:val="18"/>
                                      </w:rPr>
                                    </w:pPr>
                                    <w:r>
                                      <w:rPr>
                                        <w:rFonts w:hint="eastAsia" w:ascii="Times New Roman" w:hAnsi="Times New Roman" w:cs="Times New Roman"/>
                                        <w:sz w:val="18"/>
                                        <w:szCs w:val="18"/>
                                      </w:rPr>
                                      <w:t>28.00</w:t>
                                    </w:r>
                                  </w:p>
                                </w:txbxContent>
                              </wps:txbx>
                              <wps:bodyPr rot="0" vert="horz" wrap="square" lIns="91440" tIns="45720" rIns="91440" bIns="45720" anchor="t" anchorCtr="0">
                                <a:noAutofit/>
                              </wps:bodyPr>
                            </wps:wsp>
                          </wpg:wgp>
                        </a:graphicData>
                      </a:graphic>
                    </wp:anchor>
                  </w:drawing>
                </mc:Choice>
                <mc:Fallback>
                  <w:pict>
                    <v:group id="组合 265" o:spid="_x0000_s1026" o:spt="203" style="position:absolute;left:0pt;margin-left:23.55pt;margin-top:-25.15pt;height:37.15pt;width:37pt;z-index:251669504;mso-width-relative:page;mso-height-relative:page;" coordsize="396633,473213" o:gfxdata="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">
                      <o:lock v:ext="edit" aspectratio="f"/>
                      <v:shape id="文本框 2" o:spid="_x0000_s1026" o:spt="202" type="#_x0000_t202" style="position:absolute;left:4233;top:0;height:270000;width:392400;" fillcolor="#FFFFFF" filled="t" stroked="f" coordsize="21600,21600" o:gfxdata="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ClpP&#10;28EAAADiAAAADwAAAAAAAAABACAAAAAiAAAAZHJzL2Rvd25yZXYueG1sUEsBAhQAFAAAAAgAh07i&#10;QDMvBZ47AAAAOQAAABAAAAAAAAAAAQAgAAAAEAEAAGRycy9zaGFwZXhtbC54bWxQSwUGAAAAAAYA&#10;BgBbAQAAugMAAAAA&#10;">
                        <v:fill on="t" focussize="0,0"/>
                        <v:stroke on="f" miterlimit="8" joinstyle="miter"/>
                        <v:imagedata o:title=""/>
                        <o:lock v:ext="edit" aspectratio="f"/>
                        <v:textbox>
                          <w:txbxContent>
                            <w:p>
                              <w:pPr>
                                <w:rPr>
                                  <w:rFonts w:ascii="Times New Roman" w:hAnsi="Times New Roman" w:cs="Times New Roman"/>
                                  <w:sz w:val="18"/>
                                  <w:szCs w:val="18"/>
                                </w:rPr>
                              </w:pPr>
                              <w:r>
                                <w:rPr>
                                  <w:rFonts w:hint="eastAsia" w:ascii="Times New Roman" w:hAnsi="Times New Roman" w:cs="Times New Roman"/>
                                  <w:sz w:val="18"/>
                                  <w:szCs w:val="18"/>
                                </w:rPr>
                                <w:t>18.00</w:t>
                              </w:r>
                            </w:p>
                          </w:txbxContent>
                        </v:textbox>
                      </v:shape>
                      <v:shape id="文本框 2" o:spid="_x0000_s1026" o:spt="202" type="#_x0000_t202" style="position:absolute;left:0;top:203213;height:270000;width:392400;" fillcolor="#FFFFFF" filled="t" stroked="f" coordsize="21600,21600" o:gfxdata="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kA+s&#10;E8EAAADiAAAADwAAAAAAAAABACAAAAAiAAAAZHJzL2Rvd25yZXYueG1sUEsBAhQAFAAAAAgAh07i&#10;QDMvBZ47AAAAOQAAABAAAAAAAAAAAQAgAAAAEAEAAGRycy9zaGFwZXhtbC54bWxQSwUGAAAAAAYA&#10;BgBbAQAAugMAAAAA&#10;">
                        <v:fill on="t" focussize="0,0"/>
                        <v:stroke on="f" miterlimit="8" joinstyle="miter"/>
                        <v:imagedata o:title=""/>
                        <o:lock v:ext="edit" aspectratio="f"/>
                        <v:textbox>
                          <w:txbxContent>
                            <w:p>
                              <w:pPr>
                                <w:rPr>
                                  <w:rFonts w:ascii="Times New Roman" w:hAnsi="Times New Roman" w:cs="Times New Roman"/>
                                  <w:sz w:val="18"/>
                                  <w:szCs w:val="18"/>
                                </w:rPr>
                              </w:pPr>
                              <w:r>
                                <w:rPr>
                                  <w:rFonts w:hint="eastAsia" w:ascii="Times New Roman" w:hAnsi="Times New Roman" w:cs="Times New Roman"/>
                                  <w:sz w:val="18"/>
                                  <w:szCs w:val="18"/>
                                </w:rPr>
                                <w:t>28.00</w:t>
                              </w:r>
                            </w:p>
                          </w:txbxContent>
                        </v:textbox>
                      </v:shape>
                    </v:group>
                  </w:pict>
                </mc:Fallback>
              </mc:AlternateContent>
            </w:r>
          </w:p>
        </w:tc>
        <w:tc>
          <w:tcPr>
            <w:tcW w:w="1236" w:type="dxa"/>
            <w:vMerge w:val="continue"/>
            <w:vAlign w:val="center"/>
          </w:tcPr>
          <w:p>
            <w:pPr>
              <w:spacing w:line="300" w:lineRule="exact"/>
              <w:jc w:val="center"/>
              <w:rPr>
                <w:rFonts w:ascii="Times New Roman" w:hAnsi="Times New Roman" w:cs="Times New Roman"/>
                <w:sz w:val="18"/>
                <w:szCs w:val="18"/>
              </w:rPr>
            </w:pPr>
          </w:p>
        </w:tc>
        <w:tc>
          <w:tcPr>
            <w:tcW w:w="1236" w:type="dxa"/>
            <w:vMerge w:val="continue"/>
            <w:vAlign w:val="center"/>
          </w:tcPr>
          <w:p>
            <w:pPr>
              <w:spacing w:line="300" w:lineRule="exact"/>
              <w:jc w:val="center"/>
              <w:rPr>
                <w:rFonts w:ascii="Times New Roman" w:hAnsi="Times New Roman" w:cs="Times New Roman"/>
                <w:sz w:val="18"/>
                <w:szCs w:val="18"/>
              </w:rPr>
            </w:pPr>
          </w:p>
        </w:tc>
        <w:tc>
          <w:tcPr>
            <w:tcW w:w="1236" w:type="dxa"/>
            <w:vMerge w:val="continue"/>
            <w:vAlign w:val="center"/>
          </w:tcPr>
          <w:p>
            <w:pPr>
              <w:spacing w:line="300" w:lineRule="exact"/>
              <w:jc w:val="center"/>
              <w:rPr>
                <w:rFonts w:ascii="Times New Roman" w:hAnsi="Times New Roman" w:cs="Times New Roman"/>
                <w:sz w:val="18"/>
                <w:szCs w:val="18"/>
              </w:rPr>
            </w:pPr>
          </w:p>
        </w:tc>
        <w:tc>
          <w:tcPr>
            <w:tcW w:w="1236" w:type="dxa"/>
            <w:vMerge w:val="continue"/>
            <w:vAlign w:val="center"/>
          </w:tcPr>
          <w:p>
            <w:pPr>
              <w:spacing w:line="300" w:lineRule="exact"/>
              <w:jc w:val="center"/>
              <w:rPr>
                <w:rFonts w:ascii="Times New Roman" w:hAnsi="Times New Roman" w:cs="Times New Roman"/>
                <w:sz w:val="18"/>
                <w:szCs w:val="18"/>
              </w:rPr>
            </w:pPr>
          </w:p>
        </w:tc>
      </w:tr>
      <w:bookmarkEnd w:id="245"/>
    </w:tbl>
    <w:p>
      <w:pPr>
        <w:widowControl/>
        <w:kinsoku w:val="0"/>
        <w:autoSpaceDE w:val="0"/>
        <w:autoSpaceDN w:val="0"/>
        <w:adjustRightInd w:val="0"/>
        <w:snapToGrid w:val="0"/>
        <w:spacing w:before="120" w:beforeLines="50" w:line="360" w:lineRule="auto"/>
        <w:textAlignment w:val="baseline"/>
        <w:rPr>
          <w:rFonts w:ascii="Times New Roman" w:hAnsi="Times New Roman" w:cs="Times New Roman"/>
          <w:snapToGrid w:val="0"/>
          <w:color w:val="000000"/>
          <w:kern w:val="0"/>
          <w:szCs w:val="21"/>
        </w:rPr>
      </w:pPr>
      <w:r>
        <w:rPr>
          <w:rFonts w:hint="eastAsia" w:ascii="黑体" w:hAnsi="黑体" w:eastAsia="黑体" w:cs="Times New Roman"/>
          <w:snapToGrid w:val="0"/>
          <w:color w:val="000000"/>
          <w:kern w:val="0"/>
          <w:szCs w:val="21"/>
        </w:rPr>
        <w:t>H.2.2</w:t>
      </w:r>
      <w:r>
        <w:rPr>
          <w:rFonts w:ascii="Times New Roman" w:hAnsi="Times New Roman" w:cs="Times New Roman"/>
          <w:snapToGrid w:val="0"/>
          <w:color w:val="000000"/>
          <w:kern w:val="0"/>
          <w:szCs w:val="21"/>
        </w:rPr>
        <w:t xml:space="preserve">  </w:t>
      </w:r>
      <w:r>
        <w:rPr>
          <w:rFonts w:hint="eastAsia" w:ascii="Times New Roman" w:hAnsi="Times New Roman" w:cs="Times New Roman"/>
          <w:snapToGrid w:val="0"/>
          <w:color w:val="000000"/>
          <w:kern w:val="0"/>
          <w:szCs w:val="21"/>
        </w:rPr>
        <w:t>泵的噪声评价</w:t>
      </w:r>
    </w:p>
    <w:p>
      <w:pPr>
        <w:widowControl/>
        <w:kinsoku w:val="0"/>
        <w:autoSpaceDE w:val="0"/>
        <w:autoSpaceDN w:val="0"/>
        <w:adjustRightInd w:val="0"/>
        <w:snapToGrid w:val="0"/>
        <w:spacing w:line="360" w:lineRule="auto"/>
        <w:ind w:firstLine="420" w:firstLineChars="200"/>
        <w:textAlignment w:val="baseline"/>
        <w:rPr>
          <w:rFonts w:ascii="Times New Roman" w:hAnsi="Times New Roman" w:cs="Times New Roman"/>
          <w:snapToGrid w:val="0"/>
          <w:color w:val="000000"/>
          <w:kern w:val="0"/>
          <w:szCs w:val="21"/>
        </w:rPr>
      </w:pPr>
      <w:r>
        <w:rPr>
          <w:rFonts w:hint="eastAsia" w:ascii="Times New Roman" w:hAnsi="Times New Roman" w:cs="Times New Roman"/>
          <w:snapToGrid w:val="0"/>
          <w:color w:val="000000"/>
          <w:kern w:val="0"/>
          <w:szCs w:val="21"/>
        </w:rPr>
        <w:t>用3个限值</w:t>
      </w:r>
      <w:bookmarkStart w:id="246" w:name="OLE_LINK72"/>
      <w:r>
        <w:rPr>
          <w:rFonts w:hint="eastAsia" w:ascii="Times New Roman" w:hAnsi="Times New Roman" w:cs="Times New Roman"/>
          <w:i/>
          <w:iCs/>
          <w:snapToGrid w:val="0"/>
          <w:color w:val="000000"/>
          <w:kern w:val="0"/>
          <w:szCs w:val="21"/>
        </w:rPr>
        <w:t>L</w:t>
      </w:r>
      <w:r>
        <w:rPr>
          <w:rFonts w:hint="eastAsia" w:ascii="Times New Roman" w:hAnsi="Times New Roman" w:cs="Times New Roman"/>
          <w:i/>
          <w:iCs/>
          <w:snapToGrid w:val="0"/>
          <w:color w:val="000000"/>
          <w:kern w:val="0"/>
          <w:szCs w:val="21"/>
          <w:vertAlign w:val="subscript"/>
        </w:rPr>
        <w:t>A</w:t>
      </w:r>
      <w:r>
        <w:rPr>
          <w:rFonts w:hint="eastAsia" w:ascii="Times New Roman" w:hAnsi="Times New Roman" w:cs="Times New Roman"/>
          <w:snapToGrid w:val="0"/>
          <w:color w:val="000000"/>
          <w:kern w:val="0"/>
          <w:szCs w:val="21"/>
        </w:rPr>
        <w:t>、</w:t>
      </w:r>
      <w:r>
        <w:rPr>
          <w:rFonts w:hint="eastAsia" w:ascii="Times New Roman" w:hAnsi="Times New Roman" w:cs="Times New Roman"/>
          <w:i/>
          <w:iCs/>
          <w:snapToGrid w:val="0"/>
          <w:color w:val="000000"/>
          <w:kern w:val="0"/>
          <w:szCs w:val="21"/>
        </w:rPr>
        <w:t>L</w:t>
      </w:r>
      <w:r>
        <w:rPr>
          <w:rFonts w:hint="eastAsia" w:ascii="Times New Roman" w:hAnsi="Times New Roman" w:cs="Times New Roman"/>
          <w:i/>
          <w:iCs/>
          <w:snapToGrid w:val="0"/>
          <w:color w:val="000000"/>
          <w:kern w:val="0"/>
          <w:szCs w:val="21"/>
          <w:vertAlign w:val="subscript"/>
        </w:rPr>
        <w:t>B</w:t>
      </w:r>
      <w:r>
        <w:rPr>
          <w:rFonts w:hint="eastAsia" w:ascii="Times New Roman" w:hAnsi="Times New Roman" w:cs="Times New Roman"/>
          <w:snapToGrid w:val="0"/>
          <w:color w:val="000000"/>
          <w:kern w:val="0"/>
          <w:szCs w:val="21"/>
        </w:rPr>
        <w:t>、</w:t>
      </w:r>
      <w:r>
        <w:rPr>
          <w:rFonts w:hint="eastAsia" w:ascii="Times New Roman" w:hAnsi="Times New Roman" w:cs="Times New Roman"/>
          <w:i/>
          <w:iCs/>
          <w:snapToGrid w:val="0"/>
          <w:color w:val="000000"/>
          <w:kern w:val="0"/>
          <w:szCs w:val="21"/>
        </w:rPr>
        <w:t>L</w:t>
      </w:r>
      <w:r>
        <w:rPr>
          <w:rFonts w:hint="eastAsia" w:ascii="Times New Roman" w:hAnsi="Times New Roman" w:cs="Times New Roman"/>
          <w:i/>
          <w:iCs/>
          <w:snapToGrid w:val="0"/>
          <w:color w:val="000000"/>
          <w:kern w:val="0"/>
          <w:szCs w:val="21"/>
          <w:vertAlign w:val="subscript"/>
        </w:rPr>
        <w:t>C</w:t>
      </w:r>
      <w:bookmarkEnd w:id="246"/>
      <w:r>
        <w:rPr>
          <w:rFonts w:hint="eastAsia" w:ascii="Times New Roman" w:hAnsi="Times New Roman" w:cs="Times New Roman"/>
          <w:snapToGrid w:val="0"/>
          <w:color w:val="000000"/>
          <w:kern w:val="0"/>
          <w:szCs w:val="21"/>
        </w:rPr>
        <w:t>把泵的噪声划分为ABCD四个级别，D级为不合格。</w:t>
      </w:r>
    </w:p>
    <w:p>
      <w:pPr>
        <w:widowControl/>
        <w:kinsoku w:val="0"/>
        <w:autoSpaceDE w:val="0"/>
        <w:autoSpaceDN w:val="0"/>
        <w:adjustRightInd w:val="0"/>
        <w:snapToGrid w:val="0"/>
        <w:spacing w:line="360" w:lineRule="auto"/>
        <w:ind w:firstLine="420" w:firstLineChars="200"/>
        <w:textAlignment w:val="baseline"/>
        <w:rPr>
          <w:rFonts w:ascii="Times New Roman" w:hAnsi="Times New Roman" w:cs="Times New Roman"/>
          <w:snapToGrid w:val="0"/>
          <w:color w:val="000000"/>
          <w:kern w:val="0"/>
          <w:szCs w:val="21"/>
        </w:rPr>
      </w:pPr>
      <w:r>
        <w:rPr>
          <w:rFonts w:hint="eastAsia" w:ascii="Times New Roman" w:hAnsi="Times New Roman" w:cs="Times New Roman"/>
          <w:snapToGrid w:val="0"/>
          <w:color w:val="000000"/>
          <w:kern w:val="0"/>
          <w:szCs w:val="21"/>
        </w:rPr>
        <w:t>按</w:t>
      </w:r>
      <w:bookmarkStart w:id="247" w:name="OLE_LINK70"/>
      <w:r>
        <w:rPr>
          <w:rFonts w:hint="eastAsia" w:ascii="Times New Roman" w:hAnsi="Times New Roman" w:cs="Times New Roman"/>
          <w:snapToGrid w:val="0"/>
          <w:color w:val="000000"/>
          <w:kern w:val="0"/>
          <w:szCs w:val="21"/>
        </w:rPr>
        <w:t>式</w:t>
      </w:r>
      <w:bookmarkStart w:id="248" w:name="OLE_LINK75"/>
      <w:r>
        <w:rPr>
          <w:rFonts w:hint="eastAsia" w:ascii="Times New Roman" w:hAnsi="Times New Roman" w:cs="Times New Roman"/>
          <w:snapToGrid w:val="0"/>
          <w:color w:val="000000"/>
          <w:kern w:val="0"/>
          <w:szCs w:val="21"/>
        </w:rPr>
        <w:t>（H.1）</w:t>
      </w:r>
      <w:bookmarkEnd w:id="247"/>
      <w:r>
        <w:rPr>
          <w:rFonts w:hint="eastAsia" w:ascii="Times New Roman" w:hAnsi="Times New Roman" w:cs="Times New Roman"/>
          <w:snapToGrid w:val="0"/>
          <w:color w:val="000000"/>
          <w:kern w:val="0"/>
          <w:szCs w:val="21"/>
        </w:rPr>
        <w:t>、式（H.2）、式（H.3）</w:t>
      </w:r>
      <w:bookmarkEnd w:id="248"/>
      <w:r>
        <w:rPr>
          <w:rFonts w:hint="eastAsia" w:ascii="Times New Roman" w:hAnsi="Times New Roman" w:cs="Times New Roman"/>
          <w:snapToGrid w:val="0"/>
          <w:color w:val="000000"/>
          <w:kern w:val="0"/>
          <w:szCs w:val="21"/>
        </w:rPr>
        <w:t>确定泵的噪声限值：</w:t>
      </w:r>
    </w:p>
    <w:p>
      <w:pPr>
        <w:widowControl/>
        <w:kinsoku w:val="0"/>
        <w:autoSpaceDE w:val="0"/>
        <w:autoSpaceDN w:val="0"/>
        <w:adjustRightInd w:val="0"/>
        <w:snapToGrid w:val="0"/>
        <w:spacing w:line="360" w:lineRule="auto"/>
        <w:ind w:firstLine="420" w:firstLineChars="200"/>
        <w:jc w:val="right"/>
        <w:textAlignment w:val="baseline"/>
        <w:rPr>
          <w:rFonts w:ascii="Times New Roman" w:hAnsi="Times New Roman" w:cs="Times New Roman"/>
          <w:snapToGrid w:val="0"/>
          <w:color w:val="000000"/>
          <w:kern w:val="0"/>
          <w:szCs w:val="21"/>
        </w:rPr>
      </w:pPr>
      <m:oMath>
        <m:sSub>
          <m:sSubPr>
            <m:ctrlPr>
              <w:rPr>
                <w:rFonts w:ascii="Cambria Math" w:hAnsi="Cambria Math" w:cs="Times New Roman"/>
                <w:i/>
                <w:snapToGrid w:val="0"/>
                <w:color w:val="000000"/>
                <w:kern w:val="0"/>
                <w:szCs w:val="21"/>
              </w:rPr>
            </m:ctrlPr>
          </m:sSubPr>
          <m:e>
            <m:r>
              <m:rPr/>
              <w:rPr>
                <w:rFonts w:ascii="Cambria Math" w:hAnsi="Cambria Math" w:cs="Times New Roman"/>
                <w:snapToGrid w:val="0"/>
                <w:color w:val="000000"/>
                <w:kern w:val="0"/>
                <w:szCs w:val="21"/>
              </w:rPr>
              <m:t>L</m:t>
            </m:r>
            <m:ctrlPr>
              <w:rPr>
                <w:rFonts w:ascii="Cambria Math" w:hAnsi="Cambria Math" w:cs="Times New Roman"/>
                <w:i/>
                <w:snapToGrid w:val="0"/>
                <w:color w:val="000000"/>
                <w:kern w:val="0"/>
                <w:szCs w:val="21"/>
              </w:rPr>
            </m:ctrlPr>
          </m:e>
          <m:sub>
            <m:r>
              <m:rPr/>
              <w:rPr>
                <w:rFonts w:ascii="Cambria Math" w:hAnsi="Cambria Math" w:cs="Times New Roman"/>
                <w:snapToGrid w:val="0"/>
                <w:color w:val="000000"/>
                <w:kern w:val="0"/>
                <w:szCs w:val="21"/>
              </w:rPr>
              <m:t>A</m:t>
            </m:r>
            <m:ctrlPr>
              <w:rPr>
                <w:rFonts w:ascii="Cambria Math" w:hAnsi="Cambria Math" w:cs="Times New Roman"/>
                <w:i/>
                <w:snapToGrid w:val="0"/>
                <w:color w:val="000000"/>
                <w:kern w:val="0"/>
                <w:szCs w:val="21"/>
              </w:rPr>
            </m:ctrlPr>
          </m:sub>
        </m:sSub>
        <m:r>
          <m:rPr/>
          <w:rPr>
            <w:rFonts w:ascii="Cambria Math" w:hAnsi="Cambria Math" w:cs="Times New Roman"/>
            <w:snapToGrid w:val="0"/>
            <w:color w:val="000000"/>
            <w:kern w:val="0"/>
            <w:szCs w:val="21"/>
          </w:rPr>
          <m:t>=30+9.7</m:t>
        </m:r>
        <m:r>
          <m:rPr>
            <m:sty m:val="p"/>
          </m:rPr>
          <w:rPr>
            <w:rFonts w:ascii="Cambria Math" w:hAnsi="Cambria Math" w:cs="Times New Roman"/>
            <w:snapToGrid w:val="0"/>
            <w:color w:val="000000"/>
            <w:kern w:val="0"/>
            <w:szCs w:val="21"/>
          </w:rPr>
          <m:t>lg⁡</m:t>
        </m:r>
        <m:r>
          <m:rPr/>
          <w:rPr>
            <w:rFonts w:ascii="Cambria Math" w:hAnsi="Cambria Math" w:cs="Times New Roman"/>
            <w:snapToGrid w:val="0"/>
            <w:color w:val="000000"/>
            <w:kern w:val="0"/>
            <w:szCs w:val="21"/>
          </w:rPr>
          <m:t>(</m:t>
        </m:r>
        <m:sSub>
          <m:sSubPr>
            <m:ctrlPr>
              <w:rPr>
                <w:rFonts w:ascii="Cambria Math" w:hAnsi="Cambria Math" w:cs="Times New Roman"/>
                <w:i/>
                <w:snapToGrid w:val="0"/>
                <w:color w:val="000000"/>
                <w:kern w:val="0"/>
                <w:szCs w:val="21"/>
              </w:rPr>
            </m:ctrlPr>
          </m:sSubPr>
          <m:e>
            <m:r>
              <m:rPr/>
              <w:rPr>
                <w:rFonts w:ascii="Cambria Math" w:hAnsi="Cambria Math" w:cs="Times New Roman"/>
                <w:snapToGrid w:val="0"/>
                <w:color w:val="000000"/>
                <w:kern w:val="0"/>
                <w:szCs w:val="21"/>
              </w:rPr>
              <m:t>p</m:t>
            </m:r>
            <m:ctrlPr>
              <w:rPr>
                <w:rFonts w:ascii="Cambria Math" w:hAnsi="Cambria Math" w:cs="Times New Roman"/>
                <w:i/>
                <w:snapToGrid w:val="0"/>
                <w:color w:val="000000"/>
                <w:kern w:val="0"/>
                <w:szCs w:val="21"/>
              </w:rPr>
            </m:ctrlPr>
          </m:e>
          <m:sub>
            <m:r>
              <m:rPr/>
              <w:rPr>
                <w:rFonts w:ascii="Cambria Math" w:hAnsi="Cambria Math" w:cs="Times New Roman"/>
                <w:snapToGrid w:val="0"/>
                <w:color w:val="000000"/>
                <w:kern w:val="0"/>
                <w:szCs w:val="21"/>
              </w:rPr>
              <m:t>u</m:t>
            </m:r>
            <m:ctrlPr>
              <w:rPr>
                <w:rFonts w:ascii="Cambria Math" w:hAnsi="Cambria Math" w:cs="Times New Roman"/>
                <w:i/>
                <w:snapToGrid w:val="0"/>
                <w:color w:val="000000"/>
                <w:kern w:val="0"/>
                <w:szCs w:val="21"/>
              </w:rPr>
            </m:ctrlPr>
          </m:sub>
        </m:sSub>
        <m:r>
          <m:rPr/>
          <w:rPr>
            <w:rFonts w:ascii="Cambria Math" w:hAnsi="Cambria Math" w:cs="Times New Roman"/>
            <w:snapToGrid w:val="0"/>
            <w:color w:val="000000"/>
            <w:kern w:val="0"/>
            <w:szCs w:val="21"/>
          </w:rPr>
          <m:t>n)</m:t>
        </m:r>
      </m:oMath>
      <w:bookmarkStart w:id="249" w:name="OLE_LINK71"/>
      <w:r>
        <w:rPr>
          <w:rFonts w:ascii="Times New Roman" w:hAnsi="Times New Roman" w:cs="Times New Roman"/>
          <w:snapToGrid w:val="0"/>
          <w:color w:val="000000"/>
          <w:kern w:val="0"/>
          <w:szCs w:val="21"/>
        </w:rPr>
        <w:t>…………</w:t>
      </w:r>
      <w:r>
        <w:rPr>
          <w:rFonts w:hint="eastAsia" w:ascii="Times New Roman" w:hAnsi="Times New Roman" w:cs="Times New Roman"/>
          <w:snapToGrid w:val="0"/>
          <w:color w:val="000000"/>
          <w:kern w:val="0"/>
          <w:szCs w:val="21"/>
        </w:rPr>
        <w:t>..</w:t>
      </w:r>
      <w:r>
        <w:rPr>
          <w:rFonts w:ascii="Times New Roman" w:hAnsi="Times New Roman" w:cs="Times New Roman"/>
          <w:snapToGrid w:val="0"/>
          <w:color w:val="000000"/>
          <w:kern w:val="0"/>
          <w:szCs w:val="21"/>
        </w:rPr>
        <w:t>…</w:t>
      </w:r>
      <w:r>
        <w:rPr>
          <w:rFonts w:hint="eastAsia" w:ascii="Times New Roman" w:hAnsi="Times New Roman" w:cs="Times New Roman"/>
          <w:snapToGrid w:val="0"/>
          <w:color w:val="000000"/>
          <w:kern w:val="0"/>
          <w:szCs w:val="21"/>
        </w:rPr>
        <w:t>.</w:t>
      </w:r>
      <w:r>
        <w:rPr>
          <w:rFonts w:ascii="Times New Roman" w:hAnsi="Times New Roman" w:cs="Times New Roman"/>
          <w:snapToGrid w:val="0"/>
          <w:color w:val="000000"/>
          <w:kern w:val="0"/>
          <w:szCs w:val="21"/>
        </w:rPr>
        <w:t>………………</w:t>
      </w:r>
      <w:r>
        <w:rPr>
          <w:rFonts w:hint="eastAsia" w:ascii="Times New Roman" w:hAnsi="Times New Roman" w:cs="Times New Roman"/>
          <w:snapToGrid w:val="0"/>
          <w:color w:val="000000"/>
          <w:kern w:val="0"/>
          <w:szCs w:val="21"/>
        </w:rPr>
        <w:t>（G.1）</w:t>
      </w:r>
      <w:bookmarkEnd w:id="249"/>
    </w:p>
    <w:p>
      <w:pPr>
        <w:widowControl/>
        <w:kinsoku w:val="0"/>
        <w:autoSpaceDE w:val="0"/>
        <w:autoSpaceDN w:val="0"/>
        <w:adjustRightInd w:val="0"/>
        <w:snapToGrid w:val="0"/>
        <w:spacing w:line="360" w:lineRule="auto"/>
        <w:ind w:firstLine="420" w:firstLineChars="200"/>
        <w:jc w:val="right"/>
        <w:textAlignment w:val="baseline"/>
        <w:rPr>
          <w:rFonts w:ascii="Times New Roman" w:hAnsi="Times New Roman" w:cs="Times New Roman"/>
          <w:snapToGrid w:val="0"/>
          <w:color w:val="000000"/>
          <w:kern w:val="0"/>
          <w:szCs w:val="21"/>
        </w:rPr>
      </w:pPr>
      <m:oMath>
        <m:sSub>
          <m:sSubPr>
            <m:ctrlPr>
              <w:rPr>
                <w:rFonts w:ascii="Cambria Math" w:hAnsi="Cambria Math" w:cs="Times New Roman"/>
                <w:i/>
                <w:snapToGrid w:val="0"/>
                <w:color w:val="000000"/>
                <w:kern w:val="0"/>
                <w:szCs w:val="21"/>
              </w:rPr>
            </m:ctrlPr>
          </m:sSubPr>
          <m:e>
            <m:r>
              <m:rPr/>
              <w:rPr>
                <w:rFonts w:ascii="Cambria Math" w:hAnsi="Cambria Math" w:cs="Times New Roman"/>
                <w:snapToGrid w:val="0"/>
                <w:color w:val="000000"/>
                <w:kern w:val="0"/>
                <w:szCs w:val="21"/>
              </w:rPr>
              <m:t>L</m:t>
            </m:r>
            <m:ctrlPr>
              <w:rPr>
                <w:rFonts w:ascii="Cambria Math" w:hAnsi="Cambria Math" w:cs="Times New Roman"/>
                <w:i/>
                <w:snapToGrid w:val="0"/>
                <w:color w:val="000000"/>
                <w:kern w:val="0"/>
                <w:szCs w:val="21"/>
              </w:rPr>
            </m:ctrlPr>
          </m:e>
          <m:sub>
            <m:r>
              <m:rPr/>
              <w:rPr>
                <w:rFonts w:ascii="Cambria Math" w:hAnsi="Cambria Math" w:cs="Times New Roman"/>
                <w:snapToGrid w:val="0"/>
                <w:color w:val="000000"/>
                <w:kern w:val="0"/>
                <w:szCs w:val="21"/>
              </w:rPr>
              <m:t>B</m:t>
            </m:r>
            <m:ctrlPr>
              <w:rPr>
                <w:rFonts w:ascii="Cambria Math" w:hAnsi="Cambria Math" w:cs="Times New Roman"/>
                <w:i/>
                <w:snapToGrid w:val="0"/>
                <w:color w:val="000000"/>
                <w:kern w:val="0"/>
                <w:szCs w:val="21"/>
              </w:rPr>
            </m:ctrlPr>
          </m:sub>
        </m:sSub>
        <m:r>
          <m:rPr/>
          <w:rPr>
            <w:rFonts w:ascii="Cambria Math" w:hAnsi="Cambria Math" w:cs="Times New Roman"/>
            <w:snapToGrid w:val="0"/>
            <w:color w:val="000000"/>
            <w:kern w:val="0"/>
            <w:szCs w:val="21"/>
          </w:rPr>
          <m:t>=36+9.7</m:t>
        </m:r>
        <m:r>
          <m:rPr>
            <m:sty m:val="p"/>
          </m:rPr>
          <w:rPr>
            <w:rFonts w:ascii="Cambria Math" w:hAnsi="Cambria Math" w:cs="Times New Roman"/>
            <w:snapToGrid w:val="0"/>
            <w:color w:val="000000"/>
            <w:kern w:val="0"/>
            <w:szCs w:val="21"/>
          </w:rPr>
          <m:t>lg⁡</m:t>
        </m:r>
        <m:r>
          <m:rPr/>
          <w:rPr>
            <w:rFonts w:ascii="Cambria Math" w:hAnsi="Cambria Math" w:cs="Times New Roman"/>
            <w:snapToGrid w:val="0"/>
            <w:color w:val="000000"/>
            <w:kern w:val="0"/>
            <w:szCs w:val="21"/>
          </w:rPr>
          <m:t>(</m:t>
        </m:r>
        <w:bookmarkStart w:id="250" w:name="OLE_LINK77"/>
        <m:sSub>
          <m:sSubPr>
            <m:ctrlPr>
              <w:rPr>
                <w:rFonts w:ascii="Cambria Math" w:hAnsi="Cambria Math" w:cs="Times New Roman"/>
                <w:i/>
                <w:snapToGrid w:val="0"/>
                <w:color w:val="000000"/>
                <w:kern w:val="0"/>
                <w:szCs w:val="21"/>
              </w:rPr>
            </m:ctrlPr>
          </m:sSubPr>
          <m:e>
            <m:r>
              <m:rPr/>
              <w:rPr>
                <w:rFonts w:ascii="Cambria Math" w:hAnsi="Cambria Math" w:cs="Times New Roman"/>
                <w:snapToGrid w:val="0"/>
                <w:color w:val="000000"/>
                <w:kern w:val="0"/>
                <w:szCs w:val="21"/>
              </w:rPr>
              <m:t>p</m:t>
            </m:r>
            <m:ctrlPr>
              <w:rPr>
                <w:rFonts w:ascii="Cambria Math" w:hAnsi="Cambria Math" w:cs="Times New Roman"/>
                <w:i/>
                <w:snapToGrid w:val="0"/>
                <w:color w:val="000000"/>
                <w:kern w:val="0"/>
                <w:szCs w:val="21"/>
              </w:rPr>
            </m:ctrlPr>
          </m:e>
          <m:sub>
            <m:r>
              <m:rPr/>
              <w:rPr>
                <w:rFonts w:ascii="Cambria Math" w:hAnsi="Cambria Math" w:cs="Times New Roman"/>
                <w:snapToGrid w:val="0"/>
                <w:color w:val="000000"/>
                <w:kern w:val="0"/>
                <w:szCs w:val="21"/>
              </w:rPr>
              <m:t>u</m:t>
            </m:r>
            <m:ctrlPr>
              <w:rPr>
                <w:rFonts w:ascii="Cambria Math" w:hAnsi="Cambria Math" w:cs="Times New Roman"/>
                <w:i/>
                <w:snapToGrid w:val="0"/>
                <w:color w:val="000000"/>
                <w:kern w:val="0"/>
                <w:szCs w:val="21"/>
              </w:rPr>
            </m:ctrlPr>
          </m:sub>
        </m:sSub>
        <m:r>
          <m:rPr/>
          <w:rPr>
            <w:rFonts w:ascii="Cambria Math" w:hAnsi="Cambria Math" w:cs="Times New Roman"/>
            <w:snapToGrid w:val="0"/>
            <w:color w:val="000000"/>
            <w:kern w:val="0"/>
            <w:szCs w:val="21"/>
          </w:rPr>
          <m:t>n</m:t>
        </m:r>
        <w:bookmarkEnd w:id="250"/>
        <m:r>
          <m:rPr/>
          <w:rPr>
            <w:rFonts w:ascii="Cambria Math" w:hAnsi="Cambria Math" w:cs="Times New Roman"/>
            <w:snapToGrid w:val="0"/>
            <w:color w:val="000000"/>
            <w:kern w:val="0"/>
            <w:szCs w:val="21"/>
          </w:rPr>
          <m:t>)</m:t>
        </m:r>
      </m:oMath>
      <w:r>
        <w:rPr>
          <w:rFonts w:ascii="Times New Roman" w:hAnsi="Times New Roman" w:cs="Times New Roman"/>
          <w:snapToGrid w:val="0"/>
          <w:color w:val="000000"/>
          <w:kern w:val="0"/>
          <w:szCs w:val="21"/>
        </w:rPr>
        <w:t xml:space="preserve"> …………</w:t>
      </w:r>
      <w:r>
        <w:rPr>
          <w:rFonts w:hint="eastAsia" w:ascii="Times New Roman" w:hAnsi="Times New Roman" w:cs="Times New Roman"/>
          <w:snapToGrid w:val="0"/>
          <w:color w:val="000000"/>
          <w:kern w:val="0"/>
          <w:szCs w:val="21"/>
        </w:rPr>
        <w:t>..</w:t>
      </w:r>
      <w:r>
        <w:rPr>
          <w:rFonts w:ascii="Times New Roman" w:hAnsi="Times New Roman" w:cs="Times New Roman"/>
          <w:snapToGrid w:val="0"/>
          <w:color w:val="000000"/>
          <w:kern w:val="0"/>
          <w:szCs w:val="21"/>
        </w:rPr>
        <w:t>…………………</w:t>
      </w:r>
      <w:r>
        <w:rPr>
          <w:rFonts w:hint="eastAsia" w:ascii="Times New Roman" w:hAnsi="Times New Roman" w:cs="Times New Roman"/>
          <w:snapToGrid w:val="0"/>
          <w:color w:val="000000"/>
          <w:kern w:val="0"/>
          <w:szCs w:val="21"/>
        </w:rPr>
        <w:t>（G.2）</w:t>
      </w:r>
    </w:p>
    <w:p>
      <w:pPr>
        <w:widowControl/>
        <w:kinsoku w:val="0"/>
        <w:autoSpaceDE w:val="0"/>
        <w:autoSpaceDN w:val="0"/>
        <w:adjustRightInd w:val="0"/>
        <w:snapToGrid w:val="0"/>
        <w:spacing w:line="360" w:lineRule="auto"/>
        <w:ind w:firstLine="420" w:firstLineChars="200"/>
        <w:jc w:val="right"/>
        <w:textAlignment w:val="baseline"/>
        <w:rPr>
          <w:rFonts w:ascii="Times New Roman" w:hAnsi="Times New Roman" w:cs="Times New Roman"/>
          <w:snapToGrid w:val="0"/>
          <w:color w:val="000000"/>
          <w:kern w:val="0"/>
          <w:szCs w:val="21"/>
        </w:rPr>
      </w:pPr>
      <m:oMath>
        <m:sSub>
          <m:sSubPr>
            <m:ctrlPr>
              <w:rPr>
                <w:rFonts w:ascii="Cambria Math" w:hAnsi="Cambria Math" w:cs="Times New Roman"/>
                <w:i/>
                <w:snapToGrid w:val="0"/>
                <w:color w:val="000000"/>
                <w:kern w:val="0"/>
                <w:szCs w:val="21"/>
              </w:rPr>
            </m:ctrlPr>
          </m:sSubPr>
          <m:e>
            <m:r>
              <m:rPr/>
              <w:rPr>
                <w:rFonts w:ascii="Cambria Math" w:hAnsi="Cambria Math" w:cs="Times New Roman"/>
                <w:snapToGrid w:val="0"/>
                <w:color w:val="000000"/>
                <w:kern w:val="0"/>
                <w:szCs w:val="21"/>
              </w:rPr>
              <m:t>L</m:t>
            </m:r>
            <m:ctrlPr>
              <w:rPr>
                <w:rFonts w:ascii="Cambria Math" w:hAnsi="Cambria Math" w:cs="Times New Roman"/>
                <w:i/>
                <w:snapToGrid w:val="0"/>
                <w:color w:val="000000"/>
                <w:kern w:val="0"/>
                <w:szCs w:val="21"/>
              </w:rPr>
            </m:ctrlPr>
          </m:e>
          <m:sub>
            <m:r>
              <m:rPr/>
              <w:rPr>
                <w:rFonts w:ascii="Cambria Math" w:hAnsi="Cambria Math" w:cs="Times New Roman"/>
                <w:snapToGrid w:val="0"/>
                <w:color w:val="000000"/>
                <w:kern w:val="0"/>
                <w:szCs w:val="21"/>
              </w:rPr>
              <m:t>C</m:t>
            </m:r>
            <m:ctrlPr>
              <w:rPr>
                <w:rFonts w:ascii="Cambria Math" w:hAnsi="Cambria Math" w:cs="Times New Roman"/>
                <w:i/>
                <w:snapToGrid w:val="0"/>
                <w:color w:val="000000"/>
                <w:kern w:val="0"/>
                <w:szCs w:val="21"/>
              </w:rPr>
            </m:ctrlPr>
          </m:sub>
        </m:sSub>
        <m:r>
          <m:rPr/>
          <w:rPr>
            <w:rFonts w:ascii="Cambria Math" w:hAnsi="Cambria Math" w:cs="Times New Roman"/>
            <w:snapToGrid w:val="0"/>
            <w:color w:val="000000"/>
            <w:kern w:val="0"/>
            <w:szCs w:val="21"/>
          </w:rPr>
          <m:t>=42+9.7</m:t>
        </m:r>
        <m:r>
          <m:rPr>
            <m:sty m:val="p"/>
          </m:rPr>
          <w:rPr>
            <w:rFonts w:ascii="Cambria Math" w:hAnsi="Cambria Math" w:cs="Times New Roman"/>
            <w:snapToGrid w:val="0"/>
            <w:color w:val="000000"/>
            <w:kern w:val="0"/>
            <w:szCs w:val="21"/>
          </w:rPr>
          <m:t>lg⁡</m:t>
        </m:r>
        <m:r>
          <m:rPr/>
          <w:rPr>
            <w:rFonts w:ascii="Cambria Math" w:hAnsi="Cambria Math" w:cs="Times New Roman"/>
            <w:snapToGrid w:val="0"/>
            <w:color w:val="000000"/>
            <w:kern w:val="0"/>
            <w:szCs w:val="21"/>
          </w:rPr>
          <m:t>(</m:t>
        </m:r>
        <m:sSub>
          <m:sSubPr>
            <m:ctrlPr>
              <w:rPr>
                <w:rFonts w:ascii="Cambria Math" w:hAnsi="Cambria Math" w:cs="Times New Roman"/>
                <w:i/>
                <w:snapToGrid w:val="0"/>
                <w:color w:val="000000"/>
                <w:kern w:val="0"/>
                <w:szCs w:val="21"/>
              </w:rPr>
            </m:ctrlPr>
          </m:sSubPr>
          <m:e>
            <m:r>
              <m:rPr/>
              <w:rPr>
                <w:rFonts w:ascii="Cambria Math" w:hAnsi="Cambria Math" w:cs="Times New Roman"/>
                <w:snapToGrid w:val="0"/>
                <w:color w:val="000000"/>
                <w:kern w:val="0"/>
                <w:szCs w:val="21"/>
              </w:rPr>
              <m:t>p</m:t>
            </m:r>
            <m:ctrlPr>
              <w:rPr>
                <w:rFonts w:ascii="Cambria Math" w:hAnsi="Cambria Math" w:cs="Times New Roman"/>
                <w:i/>
                <w:snapToGrid w:val="0"/>
                <w:color w:val="000000"/>
                <w:kern w:val="0"/>
                <w:szCs w:val="21"/>
              </w:rPr>
            </m:ctrlPr>
          </m:e>
          <m:sub>
            <m:r>
              <m:rPr/>
              <w:rPr>
                <w:rFonts w:ascii="Cambria Math" w:hAnsi="Cambria Math" w:cs="Times New Roman"/>
                <w:snapToGrid w:val="0"/>
                <w:color w:val="000000"/>
                <w:kern w:val="0"/>
                <w:szCs w:val="21"/>
              </w:rPr>
              <m:t>u</m:t>
            </m:r>
            <m:ctrlPr>
              <w:rPr>
                <w:rFonts w:ascii="Cambria Math" w:hAnsi="Cambria Math" w:cs="Times New Roman"/>
                <w:i/>
                <w:snapToGrid w:val="0"/>
                <w:color w:val="000000"/>
                <w:kern w:val="0"/>
                <w:szCs w:val="21"/>
              </w:rPr>
            </m:ctrlPr>
          </m:sub>
        </m:sSub>
        <m:r>
          <m:rPr/>
          <w:rPr>
            <w:rFonts w:ascii="Cambria Math" w:hAnsi="Cambria Math" w:cs="Times New Roman"/>
            <w:snapToGrid w:val="0"/>
            <w:color w:val="000000"/>
            <w:kern w:val="0"/>
            <w:szCs w:val="21"/>
          </w:rPr>
          <m:t>n)</m:t>
        </m:r>
      </m:oMath>
      <w:r>
        <w:rPr>
          <w:rFonts w:ascii="Times New Roman" w:hAnsi="Times New Roman" w:cs="Times New Roman"/>
          <w:snapToGrid w:val="0"/>
          <w:color w:val="000000"/>
          <w:kern w:val="0"/>
          <w:szCs w:val="21"/>
        </w:rPr>
        <w:t xml:space="preserve"> …………</w:t>
      </w:r>
      <w:r>
        <w:rPr>
          <w:rFonts w:hint="eastAsia" w:ascii="Times New Roman" w:hAnsi="Times New Roman" w:cs="Times New Roman"/>
          <w:snapToGrid w:val="0"/>
          <w:color w:val="000000"/>
          <w:kern w:val="0"/>
          <w:szCs w:val="21"/>
        </w:rPr>
        <w:t>..</w:t>
      </w:r>
      <w:r>
        <w:rPr>
          <w:rFonts w:ascii="Times New Roman" w:hAnsi="Times New Roman" w:cs="Times New Roman"/>
          <w:snapToGrid w:val="0"/>
          <w:color w:val="000000"/>
          <w:kern w:val="0"/>
          <w:szCs w:val="21"/>
        </w:rPr>
        <w:t>…………………</w:t>
      </w:r>
      <w:r>
        <w:rPr>
          <w:rFonts w:hint="eastAsia" w:ascii="Times New Roman" w:hAnsi="Times New Roman" w:cs="Times New Roman"/>
          <w:snapToGrid w:val="0"/>
          <w:color w:val="000000"/>
          <w:kern w:val="0"/>
          <w:szCs w:val="21"/>
        </w:rPr>
        <w:t>（G.3）</w:t>
      </w:r>
    </w:p>
    <w:p>
      <w:pPr>
        <w:widowControl/>
        <w:kinsoku w:val="0"/>
        <w:autoSpaceDE w:val="0"/>
        <w:autoSpaceDN w:val="0"/>
        <w:adjustRightInd w:val="0"/>
        <w:snapToGrid w:val="0"/>
        <w:spacing w:line="360" w:lineRule="auto"/>
        <w:textAlignment w:val="baseline"/>
        <w:rPr>
          <w:rFonts w:ascii="Times New Roman" w:hAnsi="Times New Roman" w:cs="Times New Roman"/>
          <w:snapToGrid w:val="0"/>
          <w:color w:val="000000"/>
          <w:kern w:val="0"/>
          <w:szCs w:val="21"/>
        </w:rPr>
      </w:pPr>
      <w:r>
        <w:rPr>
          <w:rFonts w:hint="eastAsia" w:ascii="Times New Roman" w:hAnsi="Times New Roman" w:cs="Times New Roman"/>
          <w:snapToGrid w:val="0"/>
          <w:color w:val="000000"/>
          <w:kern w:val="0"/>
          <w:szCs w:val="21"/>
        </w:rPr>
        <w:t>式中：</w:t>
      </w:r>
    </w:p>
    <w:p>
      <w:pPr>
        <w:widowControl/>
        <w:kinsoku w:val="0"/>
        <w:autoSpaceDE w:val="0"/>
        <w:autoSpaceDN w:val="0"/>
        <w:adjustRightInd w:val="0"/>
        <w:snapToGrid w:val="0"/>
        <w:spacing w:line="360" w:lineRule="auto"/>
        <w:ind w:firstLine="420" w:firstLineChars="200"/>
        <w:textAlignment w:val="baseline"/>
        <w:rPr>
          <w:rFonts w:ascii="Times New Roman" w:hAnsi="Times New Roman" w:cs="Times New Roman"/>
          <w:snapToGrid w:val="0"/>
          <w:color w:val="000000"/>
          <w:kern w:val="0"/>
          <w:szCs w:val="21"/>
        </w:rPr>
      </w:pPr>
      <w:r>
        <w:rPr>
          <w:rFonts w:ascii="Times New Roman" w:hAnsi="Times New Roman" w:cs="Times New Roman"/>
          <w:i/>
          <w:iCs/>
          <w:snapToGrid w:val="0"/>
          <w:color w:val="000000"/>
          <w:kern w:val="0"/>
          <w:szCs w:val="21"/>
        </w:rPr>
        <w:t>L</w:t>
      </w:r>
      <w:r>
        <w:rPr>
          <w:rFonts w:ascii="Times New Roman" w:hAnsi="Times New Roman" w:cs="Times New Roman"/>
          <w:i/>
          <w:iCs/>
          <w:snapToGrid w:val="0"/>
          <w:color w:val="000000"/>
          <w:kern w:val="0"/>
          <w:szCs w:val="21"/>
          <w:vertAlign w:val="subscript"/>
        </w:rPr>
        <w:t>A</w:t>
      </w:r>
      <w:r>
        <w:rPr>
          <w:rFonts w:ascii="Times New Roman" w:hAnsi="Times New Roman" w:cs="Times New Roman"/>
          <w:snapToGrid w:val="0"/>
          <w:color w:val="000000"/>
          <w:kern w:val="0"/>
          <w:szCs w:val="21"/>
        </w:rPr>
        <w:t>，</w:t>
      </w:r>
      <w:r>
        <w:rPr>
          <w:rFonts w:ascii="Times New Roman" w:hAnsi="Times New Roman" w:cs="Times New Roman"/>
          <w:i/>
          <w:iCs/>
          <w:snapToGrid w:val="0"/>
          <w:color w:val="000000"/>
          <w:kern w:val="0"/>
          <w:szCs w:val="21"/>
        </w:rPr>
        <w:t>L</w:t>
      </w:r>
      <w:r>
        <w:rPr>
          <w:rFonts w:ascii="Times New Roman" w:hAnsi="Times New Roman" w:cs="Times New Roman"/>
          <w:i/>
          <w:iCs/>
          <w:snapToGrid w:val="0"/>
          <w:color w:val="000000"/>
          <w:kern w:val="0"/>
          <w:szCs w:val="21"/>
          <w:vertAlign w:val="subscript"/>
        </w:rPr>
        <w:t>B</w:t>
      </w:r>
      <w:r>
        <w:rPr>
          <w:rFonts w:ascii="Times New Roman" w:hAnsi="Times New Roman" w:cs="Times New Roman"/>
          <w:snapToGrid w:val="0"/>
          <w:color w:val="000000"/>
          <w:kern w:val="0"/>
          <w:szCs w:val="21"/>
        </w:rPr>
        <w:t>，</w:t>
      </w:r>
      <w:r>
        <w:rPr>
          <w:rFonts w:ascii="Times New Roman" w:hAnsi="Times New Roman" w:cs="Times New Roman"/>
          <w:i/>
          <w:iCs/>
          <w:snapToGrid w:val="0"/>
          <w:color w:val="000000"/>
          <w:kern w:val="0"/>
          <w:szCs w:val="21"/>
        </w:rPr>
        <w:t>L</w:t>
      </w:r>
      <w:r>
        <w:rPr>
          <w:rFonts w:ascii="Times New Roman" w:hAnsi="Times New Roman" w:cs="Times New Roman"/>
          <w:i/>
          <w:iCs/>
          <w:snapToGrid w:val="0"/>
          <w:color w:val="000000"/>
          <w:kern w:val="0"/>
          <w:szCs w:val="21"/>
          <w:vertAlign w:val="subscript"/>
        </w:rPr>
        <w:t>C</w:t>
      </w:r>
      <w:r>
        <w:rPr>
          <w:rFonts w:ascii="Times New Roman" w:hAnsi="Times New Roman" w:cs="Times New Roman"/>
          <w:snapToGrid w:val="0"/>
          <w:color w:val="000000"/>
          <w:kern w:val="0"/>
          <w:szCs w:val="21"/>
        </w:rPr>
        <w:t>——划分泵的噪声级别的限值，单位为分贝（dB）；</w:t>
      </w:r>
    </w:p>
    <w:p>
      <w:pPr>
        <w:widowControl/>
        <w:kinsoku w:val="0"/>
        <w:autoSpaceDE w:val="0"/>
        <w:autoSpaceDN w:val="0"/>
        <w:adjustRightInd w:val="0"/>
        <w:snapToGrid w:val="0"/>
        <w:spacing w:line="360" w:lineRule="auto"/>
        <w:ind w:firstLine="420" w:firstLineChars="200"/>
        <w:textAlignment w:val="baseline"/>
        <w:rPr>
          <w:rFonts w:ascii="Times New Roman" w:hAnsi="Times New Roman" w:cs="Times New Roman"/>
          <w:snapToGrid w:val="0"/>
          <w:color w:val="000000"/>
          <w:kern w:val="0"/>
          <w:szCs w:val="21"/>
        </w:rPr>
      </w:pPr>
      <w:r>
        <w:rPr>
          <w:rFonts w:ascii="Times New Roman" w:hAnsi="Times New Roman" w:cs="Times New Roman"/>
          <w:i/>
          <w:iCs/>
          <w:snapToGrid w:val="0"/>
          <w:color w:val="000000"/>
          <w:kern w:val="0"/>
          <w:szCs w:val="21"/>
        </w:rPr>
        <w:t>P</w:t>
      </w:r>
      <w:r>
        <w:rPr>
          <w:rFonts w:ascii="Times New Roman" w:hAnsi="Times New Roman" w:cs="Times New Roman"/>
          <w:i/>
          <w:iCs/>
          <w:snapToGrid w:val="0"/>
          <w:color w:val="000000"/>
          <w:kern w:val="0"/>
          <w:szCs w:val="21"/>
          <w:vertAlign w:val="subscript"/>
        </w:rPr>
        <w:t>u</w:t>
      </w:r>
      <w:r>
        <w:rPr>
          <w:rFonts w:ascii="Times New Roman" w:hAnsi="Times New Roman" w:cs="Times New Roman"/>
          <w:snapToGrid w:val="0"/>
          <w:color w:val="000000"/>
          <w:kern w:val="0"/>
          <w:szCs w:val="21"/>
        </w:rPr>
        <w:t xml:space="preserve">   </w:t>
      </w:r>
      <w:bookmarkStart w:id="251" w:name="OLE_LINK74"/>
      <w:r>
        <w:rPr>
          <w:rFonts w:ascii="Times New Roman" w:hAnsi="Times New Roman" w:cs="Times New Roman"/>
          <w:snapToGrid w:val="0"/>
          <w:color w:val="000000"/>
          <w:kern w:val="0"/>
          <w:szCs w:val="21"/>
        </w:rPr>
        <w:t xml:space="preserve"> </w:t>
      </w:r>
      <w:bookmarkEnd w:id="251"/>
      <w:bookmarkStart w:id="252" w:name="OLE_LINK73"/>
      <w:r>
        <w:rPr>
          <w:rFonts w:ascii="Times New Roman" w:hAnsi="Times New Roman" w:cs="Times New Roman"/>
          <w:snapToGrid w:val="0"/>
          <w:color w:val="000000"/>
          <w:kern w:val="0"/>
          <w:szCs w:val="21"/>
        </w:rPr>
        <w:t xml:space="preserve"> </w:t>
      </w:r>
      <w:bookmarkEnd w:id="252"/>
      <w:r>
        <w:rPr>
          <w:rFonts w:ascii="Times New Roman" w:hAnsi="Times New Roman" w:cs="Times New Roman"/>
          <w:snapToGrid w:val="0"/>
          <w:color w:val="000000"/>
          <w:kern w:val="0"/>
          <w:szCs w:val="21"/>
        </w:rPr>
        <w:t xml:space="preserve">   ——泵的输出功率，单位为千瓦（kW）；</w:t>
      </w:r>
    </w:p>
    <w:p>
      <w:pPr>
        <w:ind w:firstLine="420" w:firstLineChars="200"/>
        <w:rPr>
          <w:rFonts w:ascii="Times New Roman" w:hAnsi="Times New Roman" w:cs="Times New Roman"/>
        </w:rPr>
      </w:pPr>
      <w:r>
        <w:rPr>
          <w:rFonts w:ascii="Times New Roman" w:hAnsi="Times New Roman" w:cs="Times New Roman"/>
          <w:i/>
          <w:iCs/>
        </w:rPr>
        <w:t>n</w:t>
      </w:r>
      <w:r>
        <w:rPr>
          <w:rFonts w:ascii="Times New Roman" w:hAnsi="Times New Roman" w:cs="Times New Roman"/>
        </w:rPr>
        <w:t xml:space="preserve">         ——泵的规定转速，单位为转每分钟（r/min）。</w:t>
      </w:r>
    </w:p>
    <w:p>
      <w:pPr>
        <w:widowControl/>
        <w:kinsoku w:val="0"/>
        <w:autoSpaceDE w:val="0"/>
        <w:autoSpaceDN w:val="0"/>
        <w:adjustRightInd w:val="0"/>
        <w:snapToGrid w:val="0"/>
        <w:spacing w:before="120" w:beforeLines="50" w:line="360" w:lineRule="auto"/>
        <w:ind w:firstLine="420" w:firstLineChars="200"/>
        <w:textAlignment w:val="baseline"/>
        <w:rPr>
          <w:rFonts w:ascii="Times New Roman" w:hAnsi="Times New Roman" w:cs="Times New Roman"/>
          <w:snapToGrid w:val="0"/>
          <w:color w:val="000000"/>
          <w:kern w:val="0"/>
          <w:szCs w:val="21"/>
        </w:rPr>
      </w:pPr>
      <w:r>
        <w:rPr>
          <w:rFonts w:hint="eastAsia" w:ascii="Times New Roman" w:hAnsi="Times New Roman" w:cs="Times New Roman"/>
          <w:snapToGrid w:val="0"/>
          <w:color w:val="000000"/>
          <w:kern w:val="0"/>
          <w:szCs w:val="21"/>
        </w:rPr>
        <w:t>按式（H.1）</w:t>
      </w:r>
      <w:r>
        <w:rPr>
          <w:rFonts w:hint="eastAsia" w:cs="Times New Roman" w:asciiTheme="minorEastAsia" w:hAnsiTheme="minorEastAsia"/>
          <w:snapToGrid w:val="0"/>
          <w:color w:val="000000"/>
          <w:kern w:val="0"/>
          <w:szCs w:val="21"/>
        </w:rPr>
        <w:t>～</w:t>
      </w:r>
      <w:r>
        <w:rPr>
          <w:rFonts w:hint="eastAsia" w:ascii="Times New Roman" w:hAnsi="Times New Roman" w:cs="Times New Roman"/>
          <w:snapToGrid w:val="0"/>
          <w:color w:val="000000"/>
          <w:kern w:val="0"/>
          <w:szCs w:val="21"/>
        </w:rPr>
        <w:t>式（H.3）绘制的泵的噪声评价线图见图H.1。</w:t>
      </w:r>
    </w:p>
    <w:p>
      <w:r>
        <w:rPr>
          <w:rFonts w:hint="eastAsia"/>
        </w:rPr>
        <w:drawing>
          <wp:inline distT="0" distB="0" distL="0" distR="0">
            <wp:extent cx="4973320" cy="3420110"/>
            <wp:effectExtent l="0" t="0" r="0" b="8890"/>
            <wp:docPr id="1449697489" name="图片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9697489" name="图片 266"/>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a:xfrm>
                      <a:off x="0" y="0"/>
                      <a:ext cx="4977752" cy="3423161"/>
                    </a:xfrm>
                    <a:prstGeom prst="rect">
                      <a:avLst/>
                    </a:prstGeom>
                    <a:noFill/>
                    <a:ln>
                      <a:noFill/>
                    </a:ln>
                  </pic:spPr>
                </pic:pic>
              </a:graphicData>
            </a:graphic>
          </wp:inline>
        </w:drawing>
      </w:r>
    </w:p>
    <w:p>
      <w:pPr>
        <w:jc w:val="center"/>
      </w:pPr>
      <w:r>
        <w:rPr>
          <w:rFonts w:hint="eastAsia" w:ascii="黑体" w:hAnsi="黑体" w:eastAsia="黑体" w:cs="黑体"/>
          <w:spacing w:val="19"/>
          <w:szCs w:val="21"/>
        </w:rPr>
        <w:t>图 H.1  泵的噪声评价线图</w:t>
      </w:r>
    </w:p>
    <w:p>
      <w:pPr>
        <w:widowControl/>
        <w:kinsoku w:val="0"/>
        <w:autoSpaceDE w:val="0"/>
        <w:autoSpaceDN w:val="0"/>
        <w:adjustRightInd w:val="0"/>
        <w:snapToGrid w:val="0"/>
        <w:spacing w:line="360" w:lineRule="auto"/>
        <w:ind w:firstLine="420" w:firstLineChars="200"/>
        <w:textAlignment w:val="baseline"/>
        <w:rPr>
          <w:rFonts w:ascii="Times New Roman" w:hAnsi="Times New Roman" w:cs="Times New Roman"/>
          <w:snapToGrid w:val="0"/>
          <w:color w:val="000000"/>
          <w:kern w:val="0"/>
          <w:szCs w:val="21"/>
        </w:rPr>
      </w:pPr>
      <w:r>
        <w:rPr>
          <w:rFonts w:hint="eastAsia" w:ascii="Times New Roman" w:hAnsi="Times New Roman" w:cs="Times New Roman"/>
          <w:snapToGrid w:val="0"/>
          <w:color w:val="000000"/>
          <w:kern w:val="0"/>
          <w:szCs w:val="21"/>
        </w:rPr>
        <w:t>当满足：</w:t>
      </w:r>
    </w:p>
    <w:p>
      <w:pPr>
        <w:widowControl/>
        <w:kinsoku w:val="0"/>
        <w:autoSpaceDE w:val="0"/>
        <w:autoSpaceDN w:val="0"/>
        <w:adjustRightInd w:val="0"/>
        <w:snapToGrid w:val="0"/>
        <w:spacing w:line="360" w:lineRule="auto"/>
        <w:ind w:firstLine="420" w:firstLineChars="200"/>
        <w:textAlignment w:val="baseline"/>
        <w:rPr>
          <w:rFonts w:ascii="Times New Roman" w:hAnsi="Times New Roman" w:cs="Times New Roman"/>
          <w:snapToGrid w:val="0"/>
          <w:color w:val="000000"/>
          <w:kern w:val="0"/>
          <w:szCs w:val="21"/>
        </w:rPr>
      </w:pPr>
      <w:r>
        <w:rPr>
          <w:rFonts w:ascii="Times New Roman" w:hAnsi="Times New Roman" w:cs="Times New Roman"/>
          <w:snapToGrid w:val="0"/>
          <w:color w:val="000000"/>
          <w:kern w:val="0"/>
          <w:szCs w:val="21"/>
        </w:rPr>
        <w:t>——</w:t>
      </w:r>
      <w:bookmarkStart w:id="253" w:name="OLE_LINK79"/>
      <w:r>
        <w:rPr>
          <w:rFonts w:ascii="Times New Roman" w:hAnsi="Times New Roman" w:cs="Times New Roman"/>
          <w:i/>
          <w:iCs/>
          <w:snapToGrid w:val="0"/>
          <w:color w:val="000000"/>
          <w:kern w:val="0"/>
          <w:szCs w:val="21"/>
        </w:rPr>
        <w:t>L</w:t>
      </w:r>
      <w:r>
        <w:rPr>
          <w:rFonts w:ascii="Times New Roman" w:hAnsi="Times New Roman" w:cs="Times New Roman"/>
          <w:i/>
          <w:iCs/>
          <w:snapToGrid w:val="0"/>
          <w:color w:val="000000"/>
          <w:kern w:val="0"/>
          <w:szCs w:val="21"/>
          <w:vertAlign w:val="subscript"/>
        </w:rPr>
        <w:t>pA</w:t>
      </w:r>
      <w:r>
        <w:rPr>
          <w:rFonts w:ascii="Times New Roman" w:hAnsi="Times New Roman" w:cs="Times New Roman"/>
          <w:snapToGrid w:val="0"/>
          <w:color w:val="000000"/>
          <w:kern w:val="0"/>
          <w:szCs w:val="21"/>
        </w:rPr>
        <w:t>或</w:t>
      </w:r>
      <m:oMath>
        <m:acc>
          <m:accPr>
            <m:chr m:val="̅"/>
            <m:ctrlPr>
              <w:rPr>
                <w:rFonts w:ascii="Cambria Math" w:hAnsi="Cambria Math" w:cs="Times New Roman"/>
                <w:i/>
                <w:snapToGrid w:val="0"/>
                <w:color w:val="000000"/>
                <w:kern w:val="0"/>
                <w:szCs w:val="21"/>
              </w:rPr>
            </m:ctrlPr>
          </m:accPr>
          <m:e>
            <m:sSub>
              <m:sSubPr>
                <m:ctrlPr>
                  <w:rPr>
                    <w:rFonts w:ascii="Cambria Math" w:hAnsi="Cambria Math" w:cs="Times New Roman"/>
                    <w:i/>
                    <w:snapToGrid w:val="0"/>
                    <w:color w:val="000000"/>
                    <w:kern w:val="0"/>
                    <w:szCs w:val="21"/>
                  </w:rPr>
                </m:ctrlPr>
              </m:sSubPr>
              <m:e>
                <m:r>
                  <m:rPr/>
                  <w:rPr>
                    <w:rFonts w:ascii="Cambria Math" w:hAnsi="Cambria Math" w:cs="Times New Roman"/>
                    <w:snapToGrid w:val="0"/>
                    <w:color w:val="000000"/>
                    <w:kern w:val="0"/>
                    <w:szCs w:val="21"/>
                  </w:rPr>
                  <m:t>L</m:t>
                </m:r>
                <m:ctrlPr>
                  <w:rPr>
                    <w:rFonts w:ascii="Cambria Math" w:hAnsi="Cambria Math" w:cs="Times New Roman"/>
                    <w:i/>
                    <w:snapToGrid w:val="0"/>
                    <w:color w:val="000000"/>
                    <w:kern w:val="0"/>
                    <w:szCs w:val="21"/>
                  </w:rPr>
                </m:ctrlPr>
              </m:e>
              <m:sub>
                <m:r>
                  <m:rPr/>
                  <w:rPr>
                    <w:rFonts w:ascii="Cambria Math" w:hAnsi="Cambria Math" w:cs="Times New Roman"/>
                    <w:snapToGrid w:val="0"/>
                    <w:color w:val="000000"/>
                    <w:kern w:val="0"/>
                    <w:szCs w:val="21"/>
                  </w:rPr>
                  <m:t>pA</m:t>
                </m:r>
                <m:ctrlPr>
                  <w:rPr>
                    <w:rFonts w:ascii="Cambria Math" w:hAnsi="Cambria Math" w:cs="Times New Roman"/>
                    <w:i/>
                    <w:snapToGrid w:val="0"/>
                    <w:color w:val="000000"/>
                    <w:kern w:val="0"/>
                    <w:szCs w:val="21"/>
                  </w:rPr>
                </m:ctrlPr>
              </m:sub>
            </m:sSub>
            <m:ctrlPr>
              <w:rPr>
                <w:rFonts w:ascii="Cambria Math" w:hAnsi="Cambria Math" w:cs="Times New Roman"/>
                <w:i/>
                <w:snapToGrid w:val="0"/>
                <w:color w:val="000000"/>
                <w:kern w:val="0"/>
                <w:szCs w:val="21"/>
              </w:rPr>
            </m:ctrlPr>
          </m:e>
        </m:acc>
      </m:oMath>
      <w:r>
        <w:rPr>
          <w:rFonts w:ascii="Times New Roman" w:hAnsi="Times New Roman" w:cs="Times New Roman"/>
          <w:snapToGrid w:val="0"/>
          <w:color w:val="000000"/>
          <w:kern w:val="0"/>
          <w:szCs w:val="21"/>
        </w:rPr>
        <w:t>≤</w:t>
      </w:r>
      <w:r>
        <w:rPr>
          <w:rFonts w:ascii="Times New Roman" w:hAnsi="Times New Roman" w:cs="Times New Roman"/>
          <w:i/>
          <w:iCs/>
          <w:snapToGrid w:val="0"/>
          <w:color w:val="000000"/>
          <w:kern w:val="0"/>
          <w:szCs w:val="21"/>
        </w:rPr>
        <w:t>L</w:t>
      </w:r>
      <w:r>
        <w:rPr>
          <w:rFonts w:ascii="Times New Roman" w:hAnsi="Times New Roman" w:cs="Times New Roman"/>
          <w:i/>
          <w:iCs/>
          <w:snapToGrid w:val="0"/>
          <w:color w:val="000000"/>
          <w:kern w:val="0"/>
          <w:szCs w:val="21"/>
          <w:vertAlign w:val="subscript"/>
        </w:rPr>
        <w:t>A</w:t>
      </w:r>
      <w:r>
        <w:rPr>
          <w:rFonts w:ascii="Times New Roman" w:hAnsi="Times New Roman" w:cs="Times New Roman"/>
          <w:snapToGrid w:val="0"/>
          <w:color w:val="000000"/>
          <w:kern w:val="0"/>
          <w:szCs w:val="21"/>
        </w:rPr>
        <w:t>的泵噪声评价为A级；</w:t>
      </w:r>
      <w:bookmarkEnd w:id="253"/>
    </w:p>
    <w:p>
      <w:pPr>
        <w:widowControl/>
        <w:kinsoku w:val="0"/>
        <w:autoSpaceDE w:val="0"/>
        <w:autoSpaceDN w:val="0"/>
        <w:adjustRightInd w:val="0"/>
        <w:snapToGrid w:val="0"/>
        <w:spacing w:line="360" w:lineRule="auto"/>
        <w:ind w:firstLine="420" w:firstLineChars="200"/>
        <w:textAlignment w:val="baseline"/>
        <w:rPr>
          <w:rFonts w:ascii="Times New Roman" w:hAnsi="Times New Roman" w:cs="Times New Roman"/>
          <w:snapToGrid w:val="0"/>
          <w:color w:val="000000"/>
          <w:kern w:val="0"/>
          <w:szCs w:val="21"/>
        </w:rPr>
      </w:pPr>
      <w:r>
        <w:rPr>
          <w:rFonts w:ascii="Times New Roman" w:hAnsi="Times New Roman" w:cs="Times New Roman"/>
          <w:snapToGrid w:val="0"/>
          <w:color w:val="000000"/>
          <w:kern w:val="0"/>
          <w:szCs w:val="21"/>
        </w:rPr>
        <w:t>——</w:t>
      </w:r>
      <w:r>
        <w:rPr>
          <w:rFonts w:ascii="Times New Roman" w:hAnsi="Times New Roman" w:cs="Times New Roman"/>
          <w:i/>
          <w:iCs/>
          <w:snapToGrid w:val="0"/>
          <w:color w:val="000000"/>
          <w:kern w:val="0"/>
          <w:szCs w:val="21"/>
        </w:rPr>
        <w:t>L</w:t>
      </w:r>
      <w:r>
        <w:rPr>
          <w:rFonts w:ascii="Times New Roman" w:hAnsi="Times New Roman" w:cs="Times New Roman"/>
          <w:i/>
          <w:iCs/>
          <w:snapToGrid w:val="0"/>
          <w:color w:val="000000"/>
          <w:kern w:val="0"/>
          <w:szCs w:val="21"/>
          <w:vertAlign w:val="subscript"/>
        </w:rPr>
        <w:t>A</w:t>
      </w:r>
      <w:r>
        <w:rPr>
          <w:rFonts w:ascii="Times New Roman" w:hAnsi="Times New Roman" w:cs="Times New Roman"/>
          <w:snapToGrid w:val="0"/>
          <w:color w:val="000000"/>
          <w:kern w:val="0"/>
          <w:szCs w:val="21"/>
        </w:rPr>
        <w:t>＜</w:t>
      </w:r>
      <w:r>
        <w:rPr>
          <w:rFonts w:ascii="Times New Roman" w:hAnsi="Times New Roman" w:cs="Times New Roman"/>
          <w:i/>
          <w:iCs/>
          <w:snapToGrid w:val="0"/>
          <w:color w:val="000000"/>
          <w:kern w:val="0"/>
          <w:szCs w:val="21"/>
        </w:rPr>
        <w:t>L</w:t>
      </w:r>
      <w:r>
        <w:rPr>
          <w:rFonts w:ascii="Times New Roman" w:hAnsi="Times New Roman" w:cs="Times New Roman"/>
          <w:i/>
          <w:iCs/>
          <w:snapToGrid w:val="0"/>
          <w:color w:val="000000"/>
          <w:kern w:val="0"/>
          <w:szCs w:val="21"/>
          <w:vertAlign w:val="subscript"/>
        </w:rPr>
        <w:t>pA</w:t>
      </w:r>
      <w:r>
        <w:rPr>
          <w:rFonts w:ascii="Times New Roman" w:hAnsi="Times New Roman" w:cs="Times New Roman"/>
          <w:snapToGrid w:val="0"/>
          <w:color w:val="000000"/>
          <w:kern w:val="0"/>
          <w:szCs w:val="21"/>
        </w:rPr>
        <w:t>或</w:t>
      </w:r>
      <m:oMath>
        <m:acc>
          <m:accPr>
            <m:chr m:val="̅"/>
            <m:ctrlPr>
              <w:rPr>
                <w:rFonts w:ascii="Cambria Math" w:hAnsi="Cambria Math" w:cs="Times New Roman"/>
                <w:i/>
                <w:snapToGrid w:val="0"/>
                <w:color w:val="000000"/>
                <w:kern w:val="0"/>
                <w:szCs w:val="21"/>
              </w:rPr>
            </m:ctrlPr>
          </m:accPr>
          <m:e>
            <m:sSub>
              <m:sSubPr>
                <m:ctrlPr>
                  <w:rPr>
                    <w:rFonts w:ascii="Cambria Math" w:hAnsi="Cambria Math" w:cs="Times New Roman"/>
                    <w:i/>
                    <w:snapToGrid w:val="0"/>
                    <w:color w:val="000000"/>
                    <w:kern w:val="0"/>
                    <w:szCs w:val="21"/>
                  </w:rPr>
                </m:ctrlPr>
              </m:sSubPr>
              <m:e>
                <m:r>
                  <m:rPr/>
                  <w:rPr>
                    <w:rFonts w:ascii="Cambria Math" w:hAnsi="Cambria Math" w:cs="Times New Roman"/>
                    <w:snapToGrid w:val="0"/>
                    <w:color w:val="000000"/>
                    <w:kern w:val="0"/>
                    <w:szCs w:val="21"/>
                  </w:rPr>
                  <m:t>L</m:t>
                </m:r>
                <m:ctrlPr>
                  <w:rPr>
                    <w:rFonts w:ascii="Cambria Math" w:hAnsi="Cambria Math" w:cs="Times New Roman"/>
                    <w:i/>
                    <w:snapToGrid w:val="0"/>
                    <w:color w:val="000000"/>
                    <w:kern w:val="0"/>
                    <w:szCs w:val="21"/>
                  </w:rPr>
                </m:ctrlPr>
              </m:e>
              <m:sub>
                <m:r>
                  <m:rPr/>
                  <w:rPr>
                    <w:rFonts w:ascii="Cambria Math" w:hAnsi="Cambria Math" w:cs="Times New Roman"/>
                    <w:snapToGrid w:val="0"/>
                    <w:color w:val="000000"/>
                    <w:kern w:val="0"/>
                    <w:szCs w:val="21"/>
                  </w:rPr>
                  <m:t>pA</m:t>
                </m:r>
                <m:ctrlPr>
                  <w:rPr>
                    <w:rFonts w:ascii="Cambria Math" w:hAnsi="Cambria Math" w:cs="Times New Roman"/>
                    <w:i/>
                    <w:snapToGrid w:val="0"/>
                    <w:color w:val="000000"/>
                    <w:kern w:val="0"/>
                    <w:szCs w:val="21"/>
                  </w:rPr>
                </m:ctrlPr>
              </m:sub>
            </m:sSub>
            <m:ctrlPr>
              <w:rPr>
                <w:rFonts w:ascii="Cambria Math" w:hAnsi="Cambria Math" w:cs="Times New Roman"/>
                <w:i/>
                <w:snapToGrid w:val="0"/>
                <w:color w:val="000000"/>
                <w:kern w:val="0"/>
                <w:szCs w:val="21"/>
              </w:rPr>
            </m:ctrlPr>
          </m:e>
        </m:acc>
      </m:oMath>
      <w:r>
        <w:rPr>
          <w:rFonts w:ascii="Times New Roman" w:hAnsi="Times New Roman" w:cs="Times New Roman"/>
          <w:snapToGrid w:val="0"/>
          <w:color w:val="000000"/>
          <w:kern w:val="0"/>
          <w:szCs w:val="21"/>
        </w:rPr>
        <w:t>≤</w:t>
      </w:r>
      <w:r>
        <w:rPr>
          <w:rFonts w:ascii="Times New Roman" w:hAnsi="Times New Roman" w:cs="Times New Roman"/>
          <w:i/>
          <w:iCs/>
          <w:snapToGrid w:val="0"/>
          <w:color w:val="000000"/>
          <w:kern w:val="0"/>
          <w:szCs w:val="21"/>
        </w:rPr>
        <w:t>L</w:t>
      </w:r>
      <w:r>
        <w:rPr>
          <w:rFonts w:ascii="Times New Roman" w:hAnsi="Times New Roman" w:cs="Times New Roman"/>
          <w:i/>
          <w:iCs/>
          <w:snapToGrid w:val="0"/>
          <w:color w:val="000000"/>
          <w:kern w:val="0"/>
          <w:szCs w:val="21"/>
          <w:vertAlign w:val="subscript"/>
        </w:rPr>
        <w:t>B</w:t>
      </w:r>
      <w:r>
        <w:rPr>
          <w:rFonts w:ascii="Times New Roman" w:hAnsi="Times New Roman" w:cs="Times New Roman"/>
          <w:snapToGrid w:val="0"/>
          <w:color w:val="000000"/>
          <w:kern w:val="0"/>
          <w:szCs w:val="21"/>
        </w:rPr>
        <w:t>的泵噪声评价为B级；</w:t>
      </w:r>
    </w:p>
    <w:p>
      <w:pPr>
        <w:widowControl/>
        <w:kinsoku w:val="0"/>
        <w:autoSpaceDE w:val="0"/>
        <w:autoSpaceDN w:val="0"/>
        <w:adjustRightInd w:val="0"/>
        <w:snapToGrid w:val="0"/>
        <w:spacing w:line="360" w:lineRule="auto"/>
        <w:ind w:firstLine="420" w:firstLineChars="200"/>
        <w:textAlignment w:val="baseline"/>
        <w:rPr>
          <w:rFonts w:ascii="Times New Roman" w:hAnsi="Times New Roman" w:cs="Times New Roman"/>
          <w:snapToGrid w:val="0"/>
          <w:color w:val="000000"/>
          <w:kern w:val="0"/>
          <w:szCs w:val="21"/>
        </w:rPr>
      </w:pPr>
      <w:r>
        <w:rPr>
          <w:rFonts w:ascii="Times New Roman" w:hAnsi="Times New Roman" w:cs="Times New Roman"/>
          <w:snapToGrid w:val="0"/>
          <w:color w:val="000000"/>
          <w:kern w:val="0"/>
          <w:szCs w:val="21"/>
        </w:rPr>
        <w:t>——</w:t>
      </w:r>
      <w:r>
        <w:rPr>
          <w:rFonts w:ascii="Times New Roman" w:hAnsi="Times New Roman" w:cs="Times New Roman"/>
          <w:i/>
          <w:iCs/>
          <w:snapToGrid w:val="0"/>
          <w:color w:val="000000"/>
          <w:kern w:val="0"/>
          <w:szCs w:val="21"/>
        </w:rPr>
        <w:t>L</w:t>
      </w:r>
      <w:r>
        <w:rPr>
          <w:rFonts w:ascii="Times New Roman" w:hAnsi="Times New Roman" w:cs="Times New Roman"/>
          <w:i/>
          <w:iCs/>
          <w:snapToGrid w:val="0"/>
          <w:color w:val="000000"/>
          <w:kern w:val="0"/>
          <w:szCs w:val="21"/>
          <w:vertAlign w:val="subscript"/>
        </w:rPr>
        <w:t>B</w:t>
      </w:r>
      <w:r>
        <w:rPr>
          <w:rFonts w:ascii="Times New Roman" w:hAnsi="Times New Roman" w:cs="Times New Roman"/>
          <w:snapToGrid w:val="0"/>
          <w:color w:val="000000"/>
          <w:kern w:val="0"/>
          <w:szCs w:val="21"/>
        </w:rPr>
        <w:t>＜</w:t>
      </w:r>
      <w:r>
        <w:rPr>
          <w:rFonts w:ascii="Times New Roman" w:hAnsi="Times New Roman" w:cs="Times New Roman"/>
          <w:i/>
          <w:iCs/>
          <w:snapToGrid w:val="0"/>
          <w:color w:val="000000"/>
          <w:kern w:val="0"/>
          <w:szCs w:val="21"/>
        </w:rPr>
        <w:t>L</w:t>
      </w:r>
      <w:r>
        <w:rPr>
          <w:rFonts w:ascii="Times New Roman" w:hAnsi="Times New Roman" w:cs="Times New Roman"/>
          <w:i/>
          <w:iCs/>
          <w:snapToGrid w:val="0"/>
          <w:color w:val="000000"/>
          <w:kern w:val="0"/>
          <w:szCs w:val="21"/>
          <w:vertAlign w:val="subscript"/>
        </w:rPr>
        <w:t>pA</w:t>
      </w:r>
      <w:r>
        <w:rPr>
          <w:rFonts w:ascii="Times New Roman" w:hAnsi="Times New Roman" w:cs="Times New Roman"/>
          <w:snapToGrid w:val="0"/>
          <w:color w:val="000000"/>
          <w:kern w:val="0"/>
          <w:szCs w:val="21"/>
        </w:rPr>
        <w:t>或</w:t>
      </w:r>
      <m:oMath>
        <m:acc>
          <m:accPr>
            <m:chr m:val="̅"/>
            <m:ctrlPr>
              <w:rPr>
                <w:rFonts w:ascii="Cambria Math" w:hAnsi="Cambria Math" w:cs="Times New Roman"/>
                <w:i/>
                <w:snapToGrid w:val="0"/>
                <w:color w:val="000000"/>
                <w:kern w:val="0"/>
                <w:szCs w:val="21"/>
              </w:rPr>
            </m:ctrlPr>
          </m:accPr>
          <m:e>
            <m:sSub>
              <m:sSubPr>
                <m:ctrlPr>
                  <w:rPr>
                    <w:rFonts w:ascii="Cambria Math" w:hAnsi="Cambria Math" w:cs="Times New Roman"/>
                    <w:i/>
                    <w:snapToGrid w:val="0"/>
                    <w:color w:val="000000"/>
                    <w:kern w:val="0"/>
                    <w:szCs w:val="21"/>
                  </w:rPr>
                </m:ctrlPr>
              </m:sSubPr>
              <m:e>
                <m:r>
                  <m:rPr/>
                  <w:rPr>
                    <w:rFonts w:ascii="Cambria Math" w:hAnsi="Cambria Math" w:cs="Times New Roman"/>
                    <w:snapToGrid w:val="0"/>
                    <w:color w:val="000000"/>
                    <w:kern w:val="0"/>
                    <w:szCs w:val="21"/>
                  </w:rPr>
                  <m:t>L</m:t>
                </m:r>
                <m:ctrlPr>
                  <w:rPr>
                    <w:rFonts w:ascii="Cambria Math" w:hAnsi="Cambria Math" w:cs="Times New Roman"/>
                    <w:i/>
                    <w:snapToGrid w:val="0"/>
                    <w:color w:val="000000"/>
                    <w:kern w:val="0"/>
                    <w:szCs w:val="21"/>
                  </w:rPr>
                </m:ctrlPr>
              </m:e>
              <m:sub>
                <m:r>
                  <m:rPr/>
                  <w:rPr>
                    <w:rFonts w:ascii="Cambria Math" w:hAnsi="Cambria Math" w:cs="Times New Roman"/>
                    <w:snapToGrid w:val="0"/>
                    <w:color w:val="000000"/>
                    <w:kern w:val="0"/>
                    <w:szCs w:val="21"/>
                  </w:rPr>
                  <m:t>pA</m:t>
                </m:r>
                <m:ctrlPr>
                  <w:rPr>
                    <w:rFonts w:ascii="Cambria Math" w:hAnsi="Cambria Math" w:cs="Times New Roman"/>
                    <w:i/>
                    <w:snapToGrid w:val="0"/>
                    <w:color w:val="000000"/>
                    <w:kern w:val="0"/>
                    <w:szCs w:val="21"/>
                  </w:rPr>
                </m:ctrlPr>
              </m:sub>
            </m:sSub>
            <m:ctrlPr>
              <w:rPr>
                <w:rFonts w:ascii="Cambria Math" w:hAnsi="Cambria Math" w:cs="Times New Roman"/>
                <w:i/>
                <w:snapToGrid w:val="0"/>
                <w:color w:val="000000"/>
                <w:kern w:val="0"/>
                <w:szCs w:val="21"/>
              </w:rPr>
            </m:ctrlPr>
          </m:e>
        </m:acc>
      </m:oMath>
      <w:r>
        <w:rPr>
          <w:rFonts w:ascii="Times New Roman" w:hAnsi="Times New Roman" w:cs="Times New Roman"/>
          <w:snapToGrid w:val="0"/>
          <w:color w:val="000000"/>
          <w:kern w:val="0"/>
          <w:szCs w:val="21"/>
        </w:rPr>
        <w:t>≤</w:t>
      </w:r>
      <w:r>
        <w:rPr>
          <w:rFonts w:ascii="Times New Roman" w:hAnsi="Times New Roman" w:cs="Times New Roman"/>
          <w:i/>
          <w:iCs/>
          <w:snapToGrid w:val="0"/>
          <w:color w:val="000000"/>
          <w:kern w:val="0"/>
          <w:szCs w:val="21"/>
        </w:rPr>
        <w:t>L</w:t>
      </w:r>
      <w:r>
        <w:rPr>
          <w:rFonts w:ascii="Times New Roman" w:hAnsi="Times New Roman" w:cs="Times New Roman"/>
          <w:i/>
          <w:iCs/>
          <w:snapToGrid w:val="0"/>
          <w:color w:val="000000"/>
          <w:kern w:val="0"/>
          <w:szCs w:val="21"/>
          <w:vertAlign w:val="subscript"/>
        </w:rPr>
        <w:t>C</w:t>
      </w:r>
      <w:r>
        <w:rPr>
          <w:rFonts w:ascii="Times New Roman" w:hAnsi="Times New Roman" w:cs="Times New Roman"/>
          <w:snapToGrid w:val="0"/>
          <w:color w:val="000000"/>
          <w:kern w:val="0"/>
          <w:szCs w:val="21"/>
        </w:rPr>
        <w:t>的泵噪声评价为C级；</w:t>
      </w:r>
    </w:p>
    <w:p>
      <w:pPr>
        <w:widowControl/>
        <w:kinsoku w:val="0"/>
        <w:autoSpaceDE w:val="0"/>
        <w:autoSpaceDN w:val="0"/>
        <w:adjustRightInd w:val="0"/>
        <w:snapToGrid w:val="0"/>
        <w:spacing w:line="360" w:lineRule="auto"/>
        <w:ind w:firstLine="420" w:firstLineChars="200"/>
        <w:textAlignment w:val="baseline"/>
        <w:rPr>
          <w:rFonts w:ascii="Times New Roman" w:hAnsi="Times New Roman" w:cs="Times New Roman"/>
          <w:snapToGrid w:val="0"/>
          <w:color w:val="000000"/>
          <w:kern w:val="0"/>
          <w:szCs w:val="21"/>
        </w:rPr>
      </w:pPr>
      <w:r>
        <w:rPr>
          <w:rFonts w:ascii="Times New Roman" w:hAnsi="Times New Roman" w:cs="Times New Roman"/>
          <w:snapToGrid w:val="0"/>
          <w:color w:val="000000"/>
          <w:kern w:val="0"/>
          <w:szCs w:val="21"/>
        </w:rPr>
        <w:t>——</w:t>
      </w:r>
      <w:r>
        <w:rPr>
          <w:rFonts w:ascii="Times New Roman" w:hAnsi="Times New Roman" w:cs="Times New Roman"/>
          <w:i/>
          <w:iCs/>
          <w:snapToGrid w:val="0"/>
          <w:color w:val="000000"/>
          <w:kern w:val="0"/>
          <w:szCs w:val="21"/>
        </w:rPr>
        <w:t>L</w:t>
      </w:r>
      <w:r>
        <w:rPr>
          <w:rFonts w:ascii="Times New Roman" w:hAnsi="Times New Roman" w:cs="Times New Roman"/>
          <w:i/>
          <w:iCs/>
          <w:snapToGrid w:val="0"/>
          <w:color w:val="000000"/>
          <w:kern w:val="0"/>
          <w:szCs w:val="21"/>
          <w:vertAlign w:val="subscript"/>
        </w:rPr>
        <w:t>pA</w:t>
      </w:r>
      <w:r>
        <w:rPr>
          <w:rFonts w:ascii="Times New Roman" w:hAnsi="Times New Roman" w:cs="Times New Roman"/>
          <w:snapToGrid w:val="0"/>
          <w:color w:val="000000"/>
          <w:kern w:val="0"/>
          <w:szCs w:val="21"/>
        </w:rPr>
        <w:t>或</w:t>
      </w:r>
      <m:oMath>
        <m:acc>
          <m:accPr>
            <m:chr m:val="̅"/>
            <m:ctrlPr>
              <w:rPr>
                <w:rFonts w:ascii="Cambria Math" w:hAnsi="Cambria Math" w:cs="Times New Roman"/>
                <w:i/>
                <w:snapToGrid w:val="0"/>
                <w:color w:val="000000"/>
                <w:kern w:val="0"/>
                <w:szCs w:val="21"/>
              </w:rPr>
            </m:ctrlPr>
          </m:accPr>
          <m:e>
            <m:sSub>
              <m:sSubPr>
                <m:ctrlPr>
                  <w:rPr>
                    <w:rFonts w:ascii="Cambria Math" w:hAnsi="Cambria Math" w:cs="Times New Roman"/>
                    <w:i/>
                    <w:snapToGrid w:val="0"/>
                    <w:color w:val="000000"/>
                    <w:kern w:val="0"/>
                    <w:szCs w:val="21"/>
                  </w:rPr>
                </m:ctrlPr>
              </m:sSubPr>
              <m:e>
                <m:r>
                  <m:rPr/>
                  <w:rPr>
                    <w:rFonts w:ascii="Cambria Math" w:hAnsi="Cambria Math" w:cs="Times New Roman"/>
                    <w:snapToGrid w:val="0"/>
                    <w:color w:val="000000"/>
                    <w:kern w:val="0"/>
                    <w:szCs w:val="21"/>
                  </w:rPr>
                  <m:t>L</m:t>
                </m:r>
                <m:ctrlPr>
                  <w:rPr>
                    <w:rFonts w:ascii="Cambria Math" w:hAnsi="Cambria Math" w:cs="Times New Roman"/>
                    <w:i/>
                    <w:snapToGrid w:val="0"/>
                    <w:color w:val="000000"/>
                    <w:kern w:val="0"/>
                    <w:szCs w:val="21"/>
                  </w:rPr>
                </m:ctrlPr>
              </m:e>
              <m:sub>
                <m:r>
                  <m:rPr/>
                  <w:rPr>
                    <w:rFonts w:ascii="Cambria Math" w:hAnsi="Cambria Math" w:cs="Times New Roman"/>
                    <w:snapToGrid w:val="0"/>
                    <w:color w:val="000000"/>
                    <w:kern w:val="0"/>
                    <w:szCs w:val="21"/>
                  </w:rPr>
                  <m:t>pA</m:t>
                </m:r>
                <m:ctrlPr>
                  <w:rPr>
                    <w:rFonts w:ascii="Cambria Math" w:hAnsi="Cambria Math" w:cs="Times New Roman"/>
                    <w:i/>
                    <w:snapToGrid w:val="0"/>
                    <w:color w:val="000000"/>
                    <w:kern w:val="0"/>
                    <w:szCs w:val="21"/>
                  </w:rPr>
                </m:ctrlPr>
              </m:sub>
            </m:sSub>
            <m:ctrlPr>
              <w:rPr>
                <w:rFonts w:ascii="Cambria Math" w:hAnsi="Cambria Math" w:cs="Times New Roman"/>
                <w:i/>
                <w:snapToGrid w:val="0"/>
                <w:color w:val="000000"/>
                <w:kern w:val="0"/>
                <w:szCs w:val="21"/>
              </w:rPr>
            </m:ctrlPr>
          </m:e>
        </m:acc>
      </m:oMath>
      <w:r>
        <w:rPr>
          <w:rFonts w:ascii="Times New Roman" w:hAnsi="Times New Roman" w:cs="Times New Roman"/>
          <w:snapToGrid w:val="0"/>
          <w:color w:val="000000"/>
          <w:kern w:val="0"/>
          <w:szCs w:val="21"/>
        </w:rPr>
        <w:t>＞</w:t>
      </w:r>
      <w:bookmarkStart w:id="254" w:name="OLE_LINK78"/>
      <w:r>
        <w:rPr>
          <w:rFonts w:ascii="Times New Roman" w:hAnsi="Times New Roman" w:cs="Times New Roman"/>
          <w:i/>
          <w:iCs/>
          <w:snapToGrid w:val="0"/>
          <w:color w:val="000000"/>
          <w:kern w:val="0"/>
          <w:szCs w:val="21"/>
        </w:rPr>
        <w:t>L</w:t>
      </w:r>
      <w:r>
        <w:rPr>
          <w:rFonts w:ascii="Times New Roman" w:hAnsi="Times New Roman" w:cs="Times New Roman"/>
          <w:i/>
          <w:iCs/>
          <w:snapToGrid w:val="0"/>
          <w:color w:val="000000"/>
          <w:kern w:val="0"/>
          <w:szCs w:val="21"/>
          <w:vertAlign w:val="subscript"/>
        </w:rPr>
        <w:t>C</w:t>
      </w:r>
      <w:bookmarkEnd w:id="254"/>
      <w:r>
        <w:rPr>
          <w:rFonts w:ascii="Times New Roman" w:hAnsi="Times New Roman" w:cs="Times New Roman"/>
          <w:snapToGrid w:val="0"/>
          <w:color w:val="000000"/>
          <w:kern w:val="0"/>
          <w:szCs w:val="21"/>
        </w:rPr>
        <w:t>的泵噪声评价为D级。</w:t>
      </w:r>
    </w:p>
    <w:p>
      <w:pPr>
        <w:widowControl/>
        <w:kinsoku w:val="0"/>
        <w:autoSpaceDE w:val="0"/>
        <w:autoSpaceDN w:val="0"/>
        <w:adjustRightInd w:val="0"/>
        <w:snapToGrid w:val="0"/>
        <w:spacing w:line="360" w:lineRule="auto"/>
        <w:ind w:firstLine="420" w:firstLineChars="200"/>
        <w:textAlignment w:val="baseline"/>
        <w:rPr>
          <w:rFonts w:ascii="Times New Roman" w:hAnsi="Times New Roman" w:cs="Times New Roman"/>
          <w:snapToGrid w:val="0"/>
          <w:color w:val="000000"/>
          <w:kern w:val="0"/>
          <w:szCs w:val="21"/>
        </w:rPr>
      </w:pPr>
      <w:bookmarkStart w:id="255" w:name="OLE_LINK80"/>
      <w:r>
        <w:rPr>
          <w:rFonts w:hint="eastAsia" w:ascii="Times New Roman" w:hAnsi="Times New Roman" w:cs="Times New Roman"/>
          <w:snapToGrid w:val="0"/>
          <w:color w:val="000000"/>
          <w:kern w:val="0"/>
          <w:szCs w:val="21"/>
        </w:rPr>
        <w:t>对</w:t>
      </w:r>
      <m:oMath>
        <m:sSub>
          <m:sSubPr>
            <m:ctrlPr>
              <w:rPr>
                <w:rFonts w:ascii="Cambria Math" w:hAnsi="Cambria Math" w:cs="Times New Roman"/>
                <w:i/>
                <w:snapToGrid w:val="0"/>
                <w:color w:val="000000"/>
                <w:kern w:val="0"/>
                <w:szCs w:val="21"/>
              </w:rPr>
            </m:ctrlPr>
          </m:sSubPr>
          <m:e>
            <m:r>
              <m:rPr/>
              <w:rPr>
                <w:rFonts w:ascii="Cambria Math" w:hAnsi="Cambria Math" w:cs="Times New Roman"/>
                <w:snapToGrid w:val="0"/>
                <w:color w:val="000000"/>
                <w:kern w:val="0"/>
                <w:szCs w:val="21"/>
              </w:rPr>
              <m:t>p</m:t>
            </m:r>
            <m:ctrlPr>
              <w:rPr>
                <w:rFonts w:ascii="Cambria Math" w:hAnsi="Cambria Math" w:cs="Times New Roman"/>
                <w:i/>
                <w:snapToGrid w:val="0"/>
                <w:color w:val="000000"/>
                <w:kern w:val="0"/>
                <w:szCs w:val="21"/>
              </w:rPr>
            </m:ctrlPr>
          </m:e>
          <m:sub>
            <m:r>
              <m:rPr/>
              <w:rPr>
                <w:rFonts w:ascii="Cambria Math" w:hAnsi="Cambria Math" w:cs="Times New Roman"/>
                <w:snapToGrid w:val="0"/>
                <w:color w:val="000000"/>
                <w:kern w:val="0"/>
                <w:szCs w:val="21"/>
              </w:rPr>
              <m:t>u</m:t>
            </m:r>
            <m:ctrlPr>
              <w:rPr>
                <w:rFonts w:ascii="Cambria Math" w:hAnsi="Cambria Math" w:cs="Times New Roman"/>
                <w:i/>
                <w:snapToGrid w:val="0"/>
                <w:color w:val="000000"/>
                <w:kern w:val="0"/>
                <w:szCs w:val="21"/>
              </w:rPr>
            </m:ctrlPr>
          </m:sub>
        </m:sSub>
        <m:r>
          <m:rPr/>
          <w:rPr>
            <w:rFonts w:ascii="Cambria Math" w:hAnsi="Cambria Math" w:cs="Times New Roman"/>
            <w:snapToGrid w:val="0"/>
            <w:color w:val="000000"/>
            <w:kern w:val="0"/>
            <w:szCs w:val="21"/>
          </w:rPr>
          <m:t>n</m:t>
        </m:r>
      </m:oMath>
      <w:r>
        <w:rPr>
          <w:rFonts w:hint="eastAsia" w:ascii="Times New Roman" w:hAnsi="Times New Roman" w:cs="Times New Roman"/>
          <w:snapToGrid w:val="0"/>
          <w:color w:val="000000"/>
          <w:kern w:val="0"/>
          <w:szCs w:val="21"/>
        </w:rPr>
        <w:t>≤27101.3的泵</w:t>
      </w:r>
      <w:bookmarkEnd w:id="255"/>
      <w:r>
        <w:rPr>
          <w:rFonts w:hint="eastAsia" w:ascii="Times New Roman" w:hAnsi="Times New Roman" w:cs="Times New Roman"/>
          <w:snapToGrid w:val="0"/>
          <w:color w:val="000000"/>
          <w:kern w:val="0"/>
          <w:szCs w:val="21"/>
        </w:rPr>
        <w:t>例外，因为它们的</w:t>
      </w:r>
      <w:r>
        <w:rPr>
          <w:rFonts w:ascii="Times New Roman" w:hAnsi="Times New Roman" w:cs="Times New Roman"/>
          <w:i/>
          <w:iCs/>
          <w:snapToGrid w:val="0"/>
          <w:color w:val="000000"/>
          <w:kern w:val="0"/>
          <w:szCs w:val="21"/>
        </w:rPr>
        <w:t>L</w:t>
      </w:r>
      <w:r>
        <w:rPr>
          <w:rFonts w:ascii="Times New Roman" w:hAnsi="Times New Roman" w:cs="Times New Roman"/>
          <w:i/>
          <w:iCs/>
          <w:snapToGrid w:val="0"/>
          <w:color w:val="000000"/>
          <w:kern w:val="0"/>
          <w:szCs w:val="21"/>
          <w:vertAlign w:val="subscript"/>
        </w:rPr>
        <w:t>C</w:t>
      </w:r>
      <w:r>
        <w:rPr>
          <w:rFonts w:hint="eastAsia" w:ascii="Times New Roman" w:hAnsi="Times New Roman" w:cs="Times New Roman"/>
          <w:snapToGrid w:val="0"/>
          <w:color w:val="000000"/>
          <w:kern w:val="0"/>
          <w:szCs w:val="21"/>
        </w:rPr>
        <w:t>≤85 dB，可不去区别其噪声的A、B级别，所以对这些泵，当满足：</w:t>
      </w:r>
    </w:p>
    <w:p>
      <w:pPr>
        <w:widowControl/>
        <w:kinsoku w:val="0"/>
        <w:autoSpaceDE w:val="0"/>
        <w:autoSpaceDN w:val="0"/>
        <w:adjustRightInd w:val="0"/>
        <w:snapToGrid w:val="0"/>
        <w:spacing w:line="360" w:lineRule="auto"/>
        <w:ind w:firstLine="420" w:firstLineChars="200"/>
        <w:textAlignment w:val="baseline"/>
        <w:rPr>
          <w:rFonts w:ascii="Times New Roman" w:hAnsi="Times New Roman" w:cs="Times New Roman"/>
          <w:snapToGrid w:val="0"/>
          <w:color w:val="000000"/>
          <w:kern w:val="0"/>
          <w:szCs w:val="21"/>
        </w:rPr>
      </w:pPr>
      <w:r>
        <w:rPr>
          <w:rFonts w:hint="eastAsia" w:ascii="Times New Roman" w:hAnsi="Times New Roman" w:cs="Times New Roman"/>
          <w:snapToGrid w:val="0"/>
          <w:color w:val="000000"/>
          <w:kern w:val="0"/>
          <w:szCs w:val="21"/>
        </w:rPr>
        <w:t>——</w:t>
      </w:r>
      <w:r>
        <w:rPr>
          <w:rFonts w:ascii="Times New Roman" w:hAnsi="Times New Roman" w:cs="Times New Roman"/>
          <w:i/>
          <w:iCs/>
          <w:snapToGrid w:val="0"/>
          <w:color w:val="000000"/>
          <w:kern w:val="0"/>
          <w:szCs w:val="21"/>
        </w:rPr>
        <w:t>L</w:t>
      </w:r>
      <w:r>
        <w:rPr>
          <w:rFonts w:ascii="Times New Roman" w:hAnsi="Times New Roman" w:cs="Times New Roman"/>
          <w:i/>
          <w:iCs/>
          <w:snapToGrid w:val="0"/>
          <w:color w:val="000000"/>
          <w:kern w:val="0"/>
          <w:szCs w:val="21"/>
          <w:vertAlign w:val="subscript"/>
        </w:rPr>
        <w:t>pA</w:t>
      </w:r>
      <w:r>
        <w:rPr>
          <w:rFonts w:ascii="Times New Roman" w:hAnsi="Times New Roman" w:cs="Times New Roman"/>
          <w:snapToGrid w:val="0"/>
          <w:color w:val="000000"/>
          <w:kern w:val="0"/>
          <w:szCs w:val="21"/>
        </w:rPr>
        <w:t>或</w:t>
      </w:r>
      <m:oMath>
        <m:acc>
          <m:accPr>
            <m:chr m:val="̅"/>
            <m:ctrlPr>
              <w:rPr>
                <w:rFonts w:ascii="Cambria Math" w:hAnsi="Cambria Math" w:cs="Times New Roman"/>
                <w:i/>
                <w:snapToGrid w:val="0"/>
                <w:color w:val="000000"/>
                <w:kern w:val="0"/>
                <w:szCs w:val="21"/>
              </w:rPr>
            </m:ctrlPr>
          </m:accPr>
          <m:e>
            <m:sSub>
              <m:sSubPr>
                <m:ctrlPr>
                  <w:rPr>
                    <w:rFonts w:ascii="Cambria Math" w:hAnsi="Cambria Math" w:cs="Times New Roman"/>
                    <w:i/>
                    <w:snapToGrid w:val="0"/>
                    <w:color w:val="000000"/>
                    <w:kern w:val="0"/>
                    <w:szCs w:val="21"/>
                  </w:rPr>
                </m:ctrlPr>
              </m:sSubPr>
              <m:e>
                <m:r>
                  <m:rPr/>
                  <w:rPr>
                    <w:rFonts w:ascii="Cambria Math" w:hAnsi="Cambria Math" w:cs="Times New Roman"/>
                    <w:snapToGrid w:val="0"/>
                    <w:color w:val="000000"/>
                    <w:kern w:val="0"/>
                    <w:szCs w:val="21"/>
                  </w:rPr>
                  <m:t>L</m:t>
                </m:r>
                <m:ctrlPr>
                  <w:rPr>
                    <w:rFonts w:ascii="Cambria Math" w:hAnsi="Cambria Math" w:cs="Times New Roman"/>
                    <w:i/>
                    <w:snapToGrid w:val="0"/>
                    <w:color w:val="000000"/>
                    <w:kern w:val="0"/>
                    <w:szCs w:val="21"/>
                  </w:rPr>
                </m:ctrlPr>
              </m:e>
              <m:sub>
                <m:r>
                  <m:rPr/>
                  <w:rPr>
                    <w:rFonts w:ascii="Cambria Math" w:hAnsi="Cambria Math" w:cs="Times New Roman"/>
                    <w:snapToGrid w:val="0"/>
                    <w:color w:val="000000"/>
                    <w:kern w:val="0"/>
                    <w:szCs w:val="21"/>
                  </w:rPr>
                  <m:t>pA</m:t>
                </m:r>
                <m:ctrlPr>
                  <w:rPr>
                    <w:rFonts w:ascii="Cambria Math" w:hAnsi="Cambria Math" w:cs="Times New Roman"/>
                    <w:i/>
                    <w:snapToGrid w:val="0"/>
                    <w:color w:val="000000"/>
                    <w:kern w:val="0"/>
                    <w:szCs w:val="21"/>
                  </w:rPr>
                </m:ctrlPr>
              </m:sub>
            </m:sSub>
            <m:ctrlPr>
              <w:rPr>
                <w:rFonts w:ascii="Cambria Math" w:hAnsi="Cambria Math" w:cs="Times New Roman"/>
                <w:i/>
                <w:snapToGrid w:val="0"/>
                <w:color w:val="000000"/>
                <w:kern w:val="0"/>
                <w:szCs w:val="21"/>
              </w:rPr>
            </m:ctrlPr>
          </m:e>
        </m:acc>
      </m:oMath>
      <w:r>
        <w:rPr>
          <w:rFonts w:ascii="Times New Roman" w:hAnsi="Times New Roman" w:cs="Times New Roman"/>
          <w:snapToGrid w:val="0"/>
          <w:color w:val="000000"/>
          <w:kern w:val="0"/>
          <w:szCs w:val="21"/>
        </w:rPr>
        <w:t>≤</w:t>
      </w:r>
      <w:r>
        <w:rPr>
          <w:rFonts w:hint="eastAsia" w:ascii="Times New Roman" w:hAnsi="Times New Roman" w:cs="Times New Roman"/>
          <w:snapToGrid w:val="0"/>
          <w:color w:val="000000"/>
          <w:kern w:val="0"/>
          <w:szCs w:val="21"/>
        </w:rPr>
        <w:t>85 dB</w:t>
      </w:r>
      <w:r>
        <w:rPr>
          <w:rFonts w:ascii="Times New Roman" w:hAnsi="Times New Roman" w:cs="Times New Roman"/>
          <w:snapToGrid w:val="0"/>
          <w:color w:val="000000"/>
          <w:kern w:val="0"/>
          <w:szCs w:val="21"/>
        </w:rPr>
        <w:t>的泵噪声评</w:t>
      </w:r>
      <w:r>
        <w:rPr>
          <w:rFonts w:hint="eastAsia" w:ascii="Times New Roman" w:hAnsi="Times New Roman" w:cs="Times New Roman"/>
          <w:snapToGrid w:val="0"/>
          <w:color w:val="000000"/>
          <w:kern w:val="0"/>
          <w:szCs w:val="21"/>
        </w:rPr>
        <w:t>定为合格</w:t>
      </w:r>
      <w:r>
        <w:rPr>
          <w:rFonts w:ascii="Times New Roman" w:hAnsi="Times New Roman" w:cs="Times New Roman"/>
          <w:snapToGrid w:val="0"/>
          <w:color w:val="000000"/>
          <w:kern w:val="0"/>
          <w:szCs w:val="21"/>
        </w:rPr>
        <w:t>；</w:t>
      </w:r>
    </w:p>
    <w:p>
      <w:pPr>
        <w:widowControl/>
        <w:kinsoku w:val="0"/>
        <w:autoSpaceDE w:val="0"/>
        <w:autoSpaceDN w:val="0"/>
        <w:adjustRightInd w:val="0"/>
        <w:snapToGrid w:val="0"/>
        <w:spacing w:line="360" w:lineRule="auto"/>
        <w:ind w:firstLine="420" w:firstLineChars="200"/>
        <w:textAlignment w:val="baseline"/>
        <w:rPr>
          <w:rFonts w:ascii="Times New Roman" w:hAnsi="Times New Roman" w:cs="Times New Roman"/>
          <w:snapToGrid w:val="0"/>
          <w:color w:val="000000"/>
          <w:kern w:val="0"/>
          <w:szCs w:val="21"/>
        </w:rPr>
      </w:pPr>
      <w:r>
        <w:rPr>
          <w:rFonts w:hint="eastAsia" w:ascii="Times New Roman" w:hAnsi="Times New Roman" w:cs="Times New Roman"/>
          <w:snapToGrid w:val="0"/>
          <w:color w:val="000000"/>
          <w:kern w:val="0"/>
          <w:szCs w:val="21"/>
        </w:rPr>
        <w:t>——</w:t>
      </w:r>
      <w:r>
        <w:rPr>
          <w:rFonts w:ascii="Times New Roman" w:hAnsi="Times New Roman" w:cs="Times New Roman"/>
          <w:i/>
          <w:iCs/>
          <w:snapToGrid w:val="0"/>
          <w:color w:val="000000"/>
          <w:kern w:val="0"/>
          <w:szCs w:val="21"/>
        </w:rPr>
        <w:t>L</w:t>
      </w:r>
      <w:r>
        <w:rPr>
          <w:rFonts w:ascii="Times New Roman" w:hAnsi="Times New Roman" w:cs="Times New Roman"/>
          <w:i/>
          <w:iCs/>
          <w:snapToGrid w:val="0"/>
          <w:color w:val="000000"/>
          <w:kern w:val="0"/>
          <w:szCs w:val="21"/>
          <w:vertAlign w:val="subscript"/>
        </w:rPr>
        <w:t>pA</w:t>
      </w:r>
      <w:r>
        <w:rPr>
          <w:rFonts w:ascii="Times New Roman" w:hAnsi="Times New Roman" w:cs="Times New Roman"/>
          <w:snapToGrid w:val="0"/>
          <w:color w:val="000000"/>
          <w:kern w:val="0"/>
          <w:szCs w:val="21"/>
        </w:rPr>
        <w:t>或</w:t>
      </w:r>
      <m:oMath>
        <m:acc>
          <m:accPr>
            <m:chr m:val="̅"/>
            <m:ctrlPr>
              <w:rPr>
                <w:rFonts w:ascii="Cambria Math" w:hAnsi="Cambria Math" w:cs="Times New Roman"/>
                <w:i/>
                <w:snapToGrid w:val="0"/>
                <w:color w:val="000000"/>
                <w:kern w:val="0"/>
                <w:szCs w:val="21"/>
              </w:rPr>
            </m:ctrlPr>
          </m:accPr>
          <m:e>
            <m:sSub>
              <m:sSubPr>
                <m:ctrlPr>
                  <w:rPr>
                    <w:rFonts w:ascii="Cambria Math" w:hAnsi="Cambria Math" w:cs="Times New Roman"/>
                    <w:i/>
                    <w:snapToGrid w:val="0"/>
                    <w:color w:val="000000"/>
                    <w:kern w:val="0"/>
                    <w:szCs w:val="21"/>
                  </w:rPr>
                </m:ctrlPr>
              </m:sSubPr>
              <m:e>
                <m:r>
                  <m:rPr/>
                  <w:rPr>
                    <w:rFonts w:ascii="Cambria Math" w:hAnsi="Cambria Math" w:cs="Times New Roman"/>
                    <w:snapToGrid w:val="0"/>
                    <w:color w:val="000000"/>
                    <w:kern w:val="0"/>
                    <w:szCs w:val="21"/>
                  </w:rPr>
                  <m:t>L</m:t>
                </m:r>
                <m:ctrlPr>
                  <w:rPr>
                    <w:rFonts w:ascii="Cambria Math" w:hAnsi="Cambria Math" w:cs="Times New Roman"/>
                    <w:i/>
                    <w:snapToGrid w:val="0"/>
                    <w:color w:val="000000"/>
                    <w:kern w:val="0"/>
                    <w:szCs w:val="21"/>
                  </w:rPr>
                </m:ctrlPr>
              </m:e>
              <m:sub>
                <m:r>
                  <m:rPr/>
                  <w:rPr>
                    <w:rFonts w:ascii="Cambria Math" w:hAnsi="Cambria Math" w:cs="Times New Roman"/>
                    <w:snapToGrid w:val="0"/>
                    <w:color w:val="000000"/>
                    <w:kern w:val="0"/>
                    <w:szCs w:val="21"/>
                  </w:rPr>
                  <m:t>pA</m:t>
                </m:r>
                <m:ctrlPr>
                  <w:rPr>
                    <w:rFonts w:ascii="Cambria Math" w:hAnsi="Cambria Math" w:cs="Times New Roman"/>
                    <w:i/>
                    <w:snapToGrid w:val="0"/>
                    <w:color w:val="000000"/>
                    <w:kern w:val="0"/>
                    <w:szCs w:val="21"/>
                  </w:rPr>
                </m:ctrlPr>
              </m:sub>
            </m:sSub>
            <m:ctrlPr>
              <w:rPr>
                <w:rFonts w:ascii="Cambria Math" w:hAnsi="Cambria Math" w:cs="Times New Roman"/>
                <w:i/>
                <w:snapToGrid w:val="0"/>
                <w:color w:val="000000"/>
                <w:kern w:val="0"/>
                <w:szCs w:val="21"/>
              </w:rPr>
            </m:ctrlPr>
          </m:e>
        </m:acc>
      </m:oMath>
      <w:r>
        <w:rPr>
          <w:rFonts w:hint="eastAsia" w:ascii="Times New Roman" w:hAnsi="Times New Roman" w:cs="Times New Roman"/>
          <w:snapToGrid w:val="0"/>
          <w:color w:val="000000"/>
          <w:kern w:val="0"/>
          <w:szCs w:val="21"/>
        </w:rPr>
        <w:t>＞85 dB</w:t>
      </w:r>
      <w:r>
        <w:rPr>
          <w:rFonts w:ascii="Times New Roman" w:hAnsi="Times New Roman" w:cs="Times New Roman"/>
          <w:snapToGrid w:val="0"/>
          <w:color w:val="000000"/>
          <w:kern w:val="0"/>
          <w:szCs w:val="21"/>
        </w:rPr>
        <w:t>的泵噪声评</w:t>
      </w:r>
      <w:r>
        <w:rPr>
          <w:rFonts w:hint="eastAsia" w:ascii="Times New Roman" w:hAnsi="Times New Roman" w:cs="Times New Roman"/>
          <w:snapToGrid w:val="0"/>
          <w:color w:val="000000"/>
          <w:kern w:val="0"/>
          <w:szCs w:val="21"/>
        </w:rPr>
        <w:t>定为不合格。</w:t>
      </w:r>
    </w:p>
    <w:p>
      <w:pPr>
        <w:widowControl/>
        <w:kinsoku w:val="0"/>
        <w:autoSpaceDE w:val="0"/>
        <w:autoSpaceDN w:val="0"/>
        <w:adjustRightInd w:val="0"/>
        <w:snapToGrid w:val="0"/>
        <w:spacing w:line="360" w:lineRule="auto"/>
        <w:ind w:firstLine="420" w:firstLineChars="200"/>
        <w:textAlignment w:val="baseline"/>
        <w:rPr>
          <w:rFonts w:ascii="Times New Roman" w:hAnsi="Times New Roman" w:cs="Times New Roman"/>
          <w:snapToGrid w:val="0"/>
          <w:color w:val="000000"/>
          <w:kern w:val="0"/>
          <w:szCs w:val="21"/>
        </w:rPr>
      </w:pPr>
      <w:r>
        <w:rPr>
          <w:rFonts w:hint="eastAsia" w:ascii="Times New Roman" w:hAnsi="Times New Roman" w:cs="Times New Roman"/>
          <w:snapToGrid w:val="0"/>
          <w:color w:val="000000"/>
          <w:kern w:val="0"/>
          <w:szCs w:val="21"/>
        </w:rPr>
        <w:t>对</w:t>
      </w:r>
      <m:oMath>
        <m:sSub>
          <m:sSubPr>
            <m:ctrlPr>
              <w:rPr>
                <w:rFonts w:ascii="Cambria Math" w:hAnsi="Cambria Math" w:cs="Times New Roman"/>
                <w:i/>
                <w:snapToGrid w:val="0"/>
                <w:color w:val="000000"/>
                <w:kern w:val="0"/>
                <w:szCs w:val="21"/>
              </w:rPr>
            </m:ctrlPr>
          </m:sSubPr>
          <m:e>
            <m:r>
              <m:rPr/>
              <w:rPr>
                <w:rFonts w:ascii="Cambria Math" w:hAnsi="Cambria Math" w:cs="Times New Roman"/>
                <w:snapToGrid w:val="0"/>
                <w:color w:val="000000"/>
                <w:kern w:val="0"/>
                <w:szCs w:val="21"/>
              </w:rPr>
              <m:t>p</m:t>
            </m:r>
            <m:ctrlPr>
              <w:rPr>
                <w:rFonts w:ascii="Cambria Math" w:hAnsi="Cambria Math" w:cs="Times New Roman"/>
                <w:i/>
                <w:snapToGrid w:val="0"/>
                <w:color w:val="000000"/>
                <w:kern w:val="0"/>
                <w:szCs w:val="21"/>
              </w:rPr>
            </m:ctrlPr>
          </m:e>
          <m:sub>
            <m:r>
              <m:rPr/>
              <w:rPr>
                <w:rFonts w:ascii="Cambria Math" w:hAnsi="Cambria Math" w:cs="Times New Roman"/>
                <w:snapToGrid w:val="0"/>
                <w:color w:val="000000"/>
                <w:kern w:val="0"/>
                <w:szCs w:val="21"/>
              </w:rPr>
              <m:t>u</m:t>
            </m:r>
            <m:ctrlPr>
              <w:rPr>
                <w:rFonts w:ascii="Cambria Math" w:hAnsi="Cambria Math" w:cs="Times New Roman"/>
                <w:i/>
                <w:snapToGrid w:val="0"/>
                <w:color w:val="000000"/>
                <w:kern w:val="0"/>
                <w:szCs w:val="21"/>
              </w:rPr>
            </m:ctrlPr>
          </m:sub>
        </m:sSub>
        <m:r>
          <m:rPr/>
          <w:rPr>
            <w:rFonts w:ascii="Cambria Math" w:hAnsi="Cambria Math" w:cs="Times New Roman"/>
            <w:snapToGrid w:val="0"/>
            <w:color w:val="000000"/>
            <w:kern w:val="0"/>
            <w:szCs w:val="21"/>
          </w:rPr>
          <m:t>n</m:t>
        </m:r>
      </m:oMath>
      <w:r>
        <w:rPr>
          <w:rFonts w:hint="eastAsia" w:ascii="Times New Roman" w:hAnsi="Times New Roman" w:cs="Times New Roman"/>
          <w:snapToGrid w:val="0"/>
          <w:color w:val="000000"/>
          <w:kern w:val="0"/>
          <w:szCs w:val="21"/>
        </w:rPr>
        <w:t>≤27101.3的泵噪声限值</w:t>
      </w:r>
      <w:r>
        <w:rPr>
          <w:rFonts w:hint="eastAsia" w:ascii="Times New Roman" w:hAnsi="Times New Roman" w:cs="Times New Roman"/>
          <w:i/>
          <w:iCs/>
          <w:snapToGrid w:val="0"/>
          <w:color w:val="000000"/>
          <w:kern w:val="0"/>
          <w:szCs w:val="21"/>
        </w:rPr>
        <w:t>L</w:t>
      </w:r>
      <w:r>
        <w:rPr>
          <w:rFonts w:hint="eastAsia" w:ascii="Times New Roman" w:hAnsi="Times New Roman" w:cs="Times New Roman"/>
          <w:i/>
          <w:iCs/>
          <w:snapToGrid w:val="0"/>
          <w:color w:val="000000"/>
          <w:kern w:val="0"/>
          <w:szCs w:val="21"/>
          <w:vertAlign w:val="subscript"/>
        </w:rPr>
        <w:t>A</w:t>
      </w:r>
      <w:r>
        <w:rPr>
          <w:rFonts w:hint="eastAsia" w:ascii="Times New Roman" w:hAnsi="Times New Roman" w:cs="Times New Roman"/>
          <w:snapToGrid w:val="0"/>
          <w:color w:val="000000"/>
          <w:kern w:val="0"/>
          <w:szCs w:val="21"/>
        </w:rPr>
        <w:t>、</w:t>
      </w:r>
      <w:r>
        <w:rPr>
          <w:rFonts w:hint="eastAsia" w:ascii="Times New Roman" w:hAnsi="Times New Roman" w:cs="Times New Roman"/>
          <w:i/>
          <w:iCs/>
          <w:snapToGrid w:val="0"/>
          <w:color w:val="000000"/>
          <w:kern w:val="0"/>
          <w:szCs w:val="21"/>
        </w:rPr>
        <w:t>L</w:t>
      </w:r>
      <w:r>
        <w:rPr>
          <w:rFonts w:hint="eastAsia" w:ascii="Times New Roman" w:hAnsi="Times New Roman" w:cs="Times New Roman"/>
          <w:i/>
          <w:iCs/>
          <w:snapToGrid w:val="0"/>
          <w:color w:val="000000"/>
          <w:kern w:val="0"/>
          <w:szCs w:val="21"/>
          <w:vertAlign w:val="subscript"/>
        </w:rPr>
        <w:t>B</w:t>
      </w:r>
      <w:r>
        <w:rPr>
          <w:rFonts w:hint="eastAsia" w:ascii="Times New Roman" w:hAnsi="Times New Roman" w:cs="Times New Roman"/>
          <w:snapToGrid w:val="0"/>
          <w:color w:val="000000"/>
          <w:kern w:val="0"/>
          <w:szCs w:val="21"/>
        </w:rPr>
        <w:t>、</w:t>
      </w:r>
      <w:r>
        <w:rPr>
          <w:rFonts w:hint="eastAsia" w:ascii="Times New Roman" w:hAnsi="Times New Roman" w:cs="Times New Roman"/>
          <w:i/>
          <w:iCs/>
          <w:snapToGrid w:val="0"/>
          <w:color w:val="000000"/>
          <w:kern w:val="0"/>
          <w:szCs w:val="21"/>
        </w:rPr>
        <w:t>L</w:t>
      </w:r>
      <w:r>
        <w:rPr>
          <w:rFonts w:hint="eastAsia" w:ascii="Times New Roman" w:hAnsi="Times New Roman" w:cs="Times New Roman"/>
          <w:i/>
          <w:iCs/>
          <w:snapToGrid w:val="0"/>
          <w:color w:val="000000"/>
          <w:kern w:val="0"/>
          <w:szCs w:val="21"/>
          <w:vertAlign w:val="subscript"/>
        </w:rPr>
        <w:t>C</w:t>
      </w:r>
      <w:r>
        <w:rPr>
          <w:rFonts w:hint="eastAsia" w:ascii="Times New Roman" w:hAnsi="Times New Roman" w:cs="Times New Roman"/>
          <w:snapToGrid w:val="0"/>
          <w:color w:val="000000"/>
          <w:kern w:val="0"/>
          <w:szCs w:val="21"/>
        </w:rPr>
        <w:t>在图H.1中用虚线绘出，这些限值仅在如下情况中使用：</w:t>
      </w:r>
    </w:p>
    <w:p>
      <w:pPr>
        <w:pStyle w:val="26"/>
        <w:widowControl/>
        <w:numPr>
          <w:ilvl w:val="0"/>
          <w:numId w:val="39"/>
        </w:numPr>
        <w:kinsoku w:val="0"/>
        <w:autoSpaceDE w:val="0"/>
        <w:autoSpaceDN w:val="0"/>
        <w:adjustRightInd w:val="0"/>
        <w:snapToGrid w:val="0"/>
        <w:spacing w:line="360" w:lineRule="auto"/>
        <w:ind w:firstLineChars="0"/>
        <w:textAlignment w:val="baseline"/>
        <w:rPr>
          <w:rFonts w:ascii="Times New Roman" w:hAnsi="Times New Roman" w:cs="Times New Roman"/>
          <w:snapToGrid w:val="0"/>
          <w:color w:val="000000"/>
          <w:kern w:val="0"/>
          <w:szCs w:val="21"/>
        </w:rPr>
      </w:pPr>
      <w:r>
        <w:rPr>
          <w:rFonts w:ascii="Times New Roman" w:hAnsi="Times New Roman" w:cs="Times New Roman"/>
          <w:snapToGrid w:val="0"/>
          <w:color w:val="000000"/>
          <w:kern w:val="0"/>
          <w:szCs w:val="21"/>
        </w:rPr>
        <w:t>能够精准测定泵声源的噪声级（声功率级或声压级），并且需要评价泵声源的噪声水平时；</w:t>
      </w:r>
    </w:p>
    <w:p>
      <w:pPr>
        <w:pStyle w:val="26"/>
        <w:widowControl/>
        <w:numPr>
          <w:ilvl w:val="0"/>
          <w:numId w:val="39"/>
        </w:numPr>
        <w:kinsoku w:val="0"/>
        <w:autoSpaceDE w:val="0"/>
        <w:autoSpaceDN w:val="0"/>
        <w:adjustRightInd w:val="0"/>
        <w:snapToGrid w:val="0"/>
        <w:spacing w:line="360" w:lineRule="auto"/>
        <w:ind w:firstLineChars="0"/>
        <w:textAlignment w:val="baseline"/>
        <w:rPr>
          <w:rFonts w:ascii="Times New Roman" w:hAnsi="Times New Roman" w:cs="Times New Roman"/>
          <w:snapToGrid w:val="0"/>
          <w:color w:val="000000"/>
          <w:kern w:val="0"/>
          <w:szCs w:val="21"/>
        </w:rPr>
      </w:pPr>
      <w:r>
        <w:rPr>
          <w:rFonts w:ascii="Times New Roman" w:hAnsi="Times New Roman" w:cs="Times New Roman"/>
          <w:snapToGrid w:val="0"/>
          <w:color w:val="000000"/>
          <w:kern w:val="0"/>
          <w:szCs w:val="21"/>
        </w:rPr>
        <w:t>评价低噪声泵（如特殊设计的）的噪声水平时；</w:t>
      </w:r>
    </w:p>
    <w:p>
      <w:pPr>
        <w:pStyle w:val="26"/>
        <w:widowControl/>
        <w:numPr>
          <w:ilvl w:val="0"/>
          <w:numId w:val="39"/>
        </w:numPr>
        <w:kinsoku w:val="0"/>
        <w:autoSpaceDE w:val="0"/>
        <w:autoSpaceDN w:val="0"/>
        <w:adjustRightInd w:val="0"/>
        <w:snapToGrid w:val="0"/>
        <w:spacing w:line="360" w:lineRule="auto"/>
        <w:ind w:firstLineChars="0"/>
        <w:textAlignment w:val="baseline"/>
        <w:rPr>
          <w:rFonts w:ascii="Times New Roman" w:hAnsi="Times New Roman" w:cs="Times New Roman"/>
          <w:snapToGrid w:val="0"/>
          <w:color w:val="000000"/>
          <w:kern w:val="0"/>
          <w:szCs w:val="21"/>
        </w:rPr>
      </w:pPr>
      <w:r>
        <w:rPr>
          <w:rFonts w:ascii="Times New Roman" w:hAnsi="Times New Roman" w:cs="Times New Roman"/>
          <w:snapToGrid w:val="0"/>
          <w:color w:val="000000"/>
          <w:kern w:val="0"/>
          <w:szCs w:val="21"/>
        </w:rPr>
        <w:t>对泵采取低噪声措施后，评价它的噪声水平；</w:t>
      </w:r>
    </w:p>
    <w:p>
      <w:pPr>
        <w:pStyle w:val="26"/>
        <w:widowControl/>
        <w:numPr>
          <w:ilvl w:val="0"/>
          <w:numId w:val="39"/>
        </w:numPr>
        <w:kinsoku w:val="0"/>
        <w:autoSpaceDE w:val="0"/>
        <w:autoSpaceDN w:val="0"/>
        <w:adjustRightInd w:val="0"/>
        <w:snapToGrid w:val="0"/>
        <w:spacing w:line="360" w:lineRule="auto"/>
        <w:ind w:firstLineChars="0"/>
        <w:textAlignment w:val="baseline"/>
        <w:rPr>
          <w:rFonts w:ascii="Times New Roman" w:hAnsi="Times New Roman" w:cs="Times New Roman"/>
          <w:snapToGrid w:val="0"/>
          <w:color w:val="000000"/>
          <w:kern w:val="0"/>
          <w:szCs w:val="21"/>
        </w:rPr>
      </w:pPr>
      <w:r>
        <w:rPr>
          <w:rFonts w:ascii="Times New Roman" w:hAnsi="Times New Roman" w:cs="Times New Roman"/>
          <w:snapToGrid w:val="0"/>
          <w:color w:val="000000"/>
          <w:kern w:val="0"/>
          <w:szCs w:val="21"/>
        </w:rPr>
        <w:t>有关协议或合同有规定时。</w:t>
      </w:r>
    </w:p>
    <w:p>
      <w:pPr>
        <w:widowControl/>
        <w:kinsoku w:val="0"/>
        <w:autoSpaceDE w:val="0"/>
        <w:autoSpaceDN w:val="0"/>
        <w:adjustRightInd w:val="0"/>
        <w:snapToGrid w:val="0"/>
        <w:spacing w:before="120" w:beforeLines="50" w:line="360" w:lineRule="auto"/>
        <w:textAlignment w:val="baseline"/>
        <w:rPr>
          <w:rFonts w:hint="eastAsia" w:ascii="黑体" w:hAnsi="黑体" w:eastAsia="黑体" w:cs="Times New Roman"/>
          <w:snapToGrid w:val="0"/>
          <w:color w:val="000000"/>
          <w:kern w:val="0"/>
          <w:szCs w:val="21"/>
        </w:rPr>
      </w:pPr>
    </w:p>
    <w:p>
      <w:pPr>
        <w:widowControl/>
        <w:kinsoku w:val="0"/>
        <w:autoSpaceDE w:val="0"/>
        <w:autoSpaceDN w:val="0"/>
        <w:adjustRightInd w:val="0"/>
        <w:snapToGrid w:val="0"/>
        <w:spacing w:before="120" w:beforeLines="50" w:line="360" w:lineRule="auto"/>
        <w:textAlignment w:val="baseline"/>
        <w:rPr>
          <w:rFonts w:ascii="Times New Roman" w:hAnsi="Times New Roman" w:cs="Times New Roman"/>
          <w:snapToGrid w:val="0"/>
          <w:color w:val="000000"/>
          <w:kern w:val="0"/>
          <w:szCs w:val="21"/>
        </w:rPr>
      </w:pPr>
      <w:r>
        <w:rPr>
          <w:rFonts w:hint="eastAsia" w:ascii="黑体" w:hAnsi="黑体" w:eastAsia="黑体" w:cs="Times New Roman"/>
          <w:snapToGrid w:val="0"/>
          <w:color w:val="000000"/>
          <w:kern w:val="0"/>
          <w:szCs w:val="21"/>
        </w:rPr>
        <w:t>H.2.3</w:t>
      </w:r>
      <w:r>
        <w:rPr>
          <w:rFonts w:ascii="Times New Roman" w:hAnsi="Times New Roman" w:cs="Times New Roman"/>
          <w:snapToGrid w:val="0"/>
          <w:color w:val="000000"/>
          <w:kern w:val="0"/>
          <w:szCs w:val="21"/>
        </w:rPr>
        <w:t xml:space="preserve">  </w:t>
      </w:r>
      <w:r>
        <w:rPr>
          <w:rFonts w:hint="eastAsia" w:ascii="Times New Roman" w:hAnsi="Times New Roman" w:cs="Times New Roman"/>
          <w:snapToGrid w:val="0"/>
          <w:color w:val="000000"/>
          <w:kern w:val="0"/>
          <w:szCs w:val="21"/>
        </w:rPr>
        <w:t>主电动机转子试验项目及要求见表H.2.2。</w:t>
      </w:r>
    </w:p>
    <w:p>
      <w:pPr>
        <w:pStyle w:val="6"/>
        <w:adjustRightInd w:val="0"/>
        <w:snapToGrid w:val="0"/>
        <w:jc w:val="center"/>
        <w:rPr>
          <w:rFonts w:hint="eastAsia" w:ascii="黑体" w:hAnsi="黑体" w:eastAsia="黑体" w:cs="黑体"/>
          <w:sz w:val="18"/>
          <w:szCs w:val="18"/>
        </w:rPr>
      </w:pPr>
      <w:r>
        <w:rPr>
          <w:rFonts w:hint="eastAsia" w:ascii="黑体" w:hAnsi="黑体" w:eastAsia="黑体" w:cs="黑体"/>
          <w:spacing w:val="19"/>
          <w:sz w:val="18"/>
          <w:szCs w:val="18"/>
        </w:rPr>
        <w:t>表H</w:t>
      </w:r>
      <w:r>
        <w:rPr>
          <w:rFonts w:hint="eastAsia" w:ascii="黑体" w:hAnsi="黑体" w:eastAsia="黑体" w:cs="黑体"/>
          <w:spacing w:val="19"/>
          <w:position w:val="-1"/>
          <w:sz w:val="18"/>
          <w:szCs w:val="18"/>
        </w:rPr>
        <w:t>.2.2</w:t>
      </w:r>
      <w:r>
        <w:rPr>
          <w:rFonts w:hint="eastAsia" w:ascii="黑体" w:hAnsi="黑体" w:eastAsia="黑体" w:cs="黑体"/>
          <w:spacing w:val="5"/>
          <w:position w:val="-1"/>
          <w:sz w:val="18"/>
          <w:szCs w:val="18"/>
        </w:rPr>
        <w:t xml:space="preserve">   </w:t>
      </w:r>
      <w:bookmarkStart w:id="256" w:name="OLE_LINK67"/>
      <w:r>
        <w:rPr>
          <w:rFonts w:hint="eastAsia" w:ascii="黑体" w:hAnsi="黑体" w:eastAsia="黑体" w:cs="黑体"/>
          <w:spacing w:val="19"/>
          <w:sz w:val="18"/>
          <w:szCs w:val="18"/>
        </w:rPr>
        <w:t>转子试验项目及要求</w:t>
      </w:r>
      <w:bookmarkEnd w:id="256"/>
    </w:p>
    <w:p>
      <w:pPr>
        <w:spacing w:line="59" w:lineRule="exact"/>
      </w:pPr>
    </w:p>
    <w:tbl>
      <w:tblPr>
        <w:tblStyle w:val="20"/>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2201"/>
        <w:gridCol w:w="3332"/>
        <w:gridCol w:w="2990"/>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09" w:hRule="atLeast"/>
          <w:jc w:val="center"/>
        </w:trPr>
        <w:tc>
          <w:tcPr>
            <w:tcW w:w="1291" w:type="pct"/>
            <w:vAlign w:val="center"/>
          </w:tcPr>
          <w:p>
            <w:pPr>
              <w:pStyle w:val="27"/>
              <w:spacing w:line="260" w:lineRule="exact"/>
              <w:rPr>
                <w:rFonts w:hint="eastAsia" w:cs="Times New Roman" w:asciiTheme="minorEastAsia" w:hAnsiTheme="minorEastAsia" w:eastAsiaTheme="minorEastAsia"/>
                <w:sz w:val="15"/>
                <w:szCs w:val="15"/>
              </w:rPr>
            </w:pPr>
            <w:r>
              <w:rPr>
                <w:rFonts w:cs="Times New Roman" w:asciiTheme="minorEastAsia" w:hAnsiTheme="minorEastAsia" w:eastAsiaTheme="minorEastAsia"/>
                <w:spacing w:val="1"/>
                <w:sz w:val="15"/>
                <w:szCs w:val="15"/>
              </w:rPr>
              <w:t>项</w:t>
            </w:r>
            <w:r>
              <w:rPr>
                <w:rFonts w:cs="Times New Roman" w:asciiTheme="minorEastAsia" w:hAnsiTheme="minorEastAsia" w:eastAsiaTheme="minorEastAsia"/>
                <w:sz w:val="15"/>
                <w:szCs w:val="15"/>
              </w:rPr>
              <w:t xml:space="preserve">        </w:t>
            </w:r>
            <w:r>
              <w:rPr>
                <w:rFonts w:cs="Times New Roman" w:asciiTheme="minorEastAsia" w:hAnsiTheme="minorEastAsia" w:eastAsiaTheme="minorEastAsia"/>
                <w:spacing w:val="1"/>
                <w:sz w:val="15"/>
                <w:szCs w:val="15"/>
              </w:rPr>
              <w:t>目</w:t>
            </w:r>
          </w:p>
        </w:tc>
        <w:tc>
          <w:tcPr>
            <w:tcW w:w="1955" w:type="pct"/>
            <w:vAlign w:val="center"/>
          </w:tcPr>
          <w:p>
            <w:pPr>
              <w:pStyle w:val="27"/>
              <w:spacing w:line="260" w:lineRule="exact"/>
              <w:rPr>
                <w:rFonts w:hint="eastAsia" w:cs="Times New Roman" w:asciiTheme="minorEastAsia" w:hAnsiTheme="minorEastAsia" w:eastAsiaTheme="minorEastAsia"/>
                <w:sz w:val="15"/>
                <w:szCs w:val="15"/>
              </w:rPr>
            </w:pPr>
            <w:r>
              <w:rPr>
                <w:rFonts w:cs="Times New Roman" w:asciiTheme="minorEastAsia" w:hAnsiTheme="minorEastAsia" w:eastAsiaTheme="minorEastAsia"/>
                <w:spacing w:val="3"/>
                <w:sz w:val="15"/>
                <w:szCs w:val="15"/>
              </w:rPr>
              <w:t>要</w:t>
            </w:r>
            <w:r>
              <w:rPr>
                <w:rFonts w:cs="Times New Roman" w:asciiTheme="minorEastAsia" w:hAnsiTheme="minorEastAsia" w:eastAsiaTheme="minorEastAsia"/>
                <w:sz w:val="15"/>
                <w:szCs w:val="15"/>
              </w:rPr>
              <w:t xml:space="preserve">        </w:t>
            </w:r>
            <w:r>
              <w:rPr>
                <w:rFonts w:cs="Times New Roman" w:asciiTheme="minorEastAsia" w:hAnsiTheme="minorEastAsia" w:eastAsiaTheme="minorEastAsia"/>
                <w:spacing w:val="3"/>
                <w:sz w:val="15"/>
                <w:szCs w:val="15"/>
              </w:rPr>
              <w:t>求</w:t>
            </w:r>
          </w:p>
        </w:tc>
        <w:tc>
          <w:tcPr>
            <w:tcW w:w="1754" w:type="pct"/>
            <w:vAlign w:val="center"/>
          </w:tcPr>
          <w:p>
            <w:pPr>
              <w:pStyle w:val="27"/>
              <w:spacing w:line="260" w:lineRule="exact"/>
              <w:rPr>
                <w:rFonts w:hint="eastAsia" w:cs="Times New Roman" w:asciiTheme="minorEastAsia" w:hAnsiTheme="minorEastAsia" w:eastAsiaTheme="minorEastAsia"/>
                <w:sz w:val="15"/>
                <w:szCs w:val="15"/>
              </w:rPr>
            </w:pPr>
            <w:r>
              <w:rPr>
                <w:rFonts w:cs="Times New Roman" w:asciiTheme="minorEastAsia" w:hAnsiTheme="minorEastAsia" w:eastAsiaTheme="minorEastAsia"/>
                <w:spacing w:val="1"/>
                <w:sz w:val="15"/>
                <w:szCs w:val="15"/>
              </w:rPr>
              <w:t>说</w:t>
            </w:r>
            <w:r>
              <w:rPr>
                <w:rFonts w:cs="Times New Roman" w:asciiTheme="minorEastAsia" w:hAnsiTheme="minorEastAsia" w:eastAsiaTheme="minorEastAsia"/>
                <w:sz w:val="15"/>
                <w:szCs w:val="15"/>
              </w:rPr>
              <w:t xml:space="preserve">        </w:t>
            </w:r>
            <w:r>
              <w:rPr>
                <w:rFonts w:cs="Times New Roman" w:asciiTheme="minorEastAsia" w:hAnsiTheme="minorEastAsia" w:eastAsiaTheme="minorEastAsia"/>
                <w:spacing w:val="1"/>
                <w:sz w:val="15"/>
                <w:szCs w:val="15"/>
              </w:rPr>
              <w:t>明</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1" w:hRule="atLeast"/>
          <w:jc w:val="center"/>
        </w:trPr>
        <w:tc>
          <w:tcPr>
            <w:tcW w:w="1291" w:type="pct"/>
            <w:vAlign w:val="center"/>
          </w:tcPr>
          <w:p>
            <w:pPr>
              <w:pStyle w:val="27"/>
              <w:spacing w:line="260" w:lineRule="exact"/>
              <w:rPr>
                <w:rFonts w:hint="eastAsia" w:cs="Times New Roman" w:asciiTheme="minorEastAsia" w:hAnsiTheme="minorEastAsia" w:eastAsiaTheme="minorEastAsia"/>
                <w:sz w:val="15"/>
                <w:szCs w:val="15"/>
              </w:rPr>
            </w:pPr>
            <w:r>
              <w:rPr>
                <w:rFonts w:cs="Times New Roman" w:asciiTheme="minorEastAsia" w:hAnsiTheme="minorEastAsia" w:eastAsiaTheme="minorEastAsia"/>
                <w:sz w:val="15"/>
                <w:szCs w:val="15"/>
              </w:rPr>
              <w:t>转子绕组的绝缘电阻</w:t>
            </w:r>
          </w:p>
        </w:tc>
        <w:tc>
          <w:tcPr>
            <w:tcW w:w="1955" w:type="pct"/>
            <w:vAlign w:val="center"/>
          </w:tcPr>
          <w:p>
            <w:pPr>
              <w:pStyle w:val="27"/>
              <w:spacing w:line="260" w:lineRule="exact"/>
              <w:rPr>
                <w:rFonts w:hint="eastAsia" w:cs="Times New Roman" w:asciiTheme="minorEastAsia" w:hAnsiTheme="minorEastAsia" w:eastAsiaTheme="minorEastAsia"/>
                <w:sz w:val="15"/>
                <w:szCs w:val="15"/>
              </w:rPr>
            </w:pPr>
            <w:r>
              <w:rPr>
                <w:rFonts w:cs="Times New Roman" w:asciiTheme="minorEastAsia" w:hAnsiTheme="minorEastAsia" w:eastAsiaTheme="minorEastAsia"/>
                <w:sz w:val="15"/>
                <w:szCs w:val="15"/>
              </w:rPr>
              <w:t>宜不低于</w:t>
            </w:r>
            <w:r>
              <w:rPr>
                <w:rFonts w:cs="Times New Roman" w:asciiTheme="minorEastAsia" w:hAnsiTheme="minorEastAsia" w:eastAsiaTheme="minorEastAsia"/>
                <w:position w:val="-1"/>
                <w:sz w:val="15"/>
                <w:szCs w:val="15"/>
              </w:rPr>
              <w:t>0.5MΩ</w:t>
            </w:r>
          </w:p>
        </w:tc>
        <w:tc>
          <w:tcPr>
            <w:tcW w:w="1754" w:type="pct"/>
            <w:vAlign w:val="center"/>
          </w:tcPr>
          <w:p>
            <w:pPr>
              <w:adjustRightInd w:val="0"/>
              <w:snapToGrid w:val="0"/>
              <w:spacing w:line="260" w:lineRule="exact"/>
              <w:rPr>
                <w:rFonts w:hint="eastAsia" w:cs="Times New Roman" w:asciiTheme="minorEastAsia" w:hAnsiTheme="minorEastAsia"/>
                <w:sz w:val="15"/>
                <w:szCs w:val="15"/>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1" w:hRule="atLeast"/>
          <w:jc w:val="center"/>
        </w:trPr>
        <w:tc>
          <w:tcPr>
            <w:tcW w:w="1291" w:type="pct"/>
            <w:vAlign w:val="center"/>
          </w:tcPr>
          <w:p>
            <w:pPr>
              <w:pStyle w:val="27"/>
              <w:spacing w:line="260" w:lineRule="exact"/>
              <w:rPr>
                <w:rFonts w:hint="eastAsia" w:cs="Times New Roman" w:asciiTheme="minorEastAsia" w:hAnsiTheme="minorEastAsia" w:eastAsiaTheme="minorEastAsia"/>
                <w:sz w:val="15"/>
                <w:szCs w:val="15"/>
              </w:rPr>
            </w:pPr>
            <w:r>
              <w:rPr>
                <w:rFonts w:cs="Times New Roman" w:asciiTheme="minorEastAsia" w:hAnsiTheme="minorEastAsia" w:eastAsiaTheme="minorEastAsia"/>
                <w:sz w:val="15"/>
                <w:szCs w:val="15"/>
              </w:rPr>
              <w:t>转子绕组的直流电阻</w:t>
            </w:r>
          </w:p>
        </w:tc>
        <w:tc>
          <w:tcPr>
            <w:tcW w:w="1955" w:type="pct"/>
            <w:vAlign w:val="center"/>
          </w:tcPr>
          <w:p>
            <w:pPr>
              <w:pStyle w:val="27"/>
              <w:spacing w:line="260" w:lineRule="exact"/>
              <w:rPr>
                <w:rFonts w:hint="eastAsia" w:cs="Times New Roman" w:asciiTheme="minorEastAsia" w:hAnsiTheme="minorEastAsia" w:eastAsiaTheme="minorEastAsia"/>
                <w:sz w:val="15"/>
                <w:szCs w:val="15"/>
              </w:rPr>
            </w:pPr>
            <w:r>
              <w:rPr>
                <w:rFonts w:cs="Times New Roman" w:asciiTheme="minorEastAsia" w:hAnsiTheme="minorEastAsia" w:eastAsiaTheme="minorEastAsia"/>
                <w:sz w:val="15"/>
                <w:szCs w:val="15"/>
              </w:rPr>
              <w:t>测量值与制造厂测得值相比较，应不超过2%</w:t>
            </w:r>
          </w:p>
        </w:tc>
        <w:tc>
          <w:tcPr>
            <w:tcW w:w="1754" w:type="pct"/>
            <w:vAlign w:val="center"/>
          </w:tcPr>
          <w:p>
            <w:pPr>
              <w:pStyle w:val="27"/>
              <w:spacing w:line="260" w:lineRule="exact"/>
              <w:rPr>
                <w:rFonts w:hint="eastAsia" w:cs="Times New Roman" w:asciiTheme="minorEastAsia" w:hAnsiTheme="minorEastAsia" w:eastAsiaTheme="minorEastAsia"/>
                <w:sz w:val="15"/>
                <w:szCs w:val="15"/>
              </w:rPr>
            </w:pPr>
            <w:r>
              <w:rPr>
                <w:rFonts w:cs="Times New Roman" w:asciiTheme="minorEastAsia" w:hAnsiTheme="minorEastAsia" w:eastAsiaTheme="minorEastAsia"/>
                <w:sz w:val="15"/>
                <w:szCs w:val="15"/>
              </w:rPr>
              <w:t>在冷状态下时</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48" w:hRule="atLeast"/>
          <w:jc w:val="center"/>
        </w:trPr>
        <w:tc>
          <w:tcPr>
            <w:tcW w:w="1291" w:type="pct"/>
            <w:vAlign w:val="center"/>
          </w:tcPr>
          <w:p>
            <w:pPr>
              <w:pStyle w:val="27"/>
              <w:spacing w:line="260" w:lineRule="exact"/>
              <w:rPr>
                <w:rFonts w:hint="eastAsia" w:cs="Times New Roman" w:asciiTheme="minorEastAsia" w:hAnsiTheme="minorEastAsia" w:eastAsiaTheme="minorEastAsia"/>
                <w:sz w:val="15"/>
                <w:szCs w:val="15"/>
              </w:rPr>
            </w:pPr>
            <w:r>
              <w:rPr>
                <w:rFonts w:cs="Times New Roman" w:asciiTheme="minorEastAsia" w:hAnsiTheme="minorEastAsia" w:eastAsiaTheme="minorEastAsia"/>
                <w:sz w:val="15"/>
                <w:szCs w:val="15"/>
              </w:rPr>
              <w:t>转子绕组交流耐压试验</w:t>
            </w:r>
          </w:p>
        </w:tc>
        <w:tc>
          <w:tcPr>
            <w:tcW w:w="1955" w:type="pct"/>
            <w:vAlign w:val="center"/>
          </w:tcPr>
          <w:p>
            <w:pPr>
              <w:pStyle w:val="27"/>
              <w:spacing w:line="260" w:lineRule="exact"/>
              <w:rPr>
                <w:rFonts w:hint="eastAsia" w:cs="Times New Roman" w:asciiTheme="minorEastAsia" w:hAnsiTheme="minorEastAsia" w:eastAsiaTheme="minorEastAsia"/>
                <w:sz w:val="15"/>
                <w:szCs w:val="15"/>
              </w:rPr>
            </w:pPr>
            <w:r>
              <w:rPr>
                <w:rFonts w:cs="Times New Roman" w:asciiTheme="minorEastAsia" w:hAnsiTheme="minorEastAsia" w:eastAsiaTheme="minorEastAsia"/>
                <w:sz w:val="15"/>
                <w:szCs w:val="15"/>
              </w:rPr>
              <w:t>试验电压为额定励磁电压的</w:t>
            </w:r>
            <w:r>
              <w:rPr>
                <w:rFonts w:cs="Times New Roman" w:asciiTheme="minorEastAsia" w:hAnsiTheme="minorEastAsia" w:eastAsiaTheme="minorEastAsia"/>
                <w:position w:val="-1"/>
                <w:sz w:val="15"/>
                <w:szCs w:val="15"/>
              </w:rPr>
              <w:t>7.</w:t>
            </w:r>
            <w:r>
              <w:rPr>
                <w:rFonts w:cs="Times New Roman" w:asciiTheme="minorEastAsia" w:hAnsiTheme="minorEastAsia" w:eastAsiaTheme="minorEastAsia"/>
                <w:sz w:val="15"/>
                <w:szCs w:val="15"/>
              </w:rPr>
              <w:t>5倍，应不低于</w:t>
            </w:r>
            <w:r>
              <w:rPr>
                <w:rFonts w:cs="Times New Roman" w:asciiTheme="minorEastAsia" w:hAnsiTheme="minorEastAsia" w:eastAsiaTheme="minorEastAsia"/>
                <w:position w:val="-1"/>
                <w:sz w:val="15"/>
                <w:szCs w:val="15"/>
              </w:rPr>
              <w:t>1200V，</w:t>
            </w:r>
            <w:r>
              <w:rPr>
                <w:rFonts w:cs="Times New Roman" w:asciiTheme="minorEastAsia" w:hAnsiTheme="minorEastAsia" w:eastAsiaTheme="minorEastAsia"/>
                <w:sz w:val="15"/>
                <w:szCs w:val="15"/>
              </w:rPr>
              <w:t>但应不高于出厂试验电压的</w:t>
            </w:r>
            <w:r>
              <w:rPr>
                <w:rFonts w:cs="Times New Roman" w:asciiTheme="minorEastAsia" w:hAnsiTheme="minorEastAsia" w:eastAsiaTheme="minorEastAsia"/>
                <w:position w:val="-1"/>
                <w:sz w:val="15"/>
                <w:szCs w:val="15"/>
              </w:rPr>
              <w:t>75%</w:t>
            </w:r>
          </w:p>
        </w:tc>
        <w:tc>
          <w:tcPr>
            <w:tcW w:w="1754" w:type="pct"/>
            <w:vAlign w:val="center"/>
          </w:tcPr>
          <w:p>
            <w:pPr>
              <w:adjustRightInd w:val="0"/>
              <w:snapToGrid w:val="0"/>
              <w:spacing w:line="260" w:lineRule="exact"/>
              <w:rPr>
                <w:rFonts w:hint="eastAsia" w:cs="Times New Roman" w:asciiTheme="minorEastAsia" w:hAnsiTheme="minorEastAsia"/>
                <w:sz w:val="15"/>
                <w:szCs w:val="15"/>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1291" w:type="pct"/>
            <w:vAlign w:val="center"/>
          </w:tcPr>
          <w:p>
            <w:pPr>
              <w:pStyle w:val="27"/>
              <w:spacing w:line="260" w:lineRule="exact"/>
              <w:rPr>
                <w:rFonts w:hint="eastAsia" w:cs="Times New Roman" w:asciiTheme="minorEastAsia" w:hAnsiTheme="minorEastAsia" w:eastAsiaTheme="minorEastAsia"/>
                <w:sz w:val="15"/>
                <w:szCs w:val="15"/>
              </w:rPr>
            </w:pPr>
            <w:r>
              <w:rPr>
                <w:rFonts w:cs="Times New Roman" w:asciiTheme="minorEastAsia" w:hAnsiTheme="minorEastAsia" w:eastAsiaTheme="minorEastAsia"/>
                <w:sz w:val="15"/>
                <w:szCs w:val="15"/>
              </w:rPr>
              <w:t>绕线式电动机的转子绕组交流耐压试验电压</w:t>
            </w:r>
          </w:p>
        </w:tc>
        <w:tc>
          <w:tcPr>
            <w:tcW w:w="1955" w:type="pct"/>
            <w:vAlign w:val="center"/>
          </w:tcPr>
          <w:p>
            <w:pPr>
              <w:pStyle w:val="27"/>
              <w:spacing w:line="260" w:lineRule="exact"/>
              <w:rPr>
                <w:rFonts w:hint="eastAsia" w:cs="Times New Roman" w:asciiTheme="minorEastAsia" w:hAnsiTheme="minorEastAsia" w:eastAsiaTheme="minorEastAsia"/>
                <w:sz w:val="15"/>
                <w:szCs w:val="15"/>
              </w:rPr>
            </w:pPr>
            <w:r>
              <w:rPr>
                <w:rFonts w:cs="Times New Roman" w:asciiTheme="minorEastAsia" w:hAnsiTheme="minorEastAsia" w:eastAsiaTheme="minorEastAsia"/>
                <w:sz w:val="15"/>
                <w:szCs w:val="15"/>
              </w:rPr>
              <w:t>转子不可逆的试验电压为1</w:t>
            </w:r>
            <w:r>
              <w:rPr>
                <w:rFonts w:cs="Times New Roman" w:asciiTheme="minorEastAsia" w:hAnsiTheme="minorEastAsia" w:eastAsiaTheme="minorEastAsia"/>
                <w:position w:val="-1"/>
                <w:sz w:val="15"/>
                <w:szCs w:val="15"/>
              </w:rPr>
              <w:t>.5U</w:t>
            </w:r>
            <w:r>
              <w:rPr>
                <w:rFonts w:cs="Times New Roman" w:asciiTheme="minorEastAsia" w:hAnsiTheme="minorEastAsia" w:eastAsiaTheme="minorEastAsia"/>
                <w:position w:val="-2"/>
                <w:sz w:val="15"/>
                <w:szCs w:val="15"/>
              </w:rPr>
              <w:t>k</w:t>
            </w:r>
            <w:r>
              <w:rPr>
                <w:rFonts w:cs="Times New Roman" w:asciiTheme="minorEastAsia" w:hAnsiTheme="minorEastAsia" w:eastAsiaTheme="minorEastAsia"/>
                <w:position w:val="-1"/>
                <w:sz w:val="15"/>
                <w:szCs w:val="15"/>
              </w:rPr>
              <w:t>+750；</w:t>
            </w:r>
            <w:r>
              <w:rPr>
                <w:rFonts w:cs="Times New Roman" w:asciiTheme="minorEastAsia" w:hAnsiTheme="minorEastAsia" w:eastAsiaTheme="minorEastAsia"/>
                <w:sz w:val="15"/>
                <w:szCs w:val="15"/>
              </w:rPr>
              <w:t>转子可逆的试验电压为</w:t>
            </w:r>
            <w:r>
              <w:rPr>
                <w:rFonts w:cs="Times New Roman" w:asciiTheme="minorEastAsia" w:hAnsiTheme="minorEastAsia" w:eastAsiaTheme="minorEastAsia"/>
                <w:position w:val="-1"/>
                <w:sz w:val="15"/>
                <w:szCs w:val="15"/>
              </w:rPr>
              <w:t>3.0U</w:t>
            </w:r>
            <w:r>
              <w:rPr>
                <w:rFonts w:cs="Times New Roman" w:asciiTheme="minorEastAsia" w:hAnsiTheme="minorEastAsia" w:eastAsiaTheme="minorEastAsia"/>
                <w:position w:val="-2"/>
                <w:sz w:val="15"/>
                <w:szCs w:val="15"/>
              </w:rPr>
              <w:t>k</w:t>
            </w:r>
            <w:r>
              <w:rPr>
                <w:rFonts w:cs="Times New Roman" w:asciiTheme="minorEastAsia" w:hAnsiTheme="minorEastAsia" w:eastAsiaTheme="minorEastAsia"/>
                <w:position w:val="-1"/>
                <w:sz w:val="15"/>
                <w:szCs w:val="15"/>
              </w:rPr>
              <w:t>+750</w:t>
            </w:r>
          </w:p>
        </w:tc>
        <w:tc>
          <w:tcPr>
            <w:tcW w:w="1754" w:type="pct"/>
            <w:vAlign w:val="center"/>
          </w:tcPr>
          <w:p>
            <w:pPr>
              <w:pStyle w:val="27"/>
              <w:spacing w:line="260" w:lineRule="exact"/>
              <w:rPr>
                <w:rFonts w:hint="eastAsia" w:cs="Times New Roman" w:asciiTheme="minorEastAsia" w:hAnsiTheme="minorEastAsia" w:eastAsiaTheme="minorEastAsia"/>
                <w:sz w:val="15"/>
                <w:szCs w:val="15"/>
              </w:rPr>
            </w:pPr>
            <w:r>
              <w:rPr>
                <w:rFonts w:cs="Times New Roman" w:asciiTheme="minorEastAsia" w:hAnsiTheme="minorEastAsia" w:eastAsiaTheme="minorEastAsia"/>
                <w:position w:val="-1"/>
                <w:sz w:val="15"/>
                <w:szCs w:val="15"/>
              </w:rPr>
              <w:t>U</w:t>
            </w:r>
            <w:r>
              <w:rPr>
                <w:rFonts w:cs="Times New Roman" w:asciiTheme="minorEastAsia" w:hAnsiTheme="minorEastAsia" w:eastAsiaTheme="minorEastAsia"/>
                <w:position w:val="-2"/>
                <w:sz w:val="15"/>
                <w:szCs w:val="15"/>
              </w:rPr>
              <w:t>k</w:t>
            </w:r>
            <w:r>
              <w:rPr>
                <w:rFonts w:cs="Times New Roman" w:asciiTheme="minorEastAsia" w:hAnsiTheme="minorEastAsia" w:eastAsiaTheme="minorEastAsia"/>
                <w:sz w:val="15"/>
                <w:szCs w:val="15"/>
              </w:rPr>
              <w:t>为转子静止时，在定子绕组上施加额定电压时，转子绕组开路时测的电压</w:t>
            </w:r>
          </w:p>
        </w:tc>
      </w:tr>
    </w:tbl>
    <w:p>
      <w:pPr>
        <w:widowControl/>
        <w:kinsoku w:val="0"/>
        <w:autoSpaceDE w:val="0"/>
        <w:autoSpaceDN w:val="0"/>
        <w:adjustRightInd w:val="0"/>
        <w:snapToGrid w:val="0"/>
        <w:spacing w:before="120" w:beforeLines="50" w:line="360" w:lineRule="auto"/>
        <w:textAlignment w:val="baseline"/>
        <w:rPr>
          <w:rFonts w:ascii="Times New Roman" w:hAnsi="Times New Roman" w:cs="Times New Roman"/>
          <w:snapToGrid w:val="0"/>
          <w:color w:val="000000"/>
          <w:kern w:val="0"/>
          <w:szCs w:val="21"/>
        </w:rPr>
      </w:pPr>
      <w:bookmarkStart w:id="257" w:name="OLE_LINK69"/>
      <w:r>
        <w:rPr>
          <w:rFonts w:hint="eastAsia" w:ascii="黑体" w:hAnsi="黑体" w:eastAsia="黑体" w:cs="Times New Roman"/>
          <w:snapToGrid w:val="0"/>
          <w:color w:val="000000"/>
          <w:kern w:val="0"/>
          <w:szCs w:val="21"/>
        </w:rPr>
        <w:t>H.2.4</w:t>
      </w:r>
      <w:r>
        <w:rPr>
          <w:rFonts w:ascii="Times New Roman" w:hAnsi="Times New Roman" w:cs="Times New Roman"/>
          <w:snapToGrid w:val="0"/>
          <w:color w:val="000000"/>
          <w:kern w:val="0"/>
          <w:szCs w:val="21"/>
        </w:rPr>
        <w:t xml:space="preserve">  </w:t>
      </w:r>
      <w:r>
        <w:rPr>
          <w:rFonts w:hint="eastAsia" w:ascii="Times New Roman" w:hAnsi="Times New Roman" w:cs="Times New Roman"/>
          <w:snapToGrid w:val="0"/>
          <w:color w:val="000000"/>
          <w:kern w:val="0"/>
          <w:szCs w:val="21"/>
        </w:rPr>
        <w:t>主电动机定子试验项目及要求见表</w:t>
      </w:r>
      <w:r>
        <w:rPr>
          <w:rFonts w:hint="eastAsia" w:ascii="黑体" w:hAnsi="黑体" w:eastAsia="黑体" w:cs="Times New Roman"/>
          <w:snapToGrid w:val="0"/>
          <w:color w:val="000000"/>
          <w:kern w:val="0"/>
          <w:szCs w:val="21"/>
        </w:rPr>
        <w:t>H.2.3</w:t>
      </w:r>
      <w:r>
        <w:rPr>
          <w:rFonts w:hint="eastAsia" w:ascii="Times New Roman" w:hAnsi="Times New Roman" w:cs="Times New Roman"/>
          <w:snapToGrid w:val="0"/>
          <w:color w:val="000000"/>
          <w:kern w:val="0"/>
          <w:szCs w:val="21"/>
        </w:rPr>
        <w:t>。</w:t>
      </w:r>
    </w:p>
    <w:bookmarkEnd w:id="257"/>
    <w:p>
      <w:pPr>
        <w:pStyle w:val="6"/>
        <w:adjustRightInd w:val="0"/>
        <w:snapToGrid w:val="0"/>
        <w:jc w:val="center"/>
        <w:rPr>
          <w:rFonts w:hint="eastAsia" w:ascii="黑体" w:hAnsi="黑体" w:eastAsia="黑体" w:cs="黑体"/>
          <w:spacing w:val="19"/>
          <w:sz w:val="21"/>
          <w:szCs w:val="21"/>
        </w:rPr>
      </w:pPr>
      <w:bookmarkStart w:id="258" w:name="OLE_LINK76"/>
      <w:r>
        <w:rPr>
          <w:rFonts w:hint="eastAsia" w:ascii="黑体" w:hAnsi="黑体" w:eastAsia="黑体" w:cs="黑体"/>
          <w:spacing w:val="19"/>
          <w:sz w:val="18"/>
          <w:szCs w:val="18"/>
        </w:rPr>
        <w:t>表 H.2.3   定子试验项目及要求</w:t>
      </w:r>
      <w:bookmarkEnd w:id="258"/>
    </w:p>
    <w:p>
      <w:pPr>
        <w:spacing w:line="30" w:lineRule="exact"/>
      </w:pPr>
    </w:p>
    <w:tbl>
      <w:tblPr>
        <w:tblStyle w:val="20"/>
        <w:tblW w:w="9259"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437"/>
        <w:gridCol w:w="3813"/>
        <w:gridCol w:w="3989"/>
        <w:gridCol w:w="20"/>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gridAfter w:val="1"/>
          <w:wAfter w:w="20" w:type="dxa"/>
          <w:jc w:val="center"/>
        </w:trPr>
        <w:tc>
          <w:tcPr>
            <w:tcW w:w="1437" w:type="dxa"/>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项   目</w:t>
            </w:r>
          </w:p>
        </w:tc>
        <w:tc>
          <w:tcPr>
            <w:tcW w:w="3813" w:type="dxa"/>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要        求</w:t>
            </w:r>
          </w:p>
        </w:tc>
        <w:tc>
          <w:tcPr>
            <w:tcW w:w="3989" w:type="dxa"/>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说        明</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gridAfter w:val="1"/>
          <w:wAfter w:w="20" w:type="dxa"/>
          <w:jc w:val="center"/>
        </w:trPr>
        <w:tc>
          <w:tcPr>
            <w:tcW w:w="1437" w:type="dxa"/>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单个定子线圈交流耐压试验</w:t>
            </w:r>
          </w:p>
        </w:tc>
        <w:tc>
          <w:tcPr>
            <w:tcW w:w="3813" w:type="dxa"/>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备用线圈和自制线圈均应符合设备制造厂的标准</w:t>
            </w:r>
          </w:p>
        </w:tc>
        <w:tc>
          <w:tcPr>
            <w:tcW w:w="3989" w:type="dxa"/>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下线后接头连接前进行</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下线前可不作耐压试验</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gridAfter w:val="1"/>
          <w:wAfter w:w="20" w:type="dxa"/>
          <w:jc w:val="center"/>
        </w:trPr>
        <w:tc>
          <w:tcPr>
            <w:tcW w:w="1437" w:type="dxa"/>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定子线组的绝缘电阻和吸收比测量</w:t>
            </w:r>
          </w:p>
        </w:tc>
        <w:tc>
          <w:tcPr>
            <w:tcW w:w="3813" w:type="dxa"/>
            <w:vAlign w:val="center"/>
          </w:tcPr>
          <w:p>
            <w:pPr>
              <w:pStyle w:val="27"/>
              <w:spacing w:line="240" w:lineRule="auto"/>
              <w:jc w:val="left"/>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1.额定电压为1000V以下者</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常温下绝缘电阻应不低于0.5MΩ</w:t>
            </w:r>
            <w:r>
              <w:rPr>
                <w:rFonts w:hint="eastAsia" w:cs="Times New Roman" w:asciiTheme="minorEastAsia" w:hAnsiTheme="minorEastAsia" w:eastAsiaTheme="minorEastAsia"/>
                <w:snapToGrid w:val="0"/>
                <w:kern w:val="0"/>
                <w:sz w:val="15"/>
                <w:szCs w:val="15"/>
              </w:rPr>
              <w:t>：</w:t>
            </w:r>
          </w:p>
          <w:p>
            <w:pPr>
              <w:pStyle w:val="27"/>
              <w:spacing w:line="240" w:lineRule="auto"/>
              <w:jc w:val="left"/>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2. 额定电压为1000V及以上者</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在接近运行温度的绝缘电阻值</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定子线圈应不低于1MΩ/kV</w:t>
            </w:r>
            <w:r>
              <w:rPr>
                <w:rFonts w:hint="eastAsia" w:cs="Times New Roman" w:asciiTheme="minorEastAsia" w:hAnsiTheme="minorEastAsia" w:eastAsiaTheme="minorEastAsia"/>
                <w:snapToGrid w:val="0"/>
                <w:kern w:val="0"/>
                <w:sz w:val="15"/>
                <w:szCs w:val="15"/>
              </w:rPr>
              <w:t>；</w:t>
            </w:r>
          </w:p>
          <w:p>
            <w:pPr>
              <w:pStyle w:val="27"/>
              <w:spacing w:line="240" w:lineRule="auto"/>
              <w:jc w:val="left"/>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3.1000V及以上的电动机应测量吸收比</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对沥青浸胶及烘卷云母绝缘吸收比应不低于1.3</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对环氧粉云应不低于</w:t>
            </w:r>
            <w:r>
              <w:rPr>
                <w:rFonts w:hint="eastAsia" w:cs="Times New Roman" w:asciiTheme="minorEastAsia" w:hAnsiTheme="minorEastAsia" w:eastAsiaTheme="minorEastAsia"/>
                <w:snapToGrid w:val="0"/>
                <w:kern w:val="0"/>
                <w:sz w:val="15"/>
                <w:szCs w:val="15"/>
              </w:rPr>
              <w:t>1</w:t>
            </w:r>
            <w:r>
              <w:rPr>
                <w:rFonts w:cs="Times New Roman" w:asciiTheme="minorEastAsia" w:hAnsiTheme="minorEastAsia" w:eastAsiaTheme="minorEastAsia"/>
                <w:snapToGrid w:val="0"/>
                <w:kern w:val="0"/>
                <w:sz w:val="15"/>
                <w:szCs w:val="15"/>
              </w:rPr>
              <w:t>.6</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有条件时宜分相测量</w:t>
            </w:r>
            <w:r>
              <w:rPr>
                <w:rFonts w:hint="eastAsia" w:cs="Times New Roman" w:asciiTheme="minorEastAsia" w:hAnsiTheme="minorEastAsia" w:eastAsiaTheme="minorEastAsia"/>
                <w:snapToGrid w:val="0"/>
                <w:kern w:val="0"/>
                <w:sz w:val="15"/>
                <w:szCs w:val="15"/>
              </w:rPr>
              <w:t>；</w:t>
            </w:r>
          </w:p>
          <w:p>
            <w:pPr>
              <w:pStyle w:val="27"/>
              <w:spacing w:line="240" w:lineRule="auto"/>
              <w:jc w:val="left"/>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4. 多绕组设备进行绝缘试验时</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非被试验绕组应短路接地</w:t>
            </w:r>
            <w:r>
              <w:rPr>
                <w:rFonts w:hint="eastAsia" w:cs="Times New Roman" w:asciiTheme="minorEastAsia" w:hAnsiTheme="minorEastAsia" w:eastAsiaTheme="minorEastAsia"/>
                <w:snapToGrid w:val="0"/>
                <w:kern w:val="0"/>
                <w:sz w:val="15"/>
                <w:szCs w:val="15"/>
              </w:rPr>
              <w:t>。</w:t>
            </w:r>
          </w:p>
        </w:tc>
        <w:tc>
          <w:tcPr>
            <w:tcW w:w="3989" w:type="dxa"/>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定子线圈绝缘电阻温度换算系数K</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换算至运行温度</w:t>
            </w:r>
            <w:r>
              <w:rPr>
                <w:rFonts w:hint="eastAsia" w:cs="Times New Roman" w:asciiTheme="minorEastAsia" w:hAnsiTheme="minorEastAsia" w:eastAsiaTheme="minorEastAsia"/>
                <w:snapToGrid w:val="0"/>
                <w:kern w:val="0"/>
                <w:sz w:val="15"/>
                <w:szCs w:val="15"/>
              </w:rPr>
              <w:t>）：</w:t>
            </w:r>
          </w:p>
          <w:tbl>
            <w:tblPr>
              <w:tblStyle w:val="20"/>
              <w:tblW w:w="3819" w:type="dxa"/>
              <w:tblInd w:w="82" w:type="dxa"/>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Layout w:type="fixed"/>
              <w:tblCellMar>
                <w:top w:w="0" w:type="dxa"/>
                <w:left w:w="108" w:type="dxa"/>
                <w:bottom w:w="0" w:type="dxa"/>
                <w:right w:w="108" w:type="dxa"/>
              </w:tblCellMar>
            </w:tblPr>
            <w:tblGrid>
              <w:gridCol w:w="955"/>
              <w:gridCol w:w="1432"/>
              <w:gridCol w:w="1432"/>
            </w:tblGrid>
            <w:tr>
              <w:tblPrEx>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CellMar>
                  <w:top w:w="0" w:type="dxa"/>
                  <w:left w:w="108" w:type="dxa"/>
                  <w:bottom w:w="0" w:type="dxa"/>
                  <w:right w:w="108" w:type="dxa"/>
                </w:tblCellMar>
              </w:tblPrEx>
              <w:trPr>
                <w:trHeight w:val="316" w:hRule="atLeast"/>
              </w:trPr>
              <w:tc>
                <w:tcPr>
                  <w:tcW w:w="955" w:type="dxa"/>
                  <w:vMerge w:val="restart"/>
                  <w:tcBorders>
                    <w:left w:val="nil"/>
                    <w:bottom w:val="nil"/>
                  </w:tcBorders>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定子线圈 温度/℃</w:t>
                  </w:r>
                </w:p>
              </w:tc>
              <w:tc>
                <w:tcPr>
                  <w:tcW w:w="2864" w:type="dxa"/>
                  <w:gridSpan w:val="2"/>
                  <w:tcBorders>
                    <w:right w:val="nil"/>
                  </w:tcBorders>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换算系数 K</w:t>
                  </w:r>
                </w:p>
              </w:tc>
            </w:tr>
            <w:tr>
              <w:tblPrEx>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CellMar>
                  <w:top w:w="0" w:type="dxa"/>
                  <w:left w:w="108" w:type="dxa"/>
                  <w:bottom w:w="0" w:type="dxa"/>
                  <w:right w:w="108" w:type="dxa"/>
                </w:tblCellMar>
              </w:tblPrEx>
              <w:trPr>
                <w:trHeight w:val="313" w:hRule="atLeast"/>
              </w:trPr>
              <w:tc>
                <w:tcPr>
                  <w:tcW w:w="955" w:type="dxa"/>
                  <w:vMerge w:val="continue"/>
                  <w:tcBorders>
                    <w:top w:val="nil"/>
                    <w:left w:val="nil"/>
                  </w:tcBorders>
                </w:tcPr>
                <w:p>
                  <w:pPr>
                    <w:rPr>
                      <w:rFonts w:hint="eastAsia" w:cs="Times New Roman" w:asciiTheme="minorEastAsia" w:hAnsiTheme="minorEastAsia"/>
                      <w:snapToGrid w:val="0"/>
                      <w:kern w:val="0"/>
                      <w:sz w:val="15"/>
                      <w:szCs w:val="15"/>
                    </w:rPr>
                  </w:pPr>
                </w:p>
              </w:tc>
              <w:tc>
                <w:tcPr>
                  <w:tcW w:w="1432" w:type="dxa"/>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热塑性绝缘</w:t>
                  </w:r>
                </w:p>
              </w:tc>
              <w:tc>
                <w:tcPr>
                  <w:tcW w:w="1432" w:type="dxa"/>
                  <w:tcBorders>
                    <w:right w:val="nil"/>
                  </w:tcBorders>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B级热固性绝缘</w:t>
                  </w:r>
                </w:p>
              </w:tc>
            </w:tr>
            <w:tr>
              <w:tblPrEx>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CellMar>
                  <w:top w:w="0" w:type="dxa"/>
                  <w:left w:w="108" w:type="dxa"/>
                  <w:bottom w:w="0" w:type="dxa"/>
                  <w:right w:w="108" w:type="dxa"/>
                </w:tblCellMar>
              </w:tblPrEx>
              <w:trPr>
                <w:trHeight w:val="312" w:hRule="atLeast"/>
              </w:trPr>
              <w:tc>
                <w:tcPr>
                  <w:tcW w:w="955" w:type="dxa"/>
                  <w:tcBorders>
                    <w:left w:val="nil"/>
                  </w:tcBorders>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70</w:t>
                  </w:r>
                </w:p>
              </w:tc>
              <w:tc>
                <w:tcPr>
                  <w:tcW w:w="1432" w:type="dxa"/>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1.4</w:t>
                  </w:r>
                </w:p>
              </w:tc>
              <w:tc>
                <w:tcPr>
                  <w:tcW w:w="1432" w:type="dxa"/>
                  <w:tcBorders>
                    <w:right w:val="nil"/>
                  </w:tcBorders>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4.1</w:t>
                  </w:r>
                </w:p>
              </w:tc>
            </w:tr>
            <w:tr>
              <w:tblPrEx>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CellMar>
                  <w:top w:w="0" w:type="dxa"/>
                  <w:left w:w="108" w:type="dxa"/>
                  <w:bottom w:w="0" w:type="dxa"/>
                  <w:right w:w="108" w:type="dxa"/>
                </w:tblCellMar>
              </w:tblPrEx>
              <w:trPr>
                <w:trHeight w:val="313" w:hRule="atLeast"/>
              </w:trPr>
              <w:tc>
                <w:tcPr>
                  <w:tcW w:w="955" w:type="dxa"/>
                  <w:tcBorders>
                    <w:left w:val="nil"/>
                  </w:tcBorders>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60</w:t>
                  </w:r>
                </w:p>
              </w:tc>
              <w:tc>
                <w:tcPr>
                  <w:tcW w:w="1432" w:type="dxa"/>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2.8</w:t>
                  </w:r>
                </w:p>
              </w:tc>
              <w:tc>
                <w:tcPr>
                  <w:tcW w:w="1432" w:type="dxa"/>
                  <w:tcBorders>
                    <w:right w:val="nil"/>
                  </w:tcBorders>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6.6</w:t>
                  </w:r>
                </w:p>
              </w:tc>
            </w:tr>
            <w:tr>
              <w:tblPrEx>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CellMar>
                  <w:top w:w="0" w:type="dxa"/>
                  <w:left w:w="108" w:type="dxa"/>
                  <w:bottom w:w="0" w:type="dxa"/>
                  <w:right w:w="108" w:type="dxa"/>
                </w:tblCellMar>
              </w:tblPrEx>
              <w:trPr>
                <w:trHeight w:val="313" w:hRule="atLeast"/>
              </w:trPr>
              <w:tc>
                <w:tcPr>
                  <w:tcW w:w="955" w:type="dxa"/>
                  <w:tcBorders>
                    <w:left w:val="nil"/>
                  </w:tcBorders>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50</w:t>
                  </w:r>
                </w:p>
              </w:tc>
              <w:tc>
                <w:tcPr>
                  <w:tcW w:w="1432" w:type="dxa"/>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5.7</w:t>
                  </w:r>
                </w:p>
              </w:tc>
              <w:tc>
                <w:tcPr>
                  <w:tcW w:w="1432" w:type="dxa"/>
                  <w:tcBorders>
                    <w:right w:val="nil"/>
                  </w:tcBorders>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10.5</w:t>
                  </w:r>
                </w:p>
              </w:tc>
            </w:tr>
            <w:tr>
              <w:tblPrEx>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CellMar>
                  <w:top w:w="0" w:type="dxa"/>
                  <w:left w:w="108" w:type="dxa"/>
                  <w:bottom w:w="0" w:type="dxa"/>
                  <w:right w:w="108" w:type="dxa"/>
                </w:tblCellMar>
              </w:tblPrEx>
              <w:trPr>
                <w:trHeight w:val="313" w:hRule="atLeast"/>
              </w:trPr>
              <w:tc>
                <w:tcPr>
                  <w:tcW w:w="955" w:type="dxa"/>
                  <w:tcBorders>
                    <w:left w:val="nil"/>
                  </w:tcBorders>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40</w:t>
                  </w:r>
                </w:p>
              </w:tc>
              <w:tc>
                <w:tcPr>
                  <w:tcW w:w="1432" w:type="dxa"/>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11.3</w:t>
                  </w:r>
                </w:p>
              </w:tc>
              <w:tc>
                <w:tcPr>
                  <w:tcW w:w="1432" w:type="dxa"/>
                  <w:tcBorders>
                    <w:right w:val="nil"/>
                  </w:tcBorders>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16.8</w:t>
                  </w:r>
                </w:p>
              </w:tc>
            </w:tr>
            <w:tr>
              <w:tblPrEx>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CellMar>
                  <w:top w:w="0" w:type="dxa"/>
                  <w:left w:w="108" w:type="dxa"/>
                  <w:bottom w:w="0" w:type="dxa"/>
                  <w:right w:w="108" w:type="dxa"/>
                </w:tblCellMar>
              </w:tblPrEx>
              <w:trPr>
                <w:trHeight w:val="312" w:hRule="atLeast"/>
              </w:trPr>
              <w:tc>
                <w:tcPr>
                  <w:tcW w:w="955" w:type="dxa"/>
                  <w:tcBorders>
                    <w:left w:val="nil"/>
                  </w:tcBorders>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30</w:t>
                  </w:r>
                </w:p>
              </w:tc>
              <w:tc>
                <w:tcPr>
                  <w:tcW w:w="1432" w:type="dxa"/>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22.6</w:t>
                  </w:r>
                </w:p>
              </w:tc>
              <w:tc>
                <w:tcPr>
                  <w:tcW w:w="1432" w:type="dxa"/>
                  <w:tcBorders>
                    <w:right w:val="nil"/>
                  </w:tcBorders>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26.8</w:t>
                  </w:r>
                </w:p>
              </w:tc>
            </w:tr>
            <w:tr>
              <w:tblPrEx>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CellMar>
                  <w:top w:w="0" w:type="dxa"/>
                  <w:left w:w="108" w:type="dxa"/>
                  <w:bottom w:w="0" w:type="dxa"/>
                  <w:right w:w="108" w:type="dxa"/>
                </w:tblCellMar>
              </w:tblPrEx>
              <w:trPr>
                <w:trHeight w:val="313" w:hRule="atLeast"/>
              </w:trPr>
              <w:tc>
                <w:tcPr>
                  <w:tcW w:w="955" w:type="dxa"/>
                  <w:tcBorders>
                    <w:left w:val="nil"/>
                  </w:tcBorders>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20</w:t>
                  </w:r>
                </w:p>
              </w:tc>
              <w:tc>
                <w:tcPr>
                  <w:tcW w:w="1432" w:type="dxa"/>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45.3</w:t>
                  </w:r>
                </w:p>
              </w:tc>
              <w:tc>
                <w:tcPr>
                  <w:tcW w:w="1432" w:type="dxa"/>
                  <w:tcBorders>
                    <w:right w:val="nil"/>
                  </w:tcBorders>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43</w:t>
                  </w:r>
                </w:p>
              </w:tc>
            </w:tr>
            <w:tr>
              <w:tblPrEx>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CellMar>
                  <w:top w:w="0" w:type="dxa"/>
                  <w:left w:w="108" w:type="dxa"/>
                  <w:bottom w:w="0" w:type="dxa"/>
                  <w:right w:w="108" w:type="dxa"/>
                </w:tblCellMar>
              </w:tblPrEx>
              <w:trPr>
                <w:trHeight w:val="313" w:hRule="atLeast"/>
              </w:trPr>
              <w:tc>
                <w:tcPr>
                  <w:tcW w:w="955" w:type="dxa"/>
                  <w:tcBorders>
                    <w:left w:val="nil"/>
                  </w:tcBorders>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10</w:t>
                  </w:r>
                </w:p>
              </w:tc>
              <w:tc>
                <w:tcPr>
                  <w:tcW w:w="1432" w:type="dxa"/>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90.5</w:t>
                  </w:r>
                </w:p>
              </w:tc>
              <w:tc>
                <w:tcPr>
                  <w:tcW w:w="1432" w:type="dxa"/>
                  <w:tcBorders>
                    <w:right w:val="nil"/>
                  </w:tcBorders>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68.7</w:t>
                  </w:r>
                </w:p>
              </w:tc>
            </w:tr>
            <w:tr>
              <w:tblPrEx>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CellMar>
                  <w:top w:w="0" w:type="dxa"/>
                  <w:left w:w="108" w:type="dxa"/>
                  <w:bottom w:w="0" w:type="dxa"/>
                  <w:right w:w="108" w:type="dxa"/>
                </w:tblCellMar>
              </w:tblPrEx>
              <w:trPr>
                <w:trHeight w:val="316" w:hRule="atLeast"/>
              </w:trPr>
              <w:tc>
                <w:tcPr>
                  <w:tcW w:w="955" w:type="dxa"/>
                  <w:tcBorders>
                    <w:left w:val="nil"/>
                  </w:tcBorders>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5</w:t>
                  </w:r>
                </w:p>
              </w:tc>
              <w:tc>
                <w:tcPr>
                  <w:tcW w:w="1432" w:type="dxa"/>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128</w:t>
                  </w:r>
                </w:p>
              </w:tc>
              <w:tc>
                <w:tcPr>
                  <w:tcW w:w="1432" w:type="dxa"/>
                  <w:tcBorders>
                    <w:right w:val="nil"/>
                  </w:tcBorders>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87</w:t>
                  </w:r>
                </w:p>
              </w:tc>
            </w:tr>
          </w:tbl>
          <w:p>
            <w:pPr>
              <w:rPr>
                <w:rFonts w:hint="eastAsia" w:cs="Times New Roman" w:asciiTheme="minorEastAsia" w:hAnsiTheme="minorEastAsia"/>
                <w:snapToGrid w:val="0"/>
                <w:kern w:val="0"/>
                <w:sz w:val="15"/>
                <w:szCs w:val="15"/>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437" w:type="dxa"/>
            <w:vAlign w:val="center"/>
          </w:tcPr>
          <w:p>
            <w:pPr>
              <w:jc w:val="center"/>
              <w:rPr>
                <w:rFonts w:hint="eastAsia" w:cs="Times New Roman" w:asciiTheme="minorEastAsia" w:hAnsiTheme="minorEastAsia"/>
                <w:snapToGrid w:val="0"/>
                <w:kern w:val="0"/>
                <w:sz w:val="15"/>
                <w:szCs w:val="15"/>
              </w:rPr>
            </w:pPr>
          </w:p>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定子线组的直流电阻</w:t>
            </w:r>
          </w:p>
        </w:tc>
        <w:tc>
          <w:tcPr>
            <w:tcW w:w="3813" w:type="dxa"/>
            <w:vAlign w:val="center"/>
          </w:tcPr>
          <w:p>
            <w:pPr>
              <w:pStyle w:val="27"/>
              <w:spacing w:line="240" w:lineRule="auto"/>
              <w:jc w:val="left"/>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电动机各相或各分支绕组的直流电阻</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在校正了由于引线长度不同而引起的误差后</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相互间差别应不超过其最小值的2%</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与产品出厂时测得的数值换算至同温度下的数值比较</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其相对变化应不大于2%</w:t>
            </w:r>
            <w:r>
              <w:rPr>
                <w:rFonts w:hint="eastAsia" w:cs="Times New Roman" w:asciiTheme="minorEastAsia" w:hAnsiTheme="minorEastAsia" w:eastAsiaTheme="minorEastAsia"/>
                <w:snapToGrid w:val="0"/>
                <w:kern w:val="0"/>
                <w:sz w:val="15"/>
                <w:szCs w:val="15"/>
              </w:rPr>
              <w:t>。</w:t>
            </w:r>
          </w:p>
        </w:tc>
        <w:tc>
          <w:tcPr>
            <w:tcW w:w="4009" w:type="dxa"/>
            <w:gridSpan w:val="2"/>
            <w:vAlign w:val="center"/>
          </w:tcPr>
          <w:p>
            <w:pPr>
              <w:pStyle w:val="27"/>
              <w:spacing w:line="240" w:lineRule="auto"/>
              <w:jc w:val="left"/>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1. 在冷状态下测量</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绕组表面温度与周围温度之差应不大于±3℃</w:t>
            </w:r>
            <w:r>
              <w:rPr>
                <w:rFonts w:hint="eastAsia" w:cs="Times New Roman" w:asciiTheme="minorEastAsia" w:hAnsiTheme="minorEastAsia" w:eastAsiaTheme="minorEastAsia"/>
                <w:snapToGrid w:val="0"/>
                <w:kern w:val="0"/>
                <w:sz w:val="15"/>
                <w:szCs w:val="15"/>
              </w:rPr>
              <w:t>；</w:t>
            </w:r>
          </w:p>
          <w:p>
            <w:pPr>
              <w:pStyle w:val="27"/>
              <w:spacing w:line="240" w:lineRule="auto"/>
              <w:jc w:val="left"/>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2. 当采用降压法时</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通入电流应不大于额定电流的20%</w:t>
            </w:r>
            <w:r>
              <w:rPr>
                <w:rFonts w:hint="eastAsia" w:cs="Times New Roman" w:asciiTheme="minorEastAsia" w:hAnsiTheme="minorEastAsia" w:eastAsiaTheme="minorEastAsia"/>
                <w:snapToGrid w:val="0"/>
                <w:kern w:val="0"/>
                <w:sz w:val="15"/>
                <w:szCs w:val="15"/>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437" w:type="dxa"/>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定子绕组的交流耐压试验</w:t>
            </w:r>
          </w:p>
        </w:tc>
        <w:tc>
          <w:tcPr>
            <w:tcW w:w="3813" w:type="dxa"/>
            <w:vAlign w:val="center"/>
          </w:tcPr>
          <w:tbl>
            <w:tblPr>
              <w:tblStyle w:val="20"/>
              <w:tblW w:w="3501" w:type="dxa"/>
              <w:tblInd w:w="152" w:type="dxa"/>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Layout w:type="fixed"/>
              <w:tblCellMar>
                <w:top w:w="0" w:type="dxa"/>
                <w:left w:w="108" w:type="dxa"/>
                <w:bottom w:w="0" w:type="dxa"/>
                <w:right w:w="108" w:type="dxa"/>
              </w:tblCellMar>
            </w:tblPr>
            <w:tblGrid>
              <w:gridCol w:w="1750"/>
              <w:gridCol w:w="1751"/>
            </w:tblGrid>
            <w:tr>
              <w:tblPrEx>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CellMar>
                  <w:top w:w="0" w:type="dxa"/>
                  <w:left w:w="108" w:type="dxa"/>
                  <w:bottom w:w="0" w:type="dxa"/>
                  <w:right w:w="108" w:type="dxa"/>
                </w:tblCellMar>
              </w:tblPrEx>
              <w:trPr>
                <w:trHeight w:val="315" w:hRule="atLeast"/>
              </w:trPr>
              <w:tc>
                <w:tcPr>
                  <w:tcW w:w="1750" w:type="dxa"/>
                  <w:tcBorders>
                    <w:left w:val="nil"/>
                  </w:tcBorders>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额定电压/kV</w:t>
                  </w:r>
                </w:p>
              </w:tc>
              <w:tc>
                <w:tcPr>
                  <w:tcW w:w="1751" w:type="dxa"/>
                  <w:tcBorders>
                    <w:right w:val="nil"/>
                  </w:tcBorders>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试验电压/kV</w:t>
                  </w:r>
                </w:p>
              </w:tc>
            </w:tr>
            <w:tr>
              <w:tblPrEx>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CellMar>
                  <w:top w:w="0" w:type="dxa"/>
                  <w:left w:w="108" w:type="dxa"/>
                  <w:bottom w:w="0" w:type="dxa"/>
                  <w:right w:w="108" w:type="dxa"/>
                </w:tblCellMar>
              </w:tblPrEx>
              <w:trPr>
                <w:trHeight w:val="312" w:hRule="atLeast"/>
              </w:trPr>
              <w:tc>
                <w:tcPr>
                  <w:tcW w:w="1750" w:type="dxa"/>
                  <w:tcBorders>
                    <w:left w:val="nil"/>
                  </w:tcBorders>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3</w:t>
                  </w:r>
                </w:p>
              </w:tc>
              <w:tc>
                <w:tcPr>
                  <w:tcW w:w="1751" w:type="dxa"/>
                  <w:tcBorders>
                    <w:right w:val="nil"/>
                  </w:tcBorders>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5</w:t>
                  </w:r>
                </w:p>
              </w:tc>
            </w:tr>
            <w:tr>
              <w:tblPrEx>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CellMar>
                  <w:top w:w="0" w:type="dxa"/>
                  <w:left w:w="108" w:type="dxa"/>
                  <w:bottom w:w="0" w:type="dxa"/>
                  <w:right w:w="108" w:type="dxa"/>
                </w:tblCellMar>
              </w:tblPrEx>
              <w:trPr>
                <w:trHeight w:val="312" w:hRule="atLeast"/>
              </w:trPr>
              <w:tc>
                <w:tcPr>
                  <w:tcW w:w="1750" w:type="dxa"/>
                  <w:tcBorders>
                    <w:left w:val="nil"/>
                  </w:tcBorders>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6</w:t>
                  </w:r>
                </w:p>
              </w:tc>
              <w:tc>
                <w:tcPr>
                  <w:tcW w:w="1751" w:type="dxa"/>
                  <w:tcBorders>
                    <w:right w:val="nil"/>
                  </w:tcBorders>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10</w:t>
                  </w:r>
                </w:p>
              </w:tc>
            </w:tr>
            <w:tr>
              <w:tblPrEx>
                <w:tblBorders>
                  <w:top w:val="single" w:color="231F20" w:sz="2" w:space="0"/>
                  <w:left w:val="single" w:color="231F20" w:sz="2" w:space="0"/>
                  <w:bottom w:val="single" w:color="231F20" w:sz="2" w:space="0"/>
                  <w:right w:val="single" w:color="231F20" w:sz="2" w:space="0"/>
                  <w:insideH w:val="single" w:color="231F20" w:sz="2" w:space="0"/>
                  <w:insideV w:val="single" w:color="231F20" w:sz="2" w:space="0"/>
                </w:tblBorders>
                <w:tblCellMar>
                  <w:top w:w="0" w:type="dxa"/>
                  <w:left w:w="108" w:type="dxa"/>
                  <w:bottom w:w="0" w:type="dxa"/>
                  <w:right w:w="108" w:type="dxa"/>
                </w:tblCellMar>
              </w:tblPrEx>
              <w:trPr>
                <w:trHeight w:val="315" w:hRule="atLeast"/>
              </w:trPr>
              <w:tc>
                <w:tcPr>
                  <w:tcW w:w="1750" w:type="dxa"/>
                  <w:tcBorders>
                    <w:left w:val="nil"/>
                  </w:tcBorders>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10</w:t>
                  </w:r>
                </w:p>
              </w:tc>
              <w:tc>
                <w:tcPr>
                  <w:tcW w:w="1751" w:type="dxa"/>
                  <w:tcBorders>
                    <w:right w:val="nil"/>
                  </w:tcBorders>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16</w:t>
                  </w:r>
                </w:p>
              </w:tc>
            </w:tr>
          </w:tbl>
          <w:p>
            <w:pPr>
              <w:rPr>
                <w:rFonts w:hint="eastAsia" w:cs="Times New Roman" w:asciiTheme="minorEastAsia" w:hAnsiTheme="minorEastAsia"/>
                <w:snapToGrid w:val="0"/>
                <w:kern w:val="0"/>
                <w:sz w:val="15"/>
                <w:szCs w:val="15"/>
              </w:rPr>
            </w:pPr>
          </w:p>
        </w:tc>
        <w:tc>
          <w:tcPr>
            <w:tcW w:w="4009" w:type="dxa"/>
            <w:gridSpan w:val="2"/>
            <w:vAlign w:val="center"/>
          </w:tcPr>
          <w:p>
            <w:pPr>
              <w:pStyle w:val="27"/>
              <w:spacing w:line="240" w:lineRule="auto"/>
              <w:jc w:val="left"/>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1. 耐压试验前应测量绝缘电阻及吸收比</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并应满足要求</w:t>
            </w:r>
            <w:r>
              <w:rPr>
                <w:rFonts w:hint="eastAsia" w:cs="Times New Roman" w:asciiTheme="minorEastAsia" w:hAnsiTheme="minorEastAsia" w:eastAsiaTheme="minorEastAsia"/>
                <w:snapToGrid w:val="0"/>
                <w:kern w:val="0"/>
                <w:sz w:val="15"/>
                <w:szCs w:val="15"/>
              </w:rPr>
              <w:t>；</w:t>
            </w:r>
          </w:p>
          <w:p>
            <w:pPr>
              <w:pStyle w:val="27"/>
              <w:spacing w:line="240" w:lineRule="auto"/>
              <w:jc w:val="left"/>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2. 交流耐压试验应分相进行</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升压时起始电压应不超过试验电压值的1/2</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然后逐步连续升压至满值</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升压速度从1/2至满值历时10 s</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15s, 无特殊说明时应加至额定试验电压后持续1min</w:t>
            </w:r>
            <w:r>
              <w:rPr>
                <w:rFonts w:hint="eastAsia" w:cs="Times New Roman" w:asciiTheme="minorEastAsia" w:hAnsiTheme="minorEastAsia" w:eastAsiaTheme="minorEastAsia"/>
                <w:snapToGrid w:val="0"/>
                <w:kern w:val="0"/>
                <w:sz w:val="15"/>
                <w:szCs w:val="15"/>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437" w:type="dxa"/>
            <w:vAlign w:val="center"/>
          </w:tcPr>
          <w:p>
            <w:pPr>
              <w:pStyle w:val="27"/>
              <w:spacing w:line="240" w:lineRule="auto"/>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定子绕组的直流耐压试验及泄漏电流</w:t>
            </w:r>
          </w:p>
        </w:tc>
        <w:tc>
          <w:tcPr>
            <w:tcW w:w="3813" w:type="dxa"/>
            <w:vAlign w:val="center"/>
          </w:tcPr>
          <w:p>
            <w:pPr>
              <w:pStyle w:val="27"/>
              <w:spacing w:line="240" w:lineRule="auto"/>
              <w:jc w:val="both"/>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1. 3倍额定电压值</w:t>
            </w:r>
            <w:r>
              <w:rPr>
                <w:rFonts w:hint="eastAsia" w:cs="Times New Roman" w:asciiTheme="minorEastAsia" w:hAnsiTheme="minorEastAsia" w:eastAsiaTheme="minorEastAsia"/>
                <w:snapToGrid w:val="0"/>
                <w:kern w:val="0"/>
                <w:sz w:val="15"/>
                <w:szCs w:val="15"/>
              </w:rPr>
              <w:t>；</w:t>
            </w:r>
          </w:p>
          <w:p>
            <w:pPr>
              <w:pStyle w:val="27"/>
              <w:spacing w:line="240" w:lineRule="auto"/>
              <w:jc w:val="both"/>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2. 各泄漏电流不随时间延长而增大</w:t>
            </w:r>
            <w:r>
              <w:rPr>
                <w:rFonts w:hint="eastAsia" w:cs="Times New Roman" w:asciiTheme="minorEastAsia" w:hAnsiTheme="minorEastAsia" w:eastAsiaTheme="minorEastAsia"/>
                <w:snapToGrid w:val="0"/>
                <w:kern w:val="0"/>
                <w:sz w:val="15"/>
                <w:szCs w:val="15"/>
              </w:rPr>
              <w:t>；</w:t>
            </w:r>
          </w:p>
          <w:p>
            <w:pPr>
              <w:pStyle w:val="27"/>
              <w:spacing w:line="240" w:lineRule="auto"/>
              <w:jc w:val="both"/>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3. 在规定的试验电压下各相泄漏电流的差别不大于最小值的50%。当最大泄漏电流在 20μA以下</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各相间差值与出厂试验值比较应不有明显差别</w:t>
            </w:r>
            <w:r>
              <w:rPr>
                <w:rFonts w:hint="eastAsia" w:cs="Times New Roman" w:asciiTheme="minorEastAsia" w:hAnsiTheme="minorEastAsia" w:eastAsiaTheme="minorEastAsia"/>
                <w:snapToGrid w:val="0"/>
                <w:kern w:val="0"/>
                <w:sz w:val="15"/>
                <w:szCs w:val="15"/>
              </w:rPr>
              <w:t>；</w:t>
            </w:r>
          </w:p>
          <w:p>
            <w:pPr>
              <w:pStyle w:val="27"/>
              <w:spacing w:line="240" w:lineRule="auto"/>
              <w:jc w:val="both"/>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4. 当不符合上述规定之一时</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应找出原因</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并将其消除</w:t>
            </w:r>
            <w:r>
              <w:rPr>
                <w:rFonts w:hint="eastAsia" w:cs="Times New Roman" w:asciiTheme="minorEastAsia" w:hAnsiTheme="minorEastAsia" w:eastAsiaTheme="minorEastAsia"/>
                <w:snapToGrid w:val="0"/>
                <w:kern w:val="0"/>
                <w:sz w:val="15"/>
                <w:szCs w:val="15"/>
              </w:rPr>
              <w:t>。</w:t>
            </w:r>
          </w:p>
        </w:tc>
        <w:tc>
          <w:tcPr>
            <w:tcW w:w="4009" w:type="dxa"/>
            <w:gridSpan w:val="2"/>
            <w:vAlign w:val="center"/>
          </w:tcPr>
          <w:p>
            <w:pPr>
              <w:pStyle w:val="27"/>
              <w:spacing w:line="240" w:lineRule="auto"/>
              <w:jc w:val="both"/>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1. 在冷状态下进行</w:t>
            </w:r>
            <w:r>
              <w:rPr>
                <w:rFonts w:hint="eastAsia" w:cs="Times New Roman" w:asciiTheme="minorEastAsia" w:hAnsiTheme="minorEastAsia" w:eastAsiaTheme="minorEastAsia"/>
                <w:snapToGrid w:val="0"/>
                <w:kern w:val="0"/>
                <w:sz w:val="15"/>
                <w:szCs w:val="15"/>
              </w:rPr>
              <w:t>；</w:t>
            </w:r>
          </w:p>
          <w:p>
            <w:pPr>
              <w:pStyle w:val="27"/>
              <w:spacing w:line="240" w:lineRule="auto"/>
              <w:jc w:val="both"/>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2. 试验电压按每级0.5倍额定电压分阶段升高</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每阶段停留1min</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读取泄漏电流值</w:t>
            </w:r>
            <w:r>
              <w:rPr>
                <w:rFonts w:hint="eastAsia" w:cs="Times New Roman" w:asciiTheme="minorEastAsia" w:hAnsiTheme="minorEastAsia" w:eastAsiaTheme="minorEastAsia"/>
                <w:snapToGrid w:val="0"/>
                <w:kern w:val="0"/>
                <w:sz w:val="15"/>
                <w:szCs w:val="15"/>
              </w:rPr>
              <w:t>；</w:t>
            </w:r>
          </w:p>
          <w:p>
            <w:pPr>
              <w:pStyle w:val="27"/>
              <w:spacing w:line="240" w:lineRule="auto"/>
              <w:jc w:val="both"/>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3. 在机组升压前</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必要时可用2</w:t>
            </w:r>
            <w:r>
              <w:rPr>
                <w:rFonts w:hint="eastAsia" w:cs="Times New Roman" w:asciiTheme="minorEastAsia" w:hAnsiTheme="minorEastAsia" w:eastAsiaTheme="minorEastAsia"/>
                <w:snapToGrid w:val="0"/>
                <w:kern w:val="0"/>
                <w:sz w:val="15"/>
                <w:szCs w:val="15"/>
              </w:rPr>
              <w:t>～</w:t>
            </w:r>
            <w:r>
              <w:rPr>
                <w:rFonts w:cs="Times New Roman" w:asciiTheme="minorEastAsia" w:hAnsiTheme="minorEastAsia" w:eastAsiaTheme="minorEastAsia"/>
                <w:snapToGrid w:val="0"/>
                <w:kern w:val="0"/>
                <w:sz w:val="15"/>
                <w:szCs w:val="15"/>
              </w:rPr>
              <w:t>2.5倍额定电压的直流耐压作检查性试验</w:t>
            </w:r>
            <w:r>
              <w:rPr>
                <w:rFonts w:hint="eastAsia" w:cs="Times New Roman" w:asciiTheme="minorEastAsia" w:hAnsiTheme="minorEastAsia" w:eastAsiaTheme="minorEastAsia"/>
                <w:snapToGrid w:val="0"/>
                <w:kern w:val="0"/>
                <w:sz w:val="15"/>
                <w:szCs w:val="15"/>
              </w:rPr>
              <w:t>；</w:t>
            </w:r>
          </w:p>
          <w:p>
            <w:pPr>
              <w:pStyle w:val="27"/>
              <w:spacing w:line="240" w:lineRule="auto"/>
              <w:jc w:val="both"/>
              <w:rPr>
                <w:rFonts w:hint="eastAsia" w:cs="Times New Roman" w:asciiTheme="minorEastAsia" w:hAnsiTheme="minorEastAsia" w:eastAsiaTheme="minorEastAsia"/>
                <w:snapToGrid w:val="0"/>
                <w:kern w:val="0"/>
                <w:sz w:val="15"/>
                <w:szCs w:val="15"/>
              </w:rPr>
            </w:pPr>
            <w:r>
              <w:rPr>
                <w:rFonts w:cs="Times New Roman" w:asciiTheme="minorEastAsia" w:hAnsiTheme="minorEastAsia" w:eastAsiaTheme="minorEastAsia"/>
                <w:snapToGrid w:val="0"/>
                <w:kern w:val="0"/>
                <w:sz w:val="15"/>
                <w:szCs w:val="15"/>
              </w:rPr>
              <w:t>4. 试验时微安表接在高压侧或采用清除杂散电流影响的其他接线方式</w:t>
            </w:r>
            <w:r>
              <w:rPr>
                <w:rFonts w:hint="eastAsia" w:cs="Times New Roman" w:asciiTheme="minorEastAsia" w:hAnsiTheme="minorEastAsia" w:eastAsiaTheme="minorEastAsia"/>
                <w:snapToGrid w:val="0"/>
                <w:kern w:val="0"/>
                <w:sz w:val="15"/>
                <w:szCs w:val="15"/>
              </w:rPr>
              <w:t>。</w:t>
            </w:r>
          </w:p>
        </w:tc>
      </w:tr>
    </w:tbl>
    <w:p/>
    <w:p/>
    <w:p/>
    <w:p/>
    <w:p/>
    <w:p/>
    <w:p/>
    <w:p/>
    <w:p/>
    <w:p/>
    <w:p/>
    <w:p>
      <w:pPr>
        <w:pStyle w:val="2"/>
        <w:rPr>
          <w:rFonts w:hint="eastAsia" w:ascii="黑体" w:hAnsi="黑体" w:eastAsia="黑体" w:cs="黑体"/>
          <w:b w:val="0"/>
          <w:bCs w:val="0"/>
          <w:sz w:val="28"/>
          <w:szCs w:val="28"/>
        </w:rPr>
      </w:pPr>
      <w:bookmarkStart w:id="259" w:name="_Toc5730"/>
      <w:r>
        <w:rPr>
          <w:rFonts w:hint="eastAsia" w:ascii="黑体" w:hAnsi="黑体" w:eastAsia="黑体" w:cs="黑体"/>
          <w:b w:val="0"/>
          <w:bCs w:val="0"/>
          <w:sz w:val="28"/>
          <w:szCs w:val="28"/>
        </w:rPr>
        <w:t>标准用词说明</w:t>
      </w:r>
      <w:bookmarkEnd w:id="259"/>
    </w:p>
    <w:p>
      <w:pPr>
        <w:rPr>
          <w:rFonts w:hint="eastAsia" w:ascii="宋体" w:hAnsi="宋体" w:eastAsia="宋体" w:cs="宋体"/>
        </w:rPr>
      </w:pPr>
    </w:p>
    <w:tbl>
      <w:tblPr>
        <w:tblStyle w:val="20"/>
        <w:tblW w:w="0" w:type="auto"/>
        <w:tblInd w:w="87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382"/>
        <w:gridCol w:w="36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3" w:hRule="atLeast"/>
        </w:trPr>
        <w:tc>
          <w:tcPr>
            <w:tcW w:w="3382" w:type="dxa"/>
            <w:vAlign w:val="center"/>
          </w:tcPr>
          <w:p>
            <w:pPr>
              <w:jc w:val="center"/>
              <w:rPr>
                <w:rFonts w:hint="eastAsia" w:ascii="宋体" w:hAnsi="宋体" w:eastAsia="宋体" w:cs="宋体"/>
                <w:sz w:val="18"/>
                <w:szCs w:val="18"/>
              </w:rPr>
            </w:pPr>
            <w:r>
              <w:rPr>
                <w:rFonts w:hint="eastAsia" w:ascii="宋体" w:hAnsi="宋体" w:eastAsia="宋体" w:cs="宋体"/>
                <w:sz w:val="18"/>
                <w:szCs w:val="18"/>
              </w:rPr>
              <w:t>标准用词</w:t>
            </w:r>
          </w:p>
        </w:tc>
        <w:tc>
          <w:tcPr>
            <w:tcW w:w="3653" w:type="dxa"/>
            <w:vAlign w:val="center"/>
          </w:tcPr>
          <w:p>
            <w:pPr>
              <w:jc w:val="center"/>
              <w:rPr>
                <w:rFonts w:hint="eastAsia" w:ascii="宋体" w:hAnsi="宋体" w:eastAsia="宋体" w:cs="宋体"/>
                <w:sz w:val="18"/>
                <w:szCs w:val="18"/>
              </w:rPr>
            </w:pPr>
            <w:r>
              <w:rPr>
                <w:rFonts w:hint="eastAsia" w:ascii="宋体" w:hAnsi="宋体" w:eastAsia="宋体" w:cs="宋体"/>
                <w:sz w:val="18"/>
                <w:szCs w:val="18"/>
              </w:rPr>
              <w:t>严格程度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8" w:hRule="atLeast"/>
        </w:trPr>
        <w:tc>
          <w:tcPr>
            <w:tcW w:w="3382" w:type="dxa"/>
            <w:vAlign w:val="center"/>
          </w:tcPr>
          <w:p>
            <w:pPr>
              <w:jc w:val="center"/>
              <w:rPr>
                <w:rFonts w:hint="eastAsia" w:ascii="宋体" w:hAnsi="宋体" w:eastAsia="宋体" w:cs="宋体"/>
                <w:sz w:val="18"/>
                <w:szCs w:val="18"/>
              </w:rPr>
            </w:pPr>
            <w:r>
              <w:rPr>
                <w:rFonts w:hint="eastAsia" w:ascii="宋体" w:hAnsi="宋体" w:eastAsia="宋体" w:cs="宋体"/>
                <w:sz w:val="18"/>
                <w:szCs w:val="18"/>
              </w:rPr>
              <w:t>必须</w:t>
            </w:r>
          </w:p>
        </w:tc>
        <w:tc>
          <w:tcPr>
            <w:tcW w:w="3653" w:type="dxa"/>
            <w:vMerge w:val="restart"/>
            <w:vAlign w:val="center"/>
          </w:tcPr>
          <w:p>
            <w:pPr>
              <w:jc w:val="center"/>
              <w:rPr>
                <w:rFonts w:hint="eastAsia" w:ascii="宋体" w:hAnsi="宋体" w:eastAsia="宋体" w:cs="宋体"/>
                <w:sz w:val="18"/>
                <w:szCs w:val="18"/>
              </w:rPr>
            </w:pPr>
            <w:r>
              <w:rPr>
                <w:rFonts w:hint="eastAsia" w:ascii="宋体" w:hAnsi="宋体" w:eastAsia="宋体" w:cs="宋体"/>
                <w:sz w:val="18"/>
                <w:szCs w:val="18"/>
              </w:rPr>
              <w:t>很严格，非这样做不可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trPr>
        <w:tc>
          <w:tcPr>
            <w:tcW w:w="3382" w:type="dxa"/>
            <w:vAlign w:val="center"/>
          </w:tcPr>
          <w:p>
            <w:pPr>
              <w:jc w:val="center"/>
              <w:rPr>
                <w:rFonts w:hint="eastAsia" w:ascii="宋体" w:hAnsi="宋体" w:eastAsia="宋体" w:cs="宋体"/>
                <w:sz w:val="18"/>
                <w:szCs w:val="18"/>
              </w:rPr>
            </w:pPr>
            <w:r>
              <w:rPr>
                <w:rFonts w:hint="eastAsia" w:ascii="宋体" w:hAnsi="宋体" w:eastAsia="宋体" w:cs="宋体"/>
                <w:sz w:val="18"/>
                <w:szCs w:val="18"/>
              </w:rPr>
              <w:t>严禁</w:t>
            </w:r>
          </w:p>
        </w:tc>
        <w:tc>
          <w:tcPr>
            <w:tcW w:w="3653" w:type="dxa"/>
            <w:vMerge w:val="continue"/>
            <w:vAlign w:val="center"/>
          </w:tcPr>
          <w:p>
            <w:pPr>
              <w:jc w:val="center"/>
              <w:rPr>
                <w:rFonts w:hint="eastAsia" w:ascii="宋体" w:hAnsi="宋体" w:eastAsia="宋体" w:cs="宋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8" w:hRule="atLeast"/>
        </w:trPr>
        <w:tc>
          <w:tcPr>
            <w:tcW w:w="3382" w:type="dxa"/>
            <w:vAlign w:val="center"/>
          </w:tcPr>
          <w:p>
            <w:pPr>
              <w:jc w:val="center"/>
              <w:rPr>
                <w:rFonts w:hint="eastAsia" w:ascii="宋体" w:hAnsi="宋体" w:eastAsia="宋体" w:cs="宋体"/>
                <w:sz w:val="18"/>
                <w:szCs w:val="18"/>
              </w:rPr>
            </w:pPr>
            <w:r>
              <w:rPr>
                <w:rFonts w:hint="eastAsia" w:ascii="宋体" w:hAnsi="宋体" w:eastAsia="宋体" w:cs="宋体"/>
                <w:sz w:val="18"/>
                <w:szCs w:val="18"/>
              </w:rPr>
              <w:t>应</w:t>
            </w:r>
          </w:p>
        </w:tc>
        <w:tc>
          <w:tcPr>
            <w:tcW w:w="3653" w:type="dxa"/>
            <w:vMerge w:val="restart"/>
            <w:vAlign w:val="center"/>
          </w:tcPr>
          <w:p>
            <w:pPr>
              <w:jc w:val="center"/>
              <w:rPr>
                <w:rFonts w:hint="eastAsia" w:ascii="宋体" w:hAnsi="宋体" w:eastAsia="宋体" w:cs="宋体"/>
                <w:sz w:val="18"/>
                <w:szCs w:val="18"/>
              </w:rPr>
            </w:pPr>
            <w:r>
              <w:rPr>
                <w:rFonts w:hint="eastAsia" w:ascii="宋体" w:hAnsi="宋体" w:eastAsia="宋体" w:cs="宋体"/>
                <w:sz w:val="18"/>
                <w:szCs w:val="18"/>
              </w:rPr>
              <w:t>严格，在正常情况下均应这样做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trPr>
        <w:tc>
          <w:tcPr>
            <w:tcW w:w="3382" w:type="dxa"/>
            <w:vAlign w:val="center"/>
          </w:tcPr>
          <w:p>
            <w:pPr>
              <w:jc w:val="center"/>
              <w:rPr>
                <w:rFonts w:hint="eastAsia" w:ascii="宋体" w:hAnsi="宋体" w:eastAsia="宋体" w:cs="宋体"/>
                <w:sz w:val="18"/>
                <w:szCs w:val="18"/>
              </w:rPr>
            </w:pPr>
            <w:r>
              <w:rPr>
                <w:rFonts w:hint="eastAsia" w:ascii="宋体" w:hAnsi="宋体" w:eastAsia="宋体" w:cs="宋体"/>
                <w:sz w:val="18"/>
                <w:szCs w:val="18"/>
              </w:rPr>
              <w:t>不应</w:t>
            </w:r>
          </w:p>
        </w:tc>
        <w:tc>
          <w:tcPr>
            <w:tcW w:w="3653" w:type="dxa"/>
            <w:vMerge w:val="continue"/>
            <w:vAlign w:val="center"/>
          </w:tcPr>
          <w:p>
            <w:pPr>
              <w:jc w:val="center"/>
              <w:rPr>
                <w:rFonts w:hint="eastAsia" w:ascii="宋体" w:hAnsi="宋体" w:eastAsia="宋体" w:cs="宋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trPr>
        <w:tc>
          <w:tcPr>
            <w:tcW w:w="3382" w:type="dxa"/>
            <w:vAlign w:val="center"/>
          </w:tcPr>
          <w:p>
            <w:pPr>
              <w:jc w:val="center"/>
              <w:rPr>
                <w:rFonts w:hint="eastAsia" w:ascii="宋体" w:hAnsi="宋体" w:eastAsia="宋体" w:cs="宋体"/>
                <w:sz w:val="18"/>
                <w:szCs w:val="18"/>
              </w:rPr>
            </w:pPr>
            <w:r>
              <w:rPr>
                <w:rFonts w:hint="eastAsia" w:ascii="宋体" w:hAnsi="宋体" w:eastAsia="宋体" w:cs="宋体"/>
                <w:sz w:val="18"/>
                <w:szCs w:val="18"/>
              </w:rPr>
              <w:t>宜</w:t>
            </w:r>
          </w:p>
        </w:tc>
        <w:tc>
          <w:tcPr>
            <w:tcW w:w="3653" w:type="dxa"/>
            <w:vMerge w:val="restart"/>
            <w:vAlign w:val="center"/>
          </w:tcPr>
          <w:p>
            <w:pPr>
              <w:jc w:val="center"/>
              <w:rPr>
                <w:rFonts w:hint="eastAsia" w:ascii="宋体" w:hAnsi="宋体" w:eastAsia="宋体" w:cs="宋体"/>
                <w:sz w:val="18"/>
                <w:szCs w:val="18"/>
              </w:rPr>
            </w:pPr>
            <w:r>
              <w:rPr>
                <w:rFonts w:hint="eastAsia" w:ascii="宋体" w:hAnsi="宋体" w:eastAsia="宋体" w:cs="宋体"/>
                <w:sz w:val="18"/>
                <w:szCs w:val="18"/>
              </w:rPr>
              <w:t>允许稍有选择，在条件许可时首先应这样做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3" w:hRule="atLeast"/>
        </w:trPr>
        <w:tc>
          <w:tcPr>
            <w:tcW w:w="3382" w:type="dxa"/>
            <w:vAlign w:val="center"/>
          </w:tcPr>
          <w:p>
            <w:pPr>
              <w:jc w:val="center"/>
              <w:rPr>
                <w:rFonts w:hint="eastAsia" w:ascii="宋体" w:hAnsi="宋体" w:eastAsia="宋体" w:cs="宋体"/>
                <w:sz w:val="18"/>
                <w:szCs w:val="18"/>
              </w:rPr>
            </w:pPr>
            <w:r>
              <w:rPr>
                <w:rFonts w:hint="eastAsia" w:ascii="宋体" w:hAnsi="宋体" w:eastAsia="宋体" w:cs="宋体"/>
                <w:sz w:val="18"/>
                <w:szCs w:val="18"/>
              </w:rPr>
              <w:t>不宜</w:t>
            </w:r>
          </w:p>
        </w:tc>
        <w:tc>
          <w:tcPr>
            <w:tcW w:w="3653" w:type="dxa"/>
            <w:vMerge w:val="continue"/>
            <w:vAlign w:val="center"/>
          </w:tcPr>
          <w:p>
            <w:pPr>
              <w:jc w:val="center"/>
              <w:rPr>
                <w:rFonts w:hint="eastAsia" w:ascii="宋体" w:hAnsi="宋体" w:eastAsia="宋体" w:cs="宋体"/>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3" w:hRule="atLeast"/>
        </w:trPr>
        <w:tc>
          <w:tcPr>
            <w:tcW w:w="3382" w:type="dxa"/>
            <w:vAlign w:val="center"/>
          </w:tcPr>
          <w:p>
            <w:pPr>
              <w:jc w:val="center"/>
              <w:rPr>
                <w:rFonts w:hint="eastAsia" w:ascii="宋体" w:hAnsi="宋体" w:eastAsia="宋体" w:cs="宋体"/>
                <w:sz w:val="18"/>
                <w:szCs w:val="18"/>
              </w:rPr>
            </w:pPr>
            <w:r>
              <w:rPr>
                <w:rFonts w:hint="eastAsia" w:ascii="宋体" w:hAnsi="宋体" w:eastAsia="宋体" w:cs="宋体"/>
                <w:sz w:val="18"/>
                <w:szCs w:val="18"/>
              </w:rPr>
              <w:t>可</w:t>
            </w:r>
          </w:p>
        </w:tc>
        <w:tc>
          <w:tcPr>
            <w:tcW w:w="3653" w:type="dxa"/>
            <w:vAlign w:val="center"/>
          </w:tcPr>
          <w:p>
            <w:pPr>
              <w:jc w:val="center"/>
              <w:rPr>
                <w:rFonts w:hint="eastAsia" w:ascii="宋体" w:hAnsi="宋体" w:eastAsia="宋体" w:cs="宋体"/>
                <w:sz w:val="18"/>
                <w:szCs w:val="18"/>
              </w:rPr>
            </w:pPr>
            <w:r>
              <w:rPr>
                <w:rFonts w:hint="eastAsia" w:ascii="宋体" w:hAnsi="宋体" w:eastAsia="宋体" w:cs="宋体"/>
                <w:sz w:val="18"/>
                <w:szCs w:val="18"/>
              </w:rPr>
              <w:t>有选择，在一定条件下可以这样做</w:t>
            </w:r>
          </w:p>
        </w:tc>
      </w:tr>
    </w:tbl>
    <w:p>
      <w:pPr>
        <w:rPr>
          <w:rFonts w:hint="eastAsia" w:ascii="宋体" w:hAnsi="宋体" w:eastAsia="宋体" w:cs="宋体"/>
        </w:rPr>
      </w:pPr>
    </w:p>
    <w:p>
      <w:pPr>
        <w:sectPr>
          <w:footerReference r:id="rId12" w:type="default"/>
          <w:pgSz w:w="11907" w:h="16839"/>
          <w:pgMar w:top="1440" w:right="1800" w:bottom="1440" w:left="1800" w:header="850" w:footer="850" w:gutter="0"/>
          <w:cols w:space="720" w:num="1"/>
          <w:docGrid w:linePitch="286" w:charSpace="0"/>
        </w:sectPr>
      </w:pPr>
    </w:p>
    <w:p>
      <w:pPr>
        <w:spacing w:before="84" w:line="241" w:lineRule="auto"/>
        <w:jc w:val="center"/>
        <w:rPr>
          <w:rFonts w:hint="eastAsia" w:ascii="黑体" w:hAnsi="黑体" w:eastAsia="黑体" w:cs="黑体"/>
          <w:spacing w:val="15"/>
          <w:sz w:val="28"/>
          <w:szCs w:val="28"/>
        </w:rPr>
      </w:pPr>
    </w:p>
    <w:p>
      <w:pPr>
        <w:spacing w:before="84" w:line="241" w:lineRule="auto"/>
        <w:jc w:val="center"/>
        <w:rPr>
          <w:rFonts w:hint="eastAsia" w:ascii="黑体" w:hAnsi="黑体" w:eastAsia="黑体" w:cs="黑体"/>
          <w:spacing w:val="15"/>
          <w:sz w:val="28"/>
          <w:szCs w:val="28"/>
        </w:rPr>
      </w:pPr>
    </w:p>
    <w:p>
      <w:pPr>
        <w:spacing w:before="84" w:line="241" w:lineRule="auto"/>
        <w:jc w:val="center"/>
        <w:rPr>
          <w:rFonts w:hint="eastAsia" w:ascii="黑体" w:hAnsi="黑体" w:eastAsia="黑体" w:cs="黑体"/>
          <w:spacing w:val="15"/>
          <w:sz w:val="28"/>
          <w:szCs w:val="28"/>
        </w:rPr>
      </w:pPr>
    </w:p>
    <w:p>
      <w:pPr>
        <w:spacing w:before="84" w:line="241" w:lineRule="auto"/>
        <w:jc w:val="center"/>
        <w:rPr>
          <w:rFonts w:hint="eastAsia" w:ascii="黑体" w:hAnsi="黑体" w:eastAsia="黑体" w:cs="黑体"/>
          <w:spacing w:val="15"/>
          <w:sz w:val="28"/>
          <w:szCs w:val="28"/>
        </w:rPr>
      </w:pPr>
      <w:r>
        <w:rPr>
          <w:rFonts w:ascii="黑体" w:hAnsi="黑体" w:eastAsia="黑体" w:cs="黑体"/>
          <w:spacing w:val="15"/>
          <w:sz w:val="28"/>
          <w:szCs w:val="28"/>
        </w:rPr>
        <w:t>中华人民共和国水利行业标准</w:t>
      </w:r>
    </w:p>
    <w:p>
      <w:pPr>
        <w:spacing w:line="351" w:lineRule="auto"/>
        <w:rPr>
          <w:rFonts w:ascii="Arial"/>
        </w:rPr>
      </w:pPr>
    </w:p>
    <w:p>
      <w:pPr>
        <w:spacing w:before="95" w:line="381" w:lineRule="exact"/>
        <w:jc w:val="center"/>
        <w:rPr>
          <w:rFonts w:hint="eastAsia" w:ascii="黑体" w:hAnsi="黑体" w:eastAsia="黑体" w:cs="黑体"/>
          <w:spacing w:val="22"/>
          <w:position w:val="1"/>
          <w:sz w:val="32"/>
          <w:szCs w:val="32"/>
        </w:rPr>
      </w:pPr>
      <w:r>
        <w:rPr>
          <w:rFonts w:ascii="黑体" w:hAnsi="黑体" w:eastAsia="黑体" w:cs="黑体"/>
          <w:spacing w:val="22"/>
          <w:position w:val="1"/>
          <w:sz w:val="32"/>
          <w:szCs w:val="32"/>
        </w:rPr>
        <w:t>水利工程质量检测技术规程</w:t>
      </w:r>
    </w:p>
    <w:p>
      <w:pPr>
        <w:pStyle w:val="6"/>
        <w:spacing w:before="260" w:line="258" w:lineRule="exact"/>
        <w:jc w:val="center"/>
        <w:rPr>
          <w:rFonts w:hint="eastAsia" w:ascii="黑体" w:hAnsi="黑体" w:eastAsia="黑体" w:cs="黑体"/>
          <w:spacing w:val="10"/>
          <w:position w:val="-1"/>
          <w:sz w:val="24"/>
          <w:szCs w:val="24"/>
        </w:rPr>
      </w:pPr>
      <w:r>
        <w:rPr>
          <w:rFonts w:hint="eastAsia" w:ascii="黑体" w:hAnsi="黑体" w:eastAsia="黑体" w:cs="黑体"/>
          <w:position w:val="-1"/>
          <w:sz w:val="24"/>
          <w:szCs w:val="24"/>
        </w:rPr>
        <w:t>SL</w:t>
      </w:r>
      <w:r>
        <w:rPr>
          <w:rFonts w:hint="eastAsia" w:ascii="黑体" w:hAnsi="黑体" w:eastAsia="黑体" w:cs="黑体"/>
          <w:spacing w:val="10"/>
          <w:position w:val="-1"/>
          <w:sz w:val="24"/>
          <w:szCs w:val="24"/>
        </w:rPr>
        <w:t>734</w:t>
      </w:r>
      <w:r>
        <w:rPr>
          <w:rFonts w:hint="eastAsia" w:ascii="黑体" w:hAnsi="黑体" w:eastAsia="黑体" w:cs="黑体"/>
          <w:spacing w:val="10"/>
          <w:position w:val="2"/>
          <w:sz w:val="24"/>
          <w:szCs w:val="24"/>
        </w:rPr>
        <w:t>—</w:t>
      </w:r>
      <w:r>
        <w:rPr>
          <w:rFonts w:hint="eastAsia" w:ascii="黑体" w:hAnsi="黑体" w:eastAsia="黑体" w:cs="黑体"/>
          <w:spacing w:val="-48"/>
          <w:position w:val="2"/>
          <w:sz w:val="24"/>
          <w:szCs w:val="24"/>
        </w:rPr>
        <w:t xml:space="preserve"> </w:t>
      </w:r>
      <w:r>
        <w:rPr>
          <w:rFonts w:hint="eastAsia" w:ascii="黑体" w:hAnsi="黑体" w:eastAsia="黑体" w:cs="黑体"/>
          <w:spacing w:val="10"/>
          <w:position w:val="-1"/>
          <w:sz w:val="24"/>
          <w:szCs w:val="24"/>
        </w:rPr>
        <w:t>2016</w:t>
      </w:r>
    </w:p>
    <w:p>
      <w:pPr>
        <w:pStyle w:val="6"/>
        <w:spacing w:before="223" w:line="202" w:lineRule="auto"/>
        <w:jc w:val="center"/>
        <w:rPr>
          <w:rFonts w:hint="eastAsia" w:ascii="宋体" w:hAnsi="宋体" w:eastAsia="宋体" w:cs="宋体"/>
          <w:sz w:val="28"/>
          <w:szCs w:val="28"/>
        </w:rPr>
      </w:pPr>
      <w:r>
        <w:rPr>
          <w:rFonts w:hint="eastAsia" w:ascii="宋体" w:hAnsi="宋体" w:eastAsia="宋体" w:cs="宋体"/>
          <w:spacing w:val="-2"/>
          <w:sz w:val="28"/>
          <w:szCs w:val="28"/>
        </w:rPr>
        <w:t>条    文</w:t>
      </w:r>
      <w:r>
        <w:rPr>
          <w:rFonts w:hint="eastAsia" w:ascii="宋体" w:hAnsi="宋体" w:eastAsia="宋体" w:cs="宋体"/>
          <w:spacing w:val="23"/>
          <w:sz w:val="28"/>
          <w:szCs w:val="28"/>
        </w:rPr>
        <w:t xml:space="preserve">   </w:t>
      </w:r>
      <w:r>
        <w:rPr>
          <w:rFonts w:hint="eastAsia" w:ascii="宋体" w:hAnsi="宋体" w:eastAsia="宋体" w:cs="宋体"/>
          <w:spacing w:val="-2"/>
          <w:sz w:val="28"/>
          <w:szCs w:val="28"/>
        </w:rPr>
        <w:t>说</w:t>
      </w:r>
      <w:r>
        <w:rPr>
          <w:rFonts w:hint="eastAsia" w:ascii="宋体" w:hAnsi="宋体" w:eastAsia="宋体" w:cs="宋体"/>
          <w:spacing w:val="4"/>
          <w:sz w:val="28"/>
          <w:szCs w:val="28"/>
        </w:rPr>
        <w:t xml:space="preserve">    </w:t>
      </w:r>
      <w:r>
        <w:rPr>
          <w:rFonts w:hint="eastAsia" w:ascii="宋体" w:hAnsi="宋体" w:eastAsia="宋体" w:cs="宋体"/>
          <w:spacing w:val="-2"/>
          <w:sz w:val="28"/>
          <w:szCs w:val="28"/>
        </w:rPr>
        <w:t>明</w:t>
      </w:r>
    </w:p>
    <w:p>
      <w:pPr>
        <w:spacing w:line="202" w:lineRule="auto"/>
        <w:rPr>
          <w:sz w:val="26"/>
          <w:szCs w:val="26"/>
        </w:rPr>
        <w:sectPr>
          <w:footerReference r:id="rId13" w:type="default"/>
          <w:pgSz w:w="11906" w:h="16838"/>
          <w:pgMar w:top="1440" w:right="1803" w:bottom="1440" w:left="1803" w:header="850" w:footer="850" w:gutter="0"/>
          <w:cols w:space="720" w:num="1"/>
        </w:sectPr>
      </w:pPr>
    </w:p>
    <w:p>
      <w:pPr>
        <w:spacing w:line="243" w:lineRule="auto"/>
        <w:rPr>
          <w:rFonts w:ascii="Arial"/>
        </w:rPr>
      </w:pPr>
    </w:p>
    <w:p>
      <w:pPr>
        <w:spacing w:line="243" w:lineRule="auto"/>
        <w:rPr>
          <w:rFonts w:ascii="Arial"/>
        </w:rPr>
      </w:pPr>
    </w:p>
    <w:p>
      <w:pPr>
        <w:widowControl/>
        <w:jc w:val="center"/>
      </w:pPr>
      <w:r>
        <w:rPr>
          <w:rFonts w:ascii="黑体" w:hAnsi="宋体" w:eastAsia="黑体" w:cs="黑体"/>
          <w:kern w:val="0"/>
          <w:sz w:val="28"/>
          <w:szCs w:val="28"/>
          <w:lang w:bidi="ar"/>
        </w:rPr>
        <w:t>修订说明</w:t>
      </w:r>
    </w:p>
    <w:p>
      <w:pPr>
        <w:spacing w:line="243" w:lineRule="auto"/>
        <w:rPr>
          <w:rFonts w:ascii="Arial"/>
        </w:rPr>
      </w:pPr>
    </w:p>
    <w:p>
      <w:pPr>
        <w:spacing w:line="360" w:lineRule="auto"/>
        <w:ind w:firstLine="420" w:firstLineChars="200"/>
        <w:rPr>
          <w:rFonts w:hint="eastAsia" w:asciiTheme="minorEastAsia" w:hAnsiTheme="minorEastAsia"/>
        </w:rPr>
      </w:pPr>
      <w:r>
        <w:rPr>
          <w:rFonts w:hint="eastAsia" w:asciiTheme="minorEastAsia" w:hAnsiTheme="minorEastAsia"/>
        </w:rPr>
        <w:t>SL</w:t>
      </w:r>
      <w:r>
        <w:rPr>
          <w:rFonts w:hint="eastAsia" w:asciiTheme="minorEastAsia" w:hAnsiTheme="minorEastAsia"/>
          <w:lang w:val="en-US" w:eastAsia="zh-CN"/>
        </w:rPr>
        <w:t>/T</w:t>
      </w:r>
      <w:r>
        <w:rPr>
          <w:rFonts w:hint="eastAsia" w:asciiTheme="minorEastAsia" w:hAnsiTheme="minorEastAsia"/>
        </w:rPr>
        <w:t xml:space="preserve"> 734-20XX《水利工程质量检测技术规程》经水利部XXXX年XX月XX日以第XX号公告批准发布。</w:t>
      </w:r>
    </w:p>
    <w:p>
      <w:pPr>
        <w:spacing w:line="360" w:lineRule="auto"/>
        <w:ind w:firstLine="420" w:firstLineChars="200"/>
        <w:rPr>
          <w:rFonts w:hint="eastAsia" w:asciiTheme="minorEastAsia" w:hAnsiTheme="minorEastAsia"/>
        </w:rPr>
      </w:pPr>
      <w:r>
        <w:rPr>
          <w:rFonts w:hint="eastAsia" w:asciiTheme="minorEastAsia" w:hAnsiTheme="minorEastAsia"/>
        </w:rPr>
        <w:t>本标准在修订过程中，编制组根据新阶段水利高质量发展对水利技术标准的要求，总结了水利工程质量检测过程中存在的问题和实践经验，融合了水利工程质量检测技术的发展新理念、新需求，同时参考和引用了其他相关技术规范。为便于广大设计、施工、科研、监管等单位有关人员在使用本标准时能正确理解和执行条文规定</w:t>
      </w:r>
      <w:r>
        <w:rPr>
          <w:rFonts w:hint="eastAsia" w:asciiTheme="minorEastAsia" w:hAnsiTheme="minorEastAsia"/>
          <w:lang w:eastAsia="zh-CN"/>
        </w:rPr>
        <w:t>，《</w:t>
      </w:r>
      <w:r>
        <w:rPr>
          <w:rFonts w:hint="eastAsia" w:asciiTheme="minorEastAsia" w:hAnsiTheme="minorEastAsia"/>
        </w:rPr>
        <w:t>水利工程质量检测技术规程》编制组按照章、节、条、款、项的顺序编制了本标准的条文说明，对条文规定的目的、依据以及执行过程中需要注意的有关事项进行了说明。本条文说明不具备与标准正文同等的法律效力，仅供使用者作为理解和把握标准规定的参考。</w:t>
      </w:r>
    </w:p>
    <w:p>
      <w:pPr>
        <w:spacing w:line="360" w:lineRule="auto"/>
        <w:ind w:firstLine="420" w:firstLineChars="200"/>
        <w:rPr>
          <w:rFonts w:hint="eastAsia" w:asciiTheme="minorEastAsia" w:hAnsiTheme="minorEastAsia"/>
        </w:rPr>
      </w:pPr>
    </w:p>
    <w:p>
      <w:pPr>
        <w:spacing w:line="360" w:lineRule="auto"/>
        <w:ind w:firstLine="420" w:firstLineChars="200"/>
        <w:rPr>
          <w:rFonts w:hint="eastAsia" w:asciiTheme="minorEastAsia" w:hAnsiTheme="minorEastAsia"/>
        </w:rPr>
      </w:pPr>
    </w:p>
    <w:p>
      <w:pPr>
        <w:spacing w:line="243" w:lineRule="auto"/>
        <w:rPr>
          <w:rFonts w:ascii="Arial"/>
        </w:rPr>
      </w:pPr>
    </w:p>
    <w:p>
      <w:pPr>
        <w:spacing w:line="243" w:lineRule="auto"/>
        <w:rPr>
          <w:rFonts w:ascii="Arial"/>
        </w:rPr>
      </w:pPr>
    </w:p>
    <w:p>
      <w:pPr>
        <w:spacing w:line="243" w:lineRule="auto"/>
        <w:rPr>
          <w:rFonts w:ascii="Arial"/>
        </w:rPr>
      </w:pPr>
    </w:p>
    <w:p>
      <w:pPr>
        <w:spacing w:line="243" w:lineRule="auto"/>
        <w:rPr>
          <w:rFonts w:ascii="Arial"/>
        </w:rPr>
      </w:pPr>
    </w:p>
    <w:p>
      <w:pPr>
        <w:spacing w:line="243" w:lineRule="auto"/>
        <w:rPr>
          <w:rFonts w:ascii="Arial"/>
        </w:rPr>
      </w:pPr>
    </w:p>
    <w:p>
      <w:pPr>
        <w:spacing w:line="243" w:lineRule="auto"/>
        <w:rPr>
          <w:rFonts w:ascii="Arial"/>
        </w:rPr>
      </w:pPr>
    </w:p>
    <w:p>
      <w:pPr>
        <w:spacing w:line="243" w:lineRule="auto"/>
        <w:rPr>
          <w:rFonts w:ascii="Arial"/>
        </w:rPr>
      </w:pPr>
    </w:p>
    <w:p>
      <w:pPr>
        <w:spacing w:line="243" w:lineRule="auto"/>
        <w:rPr>
          <w:rFonts w:ascii="Arial"/>
        </w:rPr>
      </w:pPr>
    </w:p>
    <w:p>
      <w:pPr>
        <w:spacing w:line="243" w:lineRule="auto"/>
        <w:rPr>
          <w:rFonts w:ascii="Arial"/>
        </w:rPr>
      </w:pPr>
    </w:p>
    <w:p>
      <w:pPr>
        <w:spacing w:line="243" w:lineRule="auto"/>
        <w:rPr>
          <w:rFonts w:ascii="Arial"/>
        </w:rPr>
      </w:pPr>
    </w:p>
    <w:p>
      <w:pPr>
        <w:spacing w:line="243" w:lineRule="auto"/>
        <w:rPr>
          <w:rFonts w:ascii="Arial"/>
        </w:rPr>
      </w:pPr>
    </w:p>
    <w:p>
      <w:pPr>
        <w:spacing w:line="243" w:lineRule="auto"/>
        <w:rPr>
          <w:rFonts w:ascii="Arial"/>
        </w:rPr>
      </w:pPr>
    </w:p>
    <w:p>
      <w:pPr>
        <w:spacing w:line="243" w:lineRule="auto"/>
        <w:rPr>
          <w:rFonts w:ascii="Arial"/>
        </w:rPr>
      </w:pPr>
    </w:p>
    <w:p>
      <w:pPr>
        <w:spacing w:line="243" w:lineRule="auto"/>
        <w:rPr>
          <w:rFonts w:ascii="Arial"/>
        </w:rPr>
      </w:pPr>
    </w:p>
    <w:p>
      <w:pPr>
        <w:spacing w:line="243" w:lineRule="auto"/>
        <w:rPr>
          <w:rFonts w:ascii="Arial"/>
        </w:rPr>
      </w:pPr>
    </w:p>
    <w:p>
      <w:pPr>
        <w:spacing w:line="243" w:lineRule="auto"/>
        <w:rPr>
          <w:rFonts w:ascii="Arial"/>
        </w:rPr>
      </w:pPr>
    </w:p>
    <w:p>
      <w:pPr>
        <w:spacing w:line="243" w:lineRule="auto"/>
        <w:rPr>
          <w:rFonts w:ascii="Arial"/>
        </w:rPr>
      </w:pPr>
    </w:p>
    <w:p>
      <w:pPr>
        <w:spacing w:line="243" w:lineRule="auto"/>
        <w:rPr>
          <w:rFonts w:ascii="Arial"/>
        </w:rPr>
      </w:pPr>
    </w:p>
    <w:p>
      <w:pPr>
        <w:spacing w:line="243" w:lineRule="auto"/>
        <w:rPr>
          <w:rFonts w:ascii="Arial"/>
        </w:rPr>
      </w:pPr>
    </w:p>
    <w:p>
      <w:pPr>
        <w:spacing w:line="243" w:lineRule="auto"/>
        <w:rPr>
          <w:rFonts w:ascii="Arial"/>
        </w:rPr>
      </w:pPr>
    </w:p>
    <w:p>
      <w:pPr>
        <w:spacing w:line="243" w:lineRule="auto"/>
        <w:rPr>
          <w:rFonts w:ascii="Arial"/>
        </w:rPr>
      </w:pPr>
    </w:p>
    <w:p>
      <w:pPr>
        <w:spacing w:line="243" w:lineRule="auto"/>
        <w:rPr>
          <w:rFonts w:ascii="Arial"/>
        </w:rPr>
      </w:pPr>
    </w:p>
    <w:p>
      <w:pPr>
        <w:spacing w:line="243" w:lineRule="auto"/>
        <w:rPr>
          <w:rFonts w:ascii="Arial"/>
        </w:rPr>
      </w:pPr>
    </w:p>
    <w:p>
      <w:pPr>
        <w:spacing w:line="243" w:lineRule="auto"/>
        <w:jc w:val="center"/>
        <w:rPr>
          <w:rFonts w:hint="eastAsia" w:ascii="仿宋" w:hAnsi="仿宋" w:eastAsia="仿宋" w:cs="仿宋"/>
          <w:sz w:val="28"/>
          <w:szCs w:val="28"/>
        </w:rPr>
      </w:pPr>
      <w:r>
        <w:rPr>
          <w:rFonts w:hint="eastAsia" w:ascii="仿宋" w:hAnsi="仿宋" w:eastAsia="仿宋" w:cs="仿宋"/>
          <w:sz w:val="28"/>
          <w:szCs w:val="28"/>
        </w:rPr>
        <w:t>目   次</w:t>
      </w:r>
    </w:p>
    <w:p>
      <w:pPr>
        <w:spacing w:line="244" w:lineRule="auto"/>
        <w:rPr>
          <w:rFonts w:ascii="Arial"/>
        </w:rPr>
      </w:pPr>
    </w:p>
    <w:p>
      <w:pPr>
        <w:pStyle w:val="13"/>
        <w:tabs>
          <w:tab w:val="right" w:leader="dot" w:pos="8307"/>
        </w:tabs>
      </w:pP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"_Toc9913" </w:instrText>
      </w:r>
      <w:r>
        <w:fldChar w:fldCharType="separate"/>
      </w:r>
      <w:r>
        <w:rPr>
          <w:rFonts w:hint="eastAsia" w:asciiTheme="minorEastAsia" w:hAnsiTheme="minorEastAsia" w:eastAsiaTheme="minorEastAsia" w:cstheme="minorEastAsia"/>
          <w:szCs w:val="28"/>
        </w:rPr>
        <w:t>1  总  则</w:t>
      </w:r>
      <w:r>
        <w:rPr>
          <w:rFonts w:hint="eastAsia" w:asciiTheme="minorEastAsia" w:hAnsiTheme="minorEastAsia" w:eastAsiaTheme="minorEastAsia" w:cstheme="minorEastAsia"/>
        </w:rPr>
        <w:t>................................................................</w:t>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_Toc9913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94</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"_Toc21812" </w:instrText>
      </w:r>
      <w:r>
        <w:fldChar w:fldCharType="separate"/>
      </w:r>
      <w:r>
        <w:rPr>
          <w:rFonts w:hint="eastAsia" w:asciiTheme="minorEastAsia" w:hAnsiTheme="minorEastAsia" w:eastAsiaTheme="minorEastAsia" w:cstheme="minorEastAsia"/>
          <w:szCs w:val="28"/>
        </w:rPr>
        <w:t>2  术  语</w:t>
      </w:r>
      <w:r>
        <w:rPr>
          <w:rFonts w:hint="eastAsia" w:asciiTheme="minorEastAsia" w:hAnsiTheme="minorEastAsia" w:eastAsiaTheme="minorEastAsia" w:cstheme="minorEastAsia"/>
        </w:rPr>
        <w:t>................................................................</w:t>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_Toc21812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95</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"_Toc13746" </w:instrText>
      </w:r>
      <w:r>
        <w:fldChar w:fldCharType="separate"/>
      </w:r>
      <w:r>
        <w:rPr>
          <w:rFonts w:hint="eastAsia" w:asciiTheme="minorEastAsia" w:hAnsiTheme="minorEastAsia" w:eastAsiaTheme="minorEastAsia" w:cstheme="minorEastAsia"/>
          <w:szCs w:val="28"/>
        </w:rPr>
        <w:t>3  基本规定</w:t>
      </w:r>
      <w:r>
        <w:rPr>
          <w:rFonts w:hint="eastAsia" w:asciiTheme="minorEastAsia" w:hAnsiTheme="minorEastAsia" w:eastAsiaTheme="minorEastAsia" w:cstheme="minorEastAsia"/>
        </w:rPr>
        <w:t>..............................................................</w:t>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_Toc13746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96</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"_Toc1595" </w:instrText>
      </w:r>
      <w:r>
        <w:fldChar w:fldCharType="separate"/>
      </w:r>
      <w:r>
        <w:rPr>
          <w:rFonts w:hint="eastAsia" w:asciiTheme="minorEastAsia" w:hAnsiTheme="minorEastAsia" w:eastAsiaTheme="minorEastAsia" w:cstheme="minorEastAsia"/>
          <w:szCs w:val="28"/>
        </w:rPr>
        <w:t>4  地基与基础工程</w:t>
      </w:r>
      <w:r>
        <w:rPr>
          <w:rFonts w:hint="eastAsia" w:asciiTheme="minorEastAsia" w:hAnsiTheme="minorEastAsia" w:eastAsiaTheme="minorEastAsia" w:cstheme="minorEastAsia"/>
        </w:rPr>
        <w:t>........................................................</w:t>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_Toc1595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98</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"_Toc5892" </w:instrText>
      </w:r>
      <w:r>
        <w:fldChar w:fldCharType="separate"/>
      </w:r>
      <w:r>
        <w:rPr>
          <w:rFonts w:hint="eastAsia" w:asciiTheme="minorEastAsia" w:hAnsiTheme="minorEastAsia" w:cstheme="minorEastAsia"/>
          <w:sz w:val="18"/>
          <w:szCs w:val="18"/>
        </w:rPr>
        <w:t>4.2  地基处理</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_Toc5892 \h </w:instrText>
      </w:r>
      <w:r>
        <w:rPr>
          <w:rFonts w:hint="eastAsia" w:asciiTheme="minorEastAsia" w:hAnsiTheme="minorEastAsia" w:cstheme="minorEastAsia"/>
        </w:rPr>
        <w:fldChar w:fldCharType="separate"/>
      </w:r>
      <w:r>
        <w:rPr>
          <w:rFonts w:hint="eastAsia" w:asciiTheme="minorEastAsia" w:hAnsiTheme="minorEastAsia" w:cstheme="minorEastAsia"/>
        </w:rPr>
        <w:t>98</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"_Toc16764" </w:instrText>
      </w:r>
      <w:r>
        <w:fldChar w:fldCharType="separate"/>
      </w:r>
      <w:r>
        <w:rPr>
          <w:rFonts w:hint="eastAsia" w:asciiTheme="minorEastAsia" w:hAnsiTheme="minorEastAsia" w:cstheme="minorEastAsia"/>
          <w:sz w:val="18"/>
          <w:szCs w:val="18"/>
        </w:rPr>
        <w:t>4.3  灌  浆</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_Toc16764 \h </w:instrText>
      </w:r>
      <w:r>
        <w:rPr>
          <w:rFonts w:hint="eastAsia" w:asciiTheme="minorEastAsia" w:hAnsiTheme="minorEastAsia" w:cstheme="minorEastAsia"/>
        </w:rPr>
        <w:fldChar w:fldCharType="separate"/>
      </w:r>
      <w:r>
        <w:rPr>
          <w:rFonts w:hint="eastAsia" w:asciiTheme="minorEastAsia" w:hAnsiTheme="minorEastAsia" w:cstheme="minorEastAsia"/>
        </w:rPr>
        <w:t>98</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"_Toc846" </w:instrText>
      </w:r>
      <w:r>
        <w:fldChar w:fldCharType="separate"/>
      </w:r>
      <w:r>
        <w:rPr>
          <w:rFonts w:hint="eastAsia" w:asciiTheme="minorEastAsia" w:hAnsiTheme="minorEastAsia" w:cstheme="minorEastAsia"/>
          <w:sz w:val="18"/>
          <w:szCs w:val="18"/>
        </w:rPr>
        <w:t>4.4  防 渗 墙</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_Toc846 \h </w:instrText>
      </w:r>
      <w:r>
        <w:rPr>
          <w:rFonts w:hint="eastAsia" w:asciiTheme="minorEastAsia" w:hAnsiTheme="minorEastAsia" w:cstheme="minorEastAsia"/>
        </w:rPr>
        <w:fldChar w:fldCharType="separate"/>
      </w:r>
      <w:r>
        <w:rPr>
          <w:rFonts w:hint="eastAsia" w:asciiTheme="minorEastAsia" w:hAnsiTheme="minorEastAsia" w:cstheme="minorEastAsia"/>
        </w:rPr>
        <w:t>99</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"_Toc13082" </w:instrText>
      </w:r>
      <w:r>
        <w:fldChar w:fldCharType="separate"/>
      </w:r>
      <w:r>
        <w:rPr>
          <w:rFonts w:hint="eastAsia" w:asciiTheme="minorEastAsia" w:hAnsiTheme="minorEastAsia" w:cstheme="minorEastAsia"/>
          <w:sz w:val="18"/>
          <w:szCs w:val="18"/>
        </w:rPr>
        <w:t>4.5  基  桩</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_Toc13082 \h </w:instrText>
      </w:r>
      <w:r>
        <w:rPr>
          <w:rFonts w:hint="eastAsia" w:asciiTheme="minorEastAsia" w:hAnsiTheme="minorEastAsia" w:cstheme="minorEastAsia"/>
        </w:rPr>
        <w:fldChar w:fldCharType="separate"/>
      </w:r>
      <w:r>
        <w:rPr>
          <w:rFonts w:hint="eastAsia" w:asciiTheme="minorEastAsia" w:hAnsiTheme="minorEastAsia" w:cstheme="minorEastAsia"/>
        </w:rPr>
        <w:t>99</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"_Toc22811" </w:instrText>
      </w:r>
      <w:r>
        <w:fldChar w:fldCharType="separate"/>
      </w:r>
      <w:r>
        <w:rPr>
          <w:rFonts w:hint="eastAsia" w:asciiTheme="minorEastAsia" w:hAnsiTheme="minorEastAsia" w:cstheme="minorEastAsia"/>
          <w:sz w:val="18"/>
          <w:szCs w:val="18"/>
        </w:rPr>
        <w:t>4.6  支护工程</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_Toc22811 \h </w:instrText>
      </w:r>
      <w:r>
        <w:rPr>
          <w:rFonts w:hint="eastAsia" w:asciiTheme="minorEastAsia" w:hAnsiTheme="minorEastAsia" w:cstheme="minorEastAsia"/>
        </w:rPr>
        <w:fldChar w:fldCharType="separate"/>
      </w:r>
      <w:r>
        <w:rPr>
          <w:rFonts w:hint="eastAsia" w:asciiTheme="minorEastAsia" w:hAnsiTheme="minorEastAsia" w:cstheme="minorEastAsia"/>
        </w:rPr>
        <w:t>99</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"_Toc18263" </w:instrText>
      </w:r>
      <w:r>
        <w:fldChar w:fldCharType="separate"/>
      </w:r>
      <w:r>
        <w:rPr>
          <w:rFonts w:hint="eastAsia" w:asciiTheme="minorEastAsia" w:hAnsiTheme="minorEastAsia" w:eastAsiaTheme="minorEastAsia" w:cstheme="minorEastAsia"/>
          <w:szCs w:val="28"/>
        </w:rPr>
        <w:t>5  土石方工程</w:t>
      </w:r>
      <w:r>
        <w:rPr>
          <w:rFonts w:hint="eastAsia" w:asciiTheme="minorEastAsia" w:hAnsiTheme="minorEastAsia" w:eastAsiaTheme="minorEastAsia" w:cstheme="minorEastAsia"/>
        </w:rPr>
        <w:t>...........................................................</w:t>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_Toc18263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101</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"_Toc6804" </w:instrText>
      </w:r>
      <w:r>
        <w:fldChar w:fldCharType="separate"/>
      </w:r>
      <w:r>
        <w:rPr>
          <w:rFonts w:hint="eastAsia" w:asciiTheme="minorEastAsia" w:hAnsiTheme="minorEastAsia" w:cstheme="minorEastAsia"/>
          <w:sz w:val="18"/>
          <w:szCs w:val="18"/>
        </w:rPr>
        <w:t>5.1  一般规定</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_Toc6804 \h </w:instrText>
      </w:r>
      <w:r>
        <w:rPr>
          <w:rFonts w:hint="eastAsia" w:asciiTheme="minorEastAsia" w:hAnsiTheme="minorEastAsia" w:cstheme="minorEastAsia"/>
        </w:rPr>
        <w:fldChar w:fldCharType="separate"/>
      </w:r>
      <w:r>
        <w:rPr>
          <w:rFonts w:hint="eastAsia" w:asciiTheme="minorEastAsia" w:hAnsiTheme="minorEastAsia" w:cstheme="minorEastAsia"/>
        </w:rPr>
        <w:t>101</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"_Toc19198" </w:instrText>
      </w:r>
      <w:r>
        <w:fldChar w:fldCharType="separate"/>
      </w:r>
      <w:r>
        <w:rPr>
          <w:rFonts w:hint="eastAsia" w:asciiTheme="minorEastAsia" w:hAnsiTheme="minorEastAsia" w:cstheme="minorEastAsia"/>
          <w:sz w:val="18"/>
          <w:szCs w:val="18"/>
        </w:rPr>
        <w:t>5.2  土 石 坝</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_Toc19198 \h </w:instrText>
      </w:r>
      <w:r>
        <w:rPr>
          <w:rFonts w:hint="eastAsia" w:asciiTheme="minorEastAsia" w:hAnsiTheme="minorEastAsia" w:cstheme="minorEastAsia"/>
        </w:rPr>
        <w:fldChar w:fldCharType="separate"/>
      </w:r>
      <w:r>
        <w:rPr>
          <w:rFonts w:hint="eastAsia" w:asciiTheme="minorEastAsia" w:hAnsiTheme="minorEastAsia" w:cstheme="minorEastAsia"/>
        </w:rPr>
        <w:t>101</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"_Toc28563" </w:instrText>
      </w:r>
      <w:r>
        <w:fldChar w:fldCharType="separate"/>
      </w:r>
      <w:r>
        <w:rPr>
          <w:rFonts w:hint="eastAsia" w:asciiTheme="minorEastAsia" w:hAnsiTheme="minorEastAsia" w:cstheme="minorEastAsia"/>
          <w:sz w:val="18"/>
          <w:szCs w:val="18"/>
        </w:rPr>
        <w:t>5.3  堤防与渠道</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_Toc28563 \h </w:instrText>
      </w:r>
      <w:r>
        <w:rPr>
          <w:rFonts w:hint="eastAsia" w:asciiTheme="minorEastAsia" w:hAnsiTheme="minorEastAsia" w:cstheme="minorEastAsia"/>
        </w:rPr>
        <w:fldChar w:fldCharType="separate"/>
      </w:r>
      <w:r>
        <w:rPr>
          <w:rFonts w:hint="eastAsia" w:asciiTheme="minorEastAsia" w:hAnsiTheme="minorEastAsia" w:cstheme="minorEastAsia"/>
        </w:rPr>
        <w:t>101</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"_Toc973" </w:instrText>
      </w:r>
      <w:r>
        <w:fldChar w:fldCharType="separate"/>
      </w:r>
      <w:r>
        <w:rPr>
          <w:rFonts w:hint="eastAsia" w:asciiTheme="minorEastAsia" w:hAnsiTheme="minorEastAsia" w:cstheme="minorEastAsia"/>
          <w:sz w:val="18"/>
          <w:szCs w:val="18"/>
        </w:rPr>
        <w:t>5.4  砌石工程</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_Toc973 \h </w:instrText>
      </w:r>
      <w:r>
        <w:rPr>
          <w:rFonts w:hint="eastAsia" w:asciiTheme="minorEastAsia" w:hAnsiTheme="minorEastAsia" w:cstheme="minorEastAsia"/>
        </w:rPr>
        <w:fldChar w:fldCharType="separate"/>
      </w:r>
      <w:r>
        <w:rPr>
          <w:rFonts w:hint="eastAsia" w:asciiTheme="minorEastAsia" w:hAnsiTheme="minorEastAsia" w:cstheme="minorEastAsia"/>
        </w:rPr>
        <w:t>101</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"_Toc5856" </w:instrText>
      </w:r>
      <w:r>
        <w:fldChar w:fldCharType="separate"/>
      </w:r>
      <w:r>
        <w:rPr>
          <w:rFonts w:hint="eastAsia" w:asciiTheme="minorEastAsia" w:hAnsiTheme="minorEastAsia" w:eastAsiaTheme="minorEastAsia" w:cstheme="minorEastAsia"/>
          <w:szCs w:val="28"/>
        </w:rPr>
        <w:t>6 混凝土工程</w:t>
      </w:r>
      <w:r>
        <w:rPr>
          <w:rFonts w:hint="eastAsia" w:asciiTheme="minorEastAsia" w:hAnsiTheme="minorEastAsia" w:eastAsiaTheme="minorEastAsia" w:cstheme="minorEastAsia"/>
        </w:rPr>
        <w:t>............................................................</w:t>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_Toc5856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102</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"_Toc11599" </w:instrText>
      </w:r>
      <w:r>
        <w:fldChar w:fldCharType="separate"/>
      </w:r>
      <w:r>
        <w:rPr>
          <w:rFonts w:hint="eastAsia" w:asciiTheme="minorEastAsia" w:hAnsiTheme="minorEastAsia" w:cstheme="minorEastAsia"/>
          <w:sz w:val="18"/>
          <w:szCs w:val="18"/>
        </w:rPr>
        <w:t>6.1   一 般 规 定</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_Toc11599 \h </w:instrText>
      </w:r>
      <w:r>
        <w:rPr>
          <w:rFonts w:hint="eastAsia" w:asciiTheme="minorEastAsia" w:hAnsiTheme="minorEastAsia" w:cstheme="minorEastAsia"/>
        </w:rPr>
        <w:fldChar w:fldCharType="separate"/>
      </w:r>
      <w:r>
        <w:rPr>
          <w:rFonts w:hint="eastAsia" w:asciiTheme="minorEastAsia" w:hAnsiTheme="minorEastAsia" w:cstheme="minorEastAsia"/>
        </w:rPr>
        <w:t>102</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"_Toc11164" </w:instrText>
      </w:r>
      <w:r>
        <w:fldChar w:fldCharType="separate"/>
      </w:r>
      <w:r>
        <w:rPr>
          <w:rFonts w:hint="eastAsia" w:asciiTheme="minorEastAsia" w:hAnsiTheme="minorEastAsia" w:cstheme="minorEastAsia"/>
          <w:sz w:val="18"/>
          <w:szCs w:val="18"/>
        </w:rPr>
        <w:t>6.2  混凝土坝</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_Toc11164 \h </w:instrText>
      </w:r>
      <w:r>
        <w:rPr>
          <w:rFonts w:hint="eastAsia" w:asciiTheme="minorEastAsia" w:hAnsiTheme="minorEastAsia" w:cstheme="minorEastAsia"/>
        </w:rPr>
        <w:fldChar w:fldCharType="separate"/>
      </w:r>
      <w:r>
        <w:rPr>
          <w:rFonts w:hint="eastAsia" w:asciiTheme="minorEastAsia" w:hAnsiTheme="minorEastAsia" w:cstheme="minorEastAsia"/>
        </w:rPr>
        <w:t>104</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"_Toc14837" </w:instrText>
      </w:r>
      <w:r>
        <w:fldChar w:fldCharType="separate"/>
      </w:r>
      <w:r>
        <w:rPr>
          <w:rFonts w:hint="eastAsia" w:asciiTheme="minorEastAsia" w:hAnsiTheme="minorEastAsia" w:cstheme="minorEastAsia"/>
          <w:sz w:val="18"/>
          <w:szCs w:val="18"/>
        </w:rPr>
        <w:t>6.3  水闸</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_Toc14837 \h </w:instrText>
      </w:r>
      <w:r>
        <w:rPr>
          <w:rFonts w:hint="eastAsia" w:asciiTheme="minorEastAsia" w:hAnsiTheme="minorEastAsia" w:cstheme="minorEastAsia"/>
        </w:rPr>
        <w:fldChar w:fldCharType="separate"/>
      </w:r>
      <w:r>
        <w:rPr>
          <w:rFonts w:hint="eastAsia" w:asciiTheme="minorEastAsia" w:hAnsiTheme="minorEastAsia" w:cstheme="minorEastAsia"/>
        </w:rPr>
        <w:t>104</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"_Toc32101" </w:instrText>
      </w:r>
      <w:r>
        <w:fldChar w:fldCharType="separate"/>
      </w:r>
      <w:r>
        <w:rPr>
          <w:rFonts w:hint="eastAsia" w:asciiTheme="minorEastAsia" w:hAnsiTheme="minorEastAsia" w:cstheme="minorEastAsia"/>
          <w:sz w:val="18"/>
          <w:szCs w:val="18"/>
        </w:rPr>
        <w:t>6.5  输水建筑物</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_Toc32101 \h </w:instrText>
      </w:r>
      <w:r>
        <w:rPr>
          <w:rFonts w:hint="eastAsia" w:asciiTheme="minorEastAsia" w:hAnsiTheme="minorEastAsia" w:cstheme="minorEastAsia"/>
        </w:rPr>
        <w:fldChar w:fldCharType="separate"/>
      </w:r>
      <w:r>
        <w:rPr>
          <w:rFonts w:hint="eastAsia" w:asciiTheme="minorEastAsia" w:hAnsiTheme="minorEastAsia" w:cstheme="minorEastAsia"/>
        </w:rPr>
        <w:t>105</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"_Toc22763" </w:instrText>
      </w:r>
      <w:r>
        <w:fldChar w:fldCharType="separate"/>
      </w:r>
      <w:r>
        <w:rPr>
          <w:rFonts w:hint="eastAsia" w:asciiTheme="minorEastAsia" w:hAnsiTheme="minorEastAsia" w:cstheme="minorEastAsia"/>
          <w:sz w:val="18"/>
          <w:szCs w:val="18"/>
        </w:rPr>
        <w:t>6.6  通航、过鱼设施</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_Toc22763 \h </w:instrText>
      </w:r>
      <w:r>
        <w:rPr>
          <w:rFonts w:hint="eastAsia" w:asciiTheme="minorEastAsia" w:hAnsiTheme="minorEastAsia" w:cstheme="minorEastAsia"/>
        </w:rPr>
        <w:fldChar w:fldCharType="separate"/>
      </w:r>
      <w:r>
        <w:rPr>
          <w:rFonts w:hint="eastAsia" w:asciiTheme="minorEastAsia" w:hAnsiTheme="minorEastAsia" w:cstheme="minorEastAsia"/>
        </w:rPr>
        <w:t>105</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"_Toc2191" </w:instrText>
      </w:r>
      <w:r>
        <w:fldChar w:fldCharType="separate"/>
      </w:r>
      <w:r>
        <w:rPr>
          <w:rFonts w:hint="eastAsia" w:asciiTheme="minorEastAsia" w:hAnsiTheme="minorEastAsia" w:cstheme="minorEastAsia"/>
          <w:sz w:val="18"/>
          <w:szCs w:val="18"/>
        </w:rPr>
        <w:t>6.7 水下建筑物表观缺陷检测</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_Toc2191 \h </w:instrText>
      </w:r>
      <w:r>
        <w:rPr>
          <w:rFonts w:hint="eastAsia" w:asciiTheme="minorEastAsia" w:hAnsiTheme="minorEastAsia" w:cstheme="minorEastAsia"/>
        </w:rPr>
        <w:fldChar w:fldCharType="separate"/>
      </w:r>
      <w:r>
        <w:rPr>
          <w:rFonts w:hint="eastAsia" w:asciiTheme="minorEastAsia" w:hAnsiTheme="minorEastAsia" w:cstheme="minorEastAsia"/>
        </w:rPr>
        <w:t>105</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"_Toc29026" </w:instrText>
      </w:r>
      <w:r>
        <w:fldChar w:fldCharType="separate"/>
      </w:r>
      <w:r>
        <w:rPr>
          <w:rFonts w:hint="eastAsia" w:asciiTheme="minorEastAsia" w:hAnsiTheme="minorEastAsia" w:eastAsiaTheme="minorEastAsia" w:cstheme="minorEastAsia"/>
          <w:szCs w:val="28"/>
        </w:rPr>
        <w:t>7  金 属 结 构</w:t>
      </w:r>
      <w:r>
        <w:rPr>
          <w:rFonts w:hint="eastAsia" w:asciiTheme="minorEastAsia" w:hAnsiTheme="minorEastAsia" w:eastAsiaTheme="minorEastAsia" w:cstheme="minorEastAsia"/>
        </w:rPr>
        <w:t>..........................................................</w:t>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_Toc29026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107</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"_Toc31648" </w:instrText>
      </w:r>
      <w:r>
        <w:fldChar w:fldCharType="separate"/>
      </w:r>
      <w:r>
        <w:rPr>
          <w:rFonts w:hint="eastAsia" w:asciiTheme="minorEastAsia" w:hAnsiTheme="minorEastAsia" w:cstheme="minorEastAsia"/>
          <w:sz w:val="18"/>
          <w:szCs w:val="18"/>
        </w:rPr>
        <w:t>7.1  一 般 规 定</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_Toc31648 \h </w:instrText>
      </w:r>
      <w:r>
        <w:rPr>
          <w:rFonts w:hint="eastAsia" w:asciiTheme="minorEastAsia" w:hAnsiTheme="minorEastAsia" w:cstheme="minorEastAsia"/>
        </w:rPr>
        <w:fldChar w:fldCharType="separate"/>
      </w:r>
      <w:r>
        <w:rPr>
          <w:rFonts w:hint="eastAsia" w:asciiTheme="minorEastAsia" w:hAnsiTheme="minorEastAsia" w:cstheme="minorEastAsia"/>
        </w:rPr>
        <w:t>107</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"_Toc28980" </w:instrText>
      </w:r>
      <w:r>
        <w:fldChar w:fldCharType="separate"/>
      </w:r>
      <w:r>
        <w:rPr>
          <w:rFonts w:hint="eastAsia" w:asciiTheme="minorEastAsia" w:hAnsiTheme="minorEastAsia" w:cstheme="minorEastAsia"/>
          <w:sz w:val="18"/>
          <w:szCs w:val="18"/>
        </w:rPr>
        <w:t>7.2  闸    门</w:t>
      </w:r>
      <w:r>
        <w:rPr>
          <w:rFonts w:hint="eastAsia" w:asciiTheme="minorEastAsia" w:hAnsiTheme="minorEastAsia" w:cstheme="minorEastAsia"/>
        </w:rPr>
        <w:t>................................................ ........</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_Toc28980 \h </w:instrText>
      </w:r>
      <w:r>
        <w:rPr>
          <w:rFonts w:hint="eastAsia" w:asciiTheme="minorEastAsia" w:hAnsiTheme="minorEastAsia" w:cstheme="minorEastAsia"/>
        </w:rPr>
        <w:fldChar w:fldCharType="separate"/>
      </w:r>
      <w:r>
        <w:rPr>
          <w:rFonts w:hint="eastAsia" w:asciiTheme="minorEastAsia" w:hAnsiTheme="minorEastAsia" w:cstheme="minorEastAsia"/>
        </w:rPr>
        <w:t>108</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"_Toc27708" </w:instrText>
      </w:r>
      <w:r>
        <w:fldChar w:fldCharType="separate"/>
      </w:r>
      <w:r>
        <w:rPr>
          <w:rFonts w:hint="eastAsia" w:asciiTheme="minorEastAsia" w:hAnsiTheme="minorEastAsia" w:cstheme="minorEastAsia"/>
          <w:sz w:val="18"/>
          <w:szCs w:val="18"/>
        </w:rPr>
        <w:t>7.3   压力钢管</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_Toc27708 \h </w:instrText>
      </w:r>
      <w:r>
        <w:rPr>
          <w:rFonts w:hint="eastAsia" w:asciiTheme="minorEastAsia" w:hAnsiTheme="minorEastAsia" w:cstheme="minorEastAsia"/>
        </w:rPr>
        <w:fldChar w:fldCharType="separate"/>
      </w:r>
      <w:r>
        <w:rPr>
          <w:rFonts w:hint="eastAsia" w:asciiTheme="minorEastAsia" w:hAnsiTheme="minorEastAsia" w:cstheme="minorEastAsia"/>
        </w:rPr>
        <w:t>109</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"_Toc24007" </w:instrText>
      </w:r>
      <w:r>
        <w:fldChar w:fldCharType="separate"/>
      </w:r>
      <w:r>
        <w:rPr>
          <w:rFonts w:hint="eastAsia" w:asciiTheme="minorEastAsia" w:hAnsiTheme="minorEastAsia" w:cstheme="minorEastAsia"/>
          <w:sz w:val="18"/>
          <w:szCs w:val="18"/>
        </w:rPr>
        <w:t>7.4   启 闭 机</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_Toc24007 \h </w:instrText>
      </w:r>
      <w:r>
        <w:rPr>
          <w:rFonts w:hint="eastAsia" w:asciiTheme="minorEastAsia" w:hAnsiTheme="minorEastAsia" w:cstheme="minorEastAsia"/>
        </w:rPr>
        <w:fldChar w:fldCharType="separate"/>
      </w:r>
      <w:r>
        <w:rPr>
          <w:rFonts w:hint="eastAsia" w:asciiTheme="minorEastAsia" w:hAnsiTheme="minorEastAsia" w:cstheme="minorEastAsia"/>
        </w:rPr>
        <w:t>110</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"_Toc16242" </w:instrText>
      </w:r>
      <w:r>
        <w:fldChar w:fldCharType="separate"/>
      </w:r>
      <w:r>
        <w:rPr>
          <w:rFonts w:hint="eastAsia" w:asciiTheme="minorEastAsia" w:hAnsiTheme="minorEastAsia" w:cstheme="minorEastAsia"/>
          <w:sz w:val="18"/>
          <w:szCs w:val="18"/>
        </w:rPr>
        <w:t>7.5   清 污 机</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_Toc16242 \h </w:instrText>
      </w:r>
      <w:r>
        <w:rPr>
          <w:rFonts w:hint="eastAsia" w:asciiTheme="minorEastAsia" w:hAnsiTheme="minorEastAsia" w:cstheme="minorEastAsia"/>
        </w:rPr>
        <w:fldChar w:fldCharType="separate"/>
      </w:r>
      <w:r>
        <w:rPr>
          <w:rFonts w:hint="eastAsia" w:asciiTheme="minorEastAsia" w:hAnsiTheme="minorEastAsia" w:cstheme="minorEastAsia"/>
        </w:rPr>
        <w:t>110</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"_Toc7424" </w:instrText>
      </w:r>
      <w:r>
        <w:fldChar w:fldCharType="separate"/>
      </w:r>
      <w:r>
        <w:rPr>
          <w:rFonts w:hint="eastAsia" w:asciiTheme="minorEastAsia" w:hAnsiTheme="minorEastAsia" w:eastAsiaTheme="minorEastAsia" w:cstheme="minorEastAsia"/>
          <w:szCs w:val="28"/>
        </w:rPr>
        <w:t>8   机 械 电 气</w:t>
      </w:r>
      <w:r>
        <w:rPr>
          <w:rFonts w:hint="eastAsia" w:asciiTheme="minorEastAsia" w:hAnsiTheme="minorEastAsia" w:eastAsiaTheme="minorEastAsia" w:cstheme="minorEastAsia"/>
        </w:rPr>
        <w:t>.........................................................</w:t>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_Toc7424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112</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"_Toc19540" </w:instrText>
      </w:r>
      <w:r>
        <w:fldChar w:fldCharType="separate"/>
      </w:r>
      <w:r>
        <w:rPr>
          <w:rFonts w:hint="eastAsia" w:asciiTheme="minorEastAsia" w:hAnsiTheme="minorEastAsia" w:cstheme="minorEastAsia"/>
          <w:sz w:val="18"/>
          <w:szCs w:val="18"/>
        </w:rPr>
        <w:t>8.1   一般规定</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_Toc19540 \h </w:instrText>
      </w:r>
      <w:r>
        <w:rPr>
          <w:rFonts w:hint="eastAsia" w:asciiTheme="minorEastAsia" w:hAnsiTheme="minorEastAsia" w:cstheme="minorEastAsia"/>
        </w:rPr>
        <w:fldChar w:fldCharType="separate"/>
      </w:r>
      <w:r>
        <w:rPr>
          <w:rFonts w:hint="eastAsia" w:asciiTheme="minorEastAsia" w:hAnsiTheme="minorEastAsia" w:cstheme="minorEastAsia"/>
        </w:rPr>
        <w:t>112</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"_Toc14155" </w:instrText>
      </w:r>
      <w:r>
        <w:fldChar w:fldCharType="separate"/>
      </w:r>
      <w:r>
        <w:rPr>
          <w:rFonts w:hint="eastAsia" w:asciiTheme="minorEastAsia" w:hAnsiTheme="minorEastAsia" w:cstheme="minorEastAsia"/>
          <w:sz w:val="18"/>
          <w:szCs w:val="18"/>
        </w:rPr>
        <w:t>8.2  水力机械及附属设备</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_Toc14155 \h </w:instrText>
      </w:r>
      <w:r>
        <w:rPr>
          <w:rFonts w:hint="eastAsia" w:asciiTheme="minorEastAsia" w:hAnsiTheme="minorEastAsia" w:cstheme="minorEastAsia"/>
        </w:rPr>
        <w:fldChar w:fldCharType="separate"/>
      </w:r>
      <w:r>
        <w:rPr>
          <w:rFonts w:hint="eastAsia" w:asciiTheme="minorEastAsia" w:hAnsiTheme="minorEastAsia" w:cstheme="minorEastAsia"/>
        </w:rPr>
        <w:t>112</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"_Toc22722" </w:instrText>
      </w:r>
      <w:r>
        <w:fldChar w:fldCharType="separate"/>
      </w:r>
      <w:r>
        <w:rPr>
          <w:rFonts w:hint="eastAsia" w:asciiTheme="minorEastAsia" w:hAnsiTheme="minorEastAsia" w:cstheme="minorEastAsia"/>
          <w:sz w:val="18"/>
          <w:szCs w:val="18"/>
        </w:rPr>
        <w:t>8.3  电机及附属设备</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_Toc22722 \h </w:instrText>
      </w:r>
      <w:r>
        <w:rPr>
          <w:rFonts w:hint="eastAsia" w:asciiTheme="minorEastAsia" w:hAnsiTheme="minorEastAsia" w:cstheme="minorEastAsia"/>
        </w:rPr>
        <w:fldChar w:fldCharType="separate"/>
      </w:r>
      <w:r>
        <w:rPr>
          <w:rFonts w:hint="eastAsia" w:asciiTheme="minorEastAsia" w:hAnsiTheme="minorEastAsia" w:cstheme="minorEastAsia"/>
        </w:rPr>
        <w:t>115</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"_Toc9659" </w:instrText>
      </w:r>
      <w:r>
        <w:fldChar w:fldCharType="separate"/>
      </w:r>
      <w:r>
        <w:rPr>
          <w:rFonts w:hint="eastAsia" w:asciiTheme="minorEastAsia" w:hAnsiTheme="minorEastAsia" w:cstheme="minorEastAsia"/>
          <w:sz w:val="18"/>
          <w:szCs w:val="18"/>
        </w:rPr>
        <w:t>8.4   高压电气设备</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_Toc9659 \h </w:instrText>
      </w:r>
      <w:r>
        <w:rPr>
          <w:rFonts w:hint="eastAsia" w:asciiTheme="minorEastAsia" w:hAnsiTheme="minorEastAsia" w:cstheme="minorEastAsia"/>
        </w:rPr>
        <w:fldChar w:fldCharType="separate"/>
      </w:r>
      <w:r>
        <w:rPr>
          <w:rFonts w:hint="eastAsia" w:asciiTheme="minorEastAsia" w:hAnsiTheme="minorEastAsia" w:cstheme="minorEastAsia"/>
        </w:rPr>
        <w:t>116</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"_Toc24934" </w:instrText>
      </w:r>
      <w:r>
        <w:fldChar w:fldCharType="separate"/>
      </w:r>
      <w:r>
        <w:rPr>
          <w:rFonts w:hint="eastAsia" w:asciiTheme="minorEastAsia" w:hAnsiTheme="minorEastAsia" w:cstheme="minorEastAsia"/>
          <w:sz w:val="18"/>
          <w:szCs w:val="18"/>
        </w:rPr>
        <w:t>8.5   电气二次设备</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_Toc24934 \h </w:instrText>
      </w:r>
      <w:r>
        <w:rPr>
          <w:rFonts w:hint="eastAsia" w:asciiTheme="minorEastAsia" w:hAnsiTheme="minorEastAsia" w:cstheme="minorEastAsia"/>
        </w:rPr>
        <w:fldChar w:fldCharType="separate"/>
      </w:r>
      <w:r>
        <w:rPr>
          <w:rFonts w:hint="eastAsia" w:asciiTheme="minorEastAsia" w:hAnsiTheme="minorEastAsia" w:cstheme="minorEastAsia"/>
        </w:rPr>
        <w:t>116</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"_Toc25233" </w:instrText>
      </w:r>
      <w:r>
        <w:fldChar w:fldCharType="separate"/>
      </w:r>
      <w:r>
        <w:rPr>
          <w:rFonts w:hint="eastAsia" w:asciiTheme="minorEastAsia" w:hAnsiTheme="minorEastAsia" w:eastAsiaTheme="minorEastAsia" w:cstheme="minorEastAsia"/>
          <w:szCs w:val="28"/>
        </w:rPr>
        <w:t>9  外观测量</w:t>
      </w:r>
      <w:r>
        <w:rPr>
          <w:rFonts w:hint="eastAsia" w:asciiTheme="minorEastAsia" w:hAnsiTheme="minorEastAsia" w:eastAsiaTheme="minorEastAsia" w:cstheme="minorEastAsia"/>
        </w:rPr>
        <w:t>.............................................................</w:t>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_Toc25233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117</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"_Toc11962" </w:instrText>
      </w:r>
      <w:r>
        <w:fldChar w:fldCharType="separate"/>
      </w:r>
      <w:r>
        <w:rPr>
          <w:rFonts w:hint="eastAsia" w:asciiTheme="minorEastAsia" w:hAnsiTheme="minorEastAsia" w:cstheme="minorEastAsia"/>
          <w:sz w:val="18"/>
          <w:szCs w:val="18"/>
        </w:rPr>
        <w:t>9.2  检测项目及测区布置和数量</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_Toc11962 \h </w:instrText>
      </w:r>
      <w:r>
        <w:rPr>
          <w:rFonts w:hint="eastAsia" w:asciiTheme="minorEastAsia" w:hAnsiTheme="minorEastAsia" w:cstheme="minorEastAsia"/>
        </w:rPr>
        <w:fldChar w:fldCharType="separate"/>
      </w:r>
      <w:r>
        <w:rPr>
          <w:rFonts w:hint="eastAsia" w:asciiTheme="minorEastAsia" w:hAnsiTheme="minorEastAsia" w:cstheme="minorEastAsia"/>
        </w:rPr>
        <w:t>117</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"_Toc22197" </w:instrText>
      </w:r>
      <w:r>
        <w:fldChar w:fldCharType="separate"/>
      </w:r>
      <w:r>
        <w:rPr>
          <w:rFonts w:hint="eastAsia" w:asciiTheme="minorEastAsia" w:hAnsiTheme="minorEastAsia" w:cstheme="minorEastAsia"/>
          <w:sz w:val="18"/>
          <w:szCs w:val="18"/>
        </w:rPr>
        <w:t>9.3  检测方法</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_Toc22197 \h </w:instrText>
      </w:r>
      <w:r>
        <w:rPr>
          <w:rFonts w:hint="eastAsia" w:asciiTheme="minorEastAsia" w:hAnsiTheme="minorEastAsia" w:cstheme="minorEastAsia"/>
        </w:rPr>
        <w:fldChar w:fldCharType="separate"/>
      </w:r>
      <w:r>
        <w:rPr>
          <w:rFonts w:hint="eastAsia" w:asciiTheme="minorEastAsia" w:hAnsiTheme="minorEastAsia" w:cstheme="minorEastAsia"/>
        </w:rPr>
        <w:t>117</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"_Toc1805" </w:instrText>
      </w:r>
      <w:r>
        <w:fldChar w:fldCharType="separate"/>
      </w:r>
      <w:r>
        <w:rPr>
          <w:rFonts w:hint="eastAsia" w:asciiTheme="minorEastAsia" w:hAnsiTheme="minorEastAsia" w:cstheme="minorEastAsia"/>
          <w:sz w:val="18"/>
          <w:szCs w:val="18"/>
        </w:rPr>
        <w:t>9.4  结果评价</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_Toc1805 \h </w:instrText>
      </w:r>
      <w:r>
        <w:rPr>
          <w:rFonts w:hint="eastAsia" w:asciiTheme="minorEastAsia" w:hAnsiTheme="minorEastAsia" w:cstheme="minorEastAsia"/>
        </w:rPr>
        <w:fldChar w:fldCharType="separate"/>
      </w:r>
      <w:r>
        <w:rPr>
          <w:rFonts w:hint="eastAsia" w:asciiTheme="minorEastAsia" w:hAnsiTheme="minorEastAsia" w:cstheme="minorEastAsia"/>
        </w:rPr>
        <w:t>117</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16"/>
        <w:tabs>
          <w:tab w:val="right" w:leader="dot" w:pos="8304"/>
        </w:tabs>
        <w:rPr>
          <w:rFonts w:hint="eastAsia" w:asciiTheme="minorEastAsia" w:hAnsiTheme="minorEastAsia" w:eastAsiaTheme="minorEastAsia" w:cstheme="minorEastAsia"/>
        </w:rPr>
      </w:pPr>
      <w:r>
        <w:fldChar w:fldCharType="begin"/>
      </w:r>
      <w:r>
        <w:instrText xml:space="preserve"> HYPERLINK \l "_Toc21531" </w:instrText>
      </w:r>
      <w:r>
        <w:fldChar w:fldCharType="separate"/>
      </w:r>
      <w:r>
        <w:rPr>
          <w:rFonts w:hint="eastAsia" w:asciiTheme="minorEastAsia" w:hAnsiTheme="minorEastAsia" w:eastAsiaTheme="minorEastAsia" w:cstheme="minorEastAsia"/>
          <w:szCs w:val="28"/>
        </w:rPr>
        <w:t>10   信息化系统</w:t>
      </w:r>
      <w:r>
        <w:rPr>
          <w:rFonts w:hint="eastAsia" w:asciiTheme="minorEastAsia" w:hAnsiTheme="minorEastAsia" w:eastAsiaTheme="minorEastAsia" w:cstheme="minorEastAsia"/>
        </w:rPr>
        <w:t>.........................................................</w:t>
      </w:r>
      <w:r>
        <w:rPr>
          <w:rFonts w:hint="eastAsia" w:asciiTheme="minorEastAsia" w:hAnsiTheme="minorEastAsia" w:eastAsiaTheme="minorEastAsia" w:cstheme="minorEastAsia"/>
        </w:rPr>
        <w:fldChar w:fldCharType="begin"/>
      </w:r>
      <w:r>
        <w:rPr>
          <w:rFonts w:hint="eastAsia" w:asciiTheme="minorEastAsia" w:hAnsiTheme="minorEastAsia" w:eastAsiaTheme="minorEastAsia" w:cstheme="minorEastAsia"/>
        </w:rPr>
        <w:instrText xml:space="preserve"> PAGEREF _Toc21531 \h </w:instrText>
      </w:r>
      <w:r>
        <w:rPr>
          <w:rFonts w:hint="eastAsia" w:asciiTheme="minorEastAsia" w:hAnsiTheme="minorEastAsia" w:eastAsiaTheme="minorEastAsia" w:cstheme="minorEastAsia"/>
        </w:rPr>
        <w:fldChar w:fldCharType="separate"/>
      </w:r>
      <w:r>
        <w:rPr>
          <w:rFonts w:hint="eastAsia" w:asciiTheme="minorEastAsia" w:hAnsiTheme="minorEastAsia" w:eastAsiaTheme="minorEastAsia" w:cstheme="minorEastAsia"/>
        </w:rPr>
        <w:t>118</w:t>
      </w:r>
      <w:r>
        <w:rPr>
          <w:rFonts w:hint="eastAsia" w:asciiTheme="minorEastAsia" w:hAnsiTheme="minorEastAsia" w:eastAsiaTheme="minorEastAsia" w:cstheme="minorEastAsia"/>
        </w:rPr>
        <w:fldChar w:fldCharType="end"/>
      </w:r>
      <w:r>
        <w:rPr>
          <w:rFonts w:hint="eastAsia" w:asciiTheme="minorEastAsia" w:hAnsiTheme="minorEastAsia" w:eastAsia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"_Toc3553" </w:instrText>
      </w:r>
      <w:r>
        <w:fldChar w:fldCharType="separate"/>
      </w:r>
      <w:r>
        <w:rPr>
          <w:rFonts w:hint="eastAsia" w:asciiTheme="minorEastAsia" w:hAnsiTheme="minorEastAsia" w:cstheme="minorEastAsia"/>
          <w:sz w:val="18"/>
          <w:szCs w:val="18"/>
        </w:rPr>
        <w:t>10.1   一般规定</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_Toc3553 \h </w:instrText>
      </w:r>
      <w:r>
        <w:rPr>
          <w:rFonts w:hint="eastAsia" w:asciiTheme="minorEastAsia" w:hAnsiTheme="minorEastAsia" w:cstheme="minorEastAsia"/>
        </w:rPr>
        <w:fldChar w:fldCharType="separate"/>
      </w:r>
      <w:r>
        <w:rPr>
          <w:rFonts w:hint="eastAsia" w:asciiTheme="minorEastAsia" w:hAnsiTheme="minorEastAsia" w:cstheme="minorEastAsia"/>
        </w:rPr>
        <w:t>118</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"_Toc3118" </w:instrText>
      </w:r>
      <w:r>
        <w:fldChar w:fldCharType="separate"/>
      </w:r>
      <w:r>
        <w:rPr>
          <w:rFonts w:hint="eastAsia" w:asciiTheme="minorEastAsia" w:hAnsiTheme="minorEastAsia" w:cstheme="minorEastAsia"/>
          <w:sz w:val="18"/>
          <w:szCs w:val="18"/>
        </w:rPr>
        <w:t>10.2   感知系统</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_Toc3118 \h </w:instrText>
      </w:r>
      <w:r>
        <w:rPr>
          <w:rFonts w:hint="eastAsia" w:asciiTheme="minorEastAsia" w:hAnsiTheme="minorEastAsia" w:cstheme="minorEastAsia"/>
        </w:rPr>
        <w:fldChar w:fldCharType="separate"/>
      </w:r>
      <w:r>
        <w:rPr>
          <w:rFonts w:hint="eastAsia" w:asciiTheme="minorEastAsia" w:hAnsiTheme="minorEastAsia" w:cstheme="minorEastAsia"/>
        </w:rPr>
        <w:t>118</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"_Toc8991" </w:instrText>
      </w:r>
      <w:r>
        <w:fldChar w:fldCharType="separate"/>
      </w:r>
      <w:r>
        <w:rPr>
          <w:rFonts w:hint="eastAsia" w:asciiTheme="minorEastAsia" w:hAnsiTheme="minorEastAsia" w:cstheme="minorEastAsia"/>
          <w:sz w:val="18"/>
          <w:szCs w:val="18"/>
        </w:rPr>
        <w:t>10.3   系统和应用软件</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_Toc8991 \h </w:instrText>
      </w:r>
      <w:r>
        <w:rPr>
          <w:rFonts w:hint="eastAsia" w:asciiTheme="minorEastAsia" w:hAnsiTheme="minorEastAsia" w:cstheme="minorEastAsia"/>
        </w:rPr>
        <w:fldChar w:fldCharType="separate"/>
      </w:r>
      <w:r>
        <w:rPr>
          <w:rFonts w:hint="eastAsia" w:asciiTheme="minorEastAsia" w:hAnsiTheme="minorEastAsia" w:cstheme="minorEastAsia"/>
        </w:rPr>
        <w:t>118</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pStyle w:val="8"/>
        <w:tabs>
          <w:tab w:val="right" w:leader="dot" w:pos="8304"/>
        </w:tabs>
        <w:rPr>
          <w:rFonts w:hint="eastAsia" w:asciiTheme="minorEastAsia" w:hAnsiTheme="minorEastAsia" w:cstheme="minorEastAsia"/>
        </w:rPr>
      </w:pPr>
      <w:r>
        <w:fldChar w:fldCharType="begin"/>
      </w:r>
      <w:r>
        <w:instrText xml:space="preserve"> HYPERLINK \l "_Toc10931" </w:instrText>
      </w:r>
      <w:r>
        <w:fldChar w:fldCharType="separate"/>
      </w:r>
      <w:r>
        <w:rPr>
          <w:rFonts w:hint="eastAsia" w:asciiTheme="minorEastAsia" w:hAnsiTheme="minorEastAsia" w:cstheme="minorEastAsia"/>
          <w:sz w:val="18"/>
          <w:szCs w:val="18"/>
        </w:rPr>
        <w:t>10.4   硬件设施</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_Toc10931 \h </w:instrText>
      </w:r>
      <w:r>
        <w:rPr>
          <w:rFonts w:hint="eastAsia" w:asciiTheme="minorEastAsia" w:hAnsiTheme="minorEastAsia" w:cstheme="minorEastAsia"/>
        </w:rPr>
        <w:fldChar w:fldCharType="separate"/>
      </w:r>
      <w:r>
        <w:rPr>
          <w:rFonts w:hint="eastAsia" w:asciiTheme="minorEastAsia" w:hAnsiTheme="minorEastAsia" w:cstheme="minorEastAsia"/>
        </w:rPr>
        <w:t>119</w:t>
      </w:r>
      <w:r>
        <w:rPr>
          <w:rFonts w:hint="eastAsia" w:asciiTheme="minorEastAsia" w:hAnsiTheme="minorEastAsia" w:cstheme="minorEastAsia"/>
        </w:rPr>
        <w:fldChar w:fldCharType="end"/>
      </w:r>
      <w:r>
        <w:rPr>
          <w:rFonts w:hint="eastAsia" w:asciiTheme="minorEastAsia" w:hAnsiTheme="minorEastAsia" w:cstheme="minorEastAsia"/>
        </w:rPr>
        <w:fldChar w:fldCharType="end"/>
      </w:r>
    </w:p>
    <w:p>
      <w:pPr>
        <w:ind w:firstLine="840" w:firstLineChars="400"/>
        <w:rPr>
          <w:rFonts w:hint="eastAsia" w:asciiTheme="minorEastAsia" w:hAnsiTheme="minorEastAsia" w:cstheme="minorEastAsia"/>
          <w:spacing w:val="9"/>
          <w:position w:val="-1"/>
          <w:szCs w:val="21"/>
        </w:rPr>
      </w:pPr>
      <w:r>
        <w:fldChar w:fldCharType="begin"/>
      </w:r>
      <w:r>
        <w:instrText xml:space="preserve"> HYPERLINK \l "_Toc26860" </w:instrText>
      </w:r>
      <w:r>
        <w:fldChar w:fldCharType="separate"/>
      </w:r>
      <w:r>
        <w:rPr>
          <w:rFonts w:hint="eastAsia" w:asciiTheme="minorEastAsia" w:hAnsiTheme="minorEastAsia" w:cstheme="minorEastAsia"/>
          <w:sz w:val="18"/>
          <w:szCs w:val="18"/>
        </w:rPr>
        <w:t>10.5   数据资源</w:t>
      </w:r>
      <w:r>
        <w:rPr>
          <w:rFonts w:hint="eastAsia" w:asciiTheme="minorEastAsia" w:hAnsiTheme="minorEastAsia" w:cstheme="minorEastAsia"/>
        </w:rPr>
        <w:t>.......................................................</w:t>
      </w:r>
      <w:r>
        <w:rPr>
          <w:rFonts w:hint="eastAsia" w:asciiTheme="minorEastAsia" w:hAnsiTheme="minorEastAsia" w:cstheme="minorEastAsia"/>
        </w:rPr>
        <w:fldChar w:fldCharType="begin"/>
      </w:r>
      <w:r>
        <w:rPr>
          <w:rFonts w:hint="eastAsia" w:asciiTheme="minorEastAsia" w:hAnsiTheme="minorEastAsia" w:cstheme="minorEastAsia"/>
        </w:rPr>
        <w:instrText xml:space="preserve"> PAGEREF _Toc26860 \h </w:instrText>
      </w:r>
      <w:r>
        <w:rPr>
          <w:rFonts w:hint="eastAsia" w:asciiTheme="minorEastAsia" w:hAnsiTheme="minorEastAsia" w:cstheme="minorEastAsia"/>
        </w:rPr>
        <w:fldChar w:fldCharType="separate"/>
      </w:r>
      <w:r>
        <w:rPr>
          <w:rFonts w:hint="eastAsia" w:asciiTheme="minorEastAsia" w:hAnsiTheme="minorEastAsia" w:cstheme="minorEastAsia"/>
        </w:rPr>
        <w:t>119</w:t>
      </w:r>
      <w:r>
        <w:rPr>
          <w:rFonts w:hint="eastAsia" w:asciiTheme="minorEastAsia" w:hAnsiTheme="minorEastAsia" w:cstheme="minorEastAsia"/>
        </w:rPr>
        <w:fldChar w:fldCharType="end"/>
      </w:r>
      <w:r>
        <w:rPr>
          <w:rFonts w:hint="eastAsia" w:asciiTheme="minorEastAsia" w:hAnsiTheme="minorEastAsia" w:cstheme="minorEastAsia"/>
        </w:rPr>
        <w:fldChar w:fldCharType="end"/>
      </w:r>
      <w:r>
        <w:rPr>
          <w:rFonts w:hint="eastAsia" w:asciiTheme="minorEastAsia" w:hAnsiTheme="minorEastAsia" w:cstheme="minorEastAsia"/>
          <w:spacing w:val="9"/>
          <w:position w:val="-1"/>
          <w:szCs w:val="21"/>
        </w:rPr>
        <w:br w:type="page"/>
      </w:r>
    </w:p>
    <w:p>
      <w:pPr>
        <w:pStyle w:val="2"/>
        <w:rPr>
          <w:rFonts w:hint="eastAsia" w:ascii="黑体" w:hAnsi="黑体" w:eastAsia="黑体" w:cs="黑体"/>
          <w:b w:val="0"/>
          <w:bCs w:val="0"/>
          <w:sz w:val="28"/>
          <w:szCs w:val="28"/>
        </w:rPr>
      </w:pPr>
      <w:bookmarkStart w:id="260" w:name="_Toc7197"/>
      <w:bookmarkStart w:id="261" w:name="_Toc11775"/>
      <w:bookmarkStart w:id="262" w:name="_Toc9913"/>
      <w:bookmarkStart w:id="263" w:name="_Toc193028410"/>
      <w:r>
        <w:rPr>
          <w:rFonts w:hint="eastAsia" w:ascii="黑体" w:hAnsi="黑体" w:eastAsia="黑体" w:cs="黑体"/>
          <w:b w:val="0"/>
          <w:bCs w:val="0"/>
          <w:sz w:val="28"/>
          <w:szCs w:val="28"/>
        </w:rPr>
        <w:t>1  总  则</w:t>
      </w:r>
      <w:bookmarkEnd w:id="260"/>
      <w:bookmarkEnd w:id="261"/>
      <w:bookmarkEnd w:id="262"/>
      <w:bookmarkEnd w:id="263"/>
    </w:p>
    <w:p>
      <w:pPr>
        <w:jc w:val="center"/>
        <w:rPr>
          <w:rFonts w:hint="eastAsia" w:ascii="黑体" w:hAnsi="黑体" w:eastAsia="黑体"/>
        </w:rPr>
      </w:pPr>
    </w:p>
    <w:p>
      <w:pPr>
        <w:spacing w:line="360" w:lineRule="auto"/>
        <w:rPr>
          <w:rFonts w:hint="eastAsia" w:ascii="宋体" w:hAnsi="宋体" w:eastAsia="宋体"/>
        </w:rPr>
      </w:pPr>
      <w:r>
        <w:rPr>
          <w:rFonts w:hint="eastAsia" w:ascii="黑体" w:hAnsi="黑体" w:eastAsia="黑体" w:cs="黑体"/>
        </w:rPr>
        <w:t>1.0.1</w:t>
      </w:r>
      <w:r>
        <w:rPr>
          <w:rFonts w:hint="eastAsia" w:ascii="黑体" w:hAnsi="黑体" w:eastAsia="黑体" w:cs="黑体"/>
          <w:lang w:eastAsia="zh-CN"/>
        </w:rPr>
        <w:t>【</w:t>
      </w:r>
      <w:r>
        <w:rPr>
          <w:rFonts w:hint="eastAsia" w:ascii="黑体" w:hAnsi="黑体" w:eastAsia="黑体" w:cs="黑体"/>
        </w:rPr>
        <w:t>修订</w:t>
      </w:r>
      <w:r>
        <w:rPr>
          <w:rFonts w:hint="eastAsia" w:ascii="黑体" w:hAnsi="黑体" w:eastAsia="黑体" w:cs="黑体"/>
          <w:lang w:eastAsia="zh-CN"/>
        </w:rPr>
        <w:t>】</w:t>
      </w:r>
      <w:r>
        <w:rPr>
          <w:rFonts w:hint="eastAsia" w:ascii="黑体" w:hAnsi="黑体" w:eastAsia="黑体" w:cs="黑体"/>
        </w:rPr>
        <w:t xml:space="preserve"> </w:t>
      </w:r>
      <w:r>
        <w:rPr>
          <w:rFonts w:hint="eastAsia" w:ascii="宋体" w:hAnsi="宋体" w:eastAsia="宋体"/>
        </w:rPr>
        <w:t>水利工程质量检测工作最先按照2000年1月4日水利部发布的《水利工程质量检测管理规定》（水建管[2000]2号）实施，2009年1月1日按照新颁布的《水利工程质量检测管理规定》（水利部令第 36号）实施，但一直没有操作层面的规程可依。随着国家对水利工程质量管理工作日趋重视，质量检测工作更加重要，编制一本关于质量检测技术的规程已是迫在眉睫。水利部于2016年6月7日批准发布《水利工程质量检测技术规程》(SL734-2016),并于9月7日起实施。该标准发布实施8年多来，对水利工程质量检测管理，规范水利工程质量检测行为，发挥了积极作用，为水利工程高质量发展提供了强有力的支撑。随着发展进入新阶段，水利部为推动水利高质量发展，统筹水利发展和安全，对水利工程质量管理工作提出了新的更高要求，旧版标准已不适应水利工程技术发展的需求。为了进一步加强水利工程质量检测管理，规范检测行为、保证检测工作质量，使检测工作标准化、规范化、程序化，满足现阶段高质量发展要求，同时与有关法律法规相适应，与相关规程规范相协调，需要对《水利工程质量检测技术规程》（SL734-2016）进行修订。</w:t>
      </w:r>
    </w:p>
    <w:p>
      <w:pPr>
        <w:spacing w:line="360" w:lineRule="auto"/>
        <w:rPr>
          <w:rFonts w:hint="eastAsia" w:ascii="宋体" w:hAnsi="宋体" w:eastAsia="宋体"/>
        </w:rPr>
      </w:pPr>
      <w:r>
        <w:rPr>
          <w:rFonts w:hint="eastAsia" w:ascii="黑体" w:hAnsi="黑体" w:eastAsia="黑体" w:cs="黑体"/>
        </w:rPr>
        <w:t>1.0.2</w:t>
      </w:r>
      <w:r>
        <w:rPr>
          <w:rFonts w:hint="eastAsia" w:ascii="黑体" w:hAnsi="黑体" w:eastAsia="黑体" w:cs="黑体"/>
          <w:lang w:eastAsia="zh-CN"/>
        </w:rPr>
        <w:t>【</w:t>
      </w:r>
      <w:r>
        <w:rPr>
          <w:rFonts w:hint="eastAsia" w:ascii="黑体" w:hAnsi="黑体" w:eastAsia="黑体" w:cs="黑体"/>
        </w:rPr>
        <w:t>修订</w:t>
      </w:r>
      <w:r>
        <w:rPr>
          <w:rFonts w:hint="eastAsia" w:ascii="黑体" w:hAnsi="黑体" w:eastAsia="黑体" w:cs="黑体"/>
          <w:lang w:eastAsia="zh-CN"/>
        </w:rPr>
        <w:t>】</w:t>
      </w:r>
      <w:r>
        <w:rPr>
          <w:rFonts w:hint="eastAsia" w:ascii="黑体" w:hAnsi="黑体" w:eastAsia="黑体" w:cs="黑体"/>
        </w:rPr>
        <w:t xml:space="preserve"> </w:t>
      </w:r>
      <w:r>
        <w:rPr>
          <w:rFonts w:hint="eastAsia" w:ascii="宋体" w:hAnsi="宋体" w:eastAsia="宋体"/>
        </w:rPr>
        <w:t>原标准对适用范围提出了工程规模的要求。按照《水利工程质量检测管理规定》(水利部令36号)，原标准提出的工程规模的适用范围其实质是缩小了检测规程的适用范围，与水利部36号令的精神相违背，在此做出调整。</w:t>
      </w:r>
    </w:p>
    <w:p>
      <w:pPr>
        <w:spacing w:line="360" w:lineRule="auto"/>
        <w:rPr>
          <w:rFonts w:hint="eastAsia" w:ascii="宋体" w:hAnsi="宋体" w:eastAsia="宋体"/>
        </w:rPr>
      </w:pPr>
      <w:r>
        <w:rPr>
          <w:rFonts w:hint="eastAsia" w:ascii="黑体" w:hAnsi="黑体" w:eastAsia="黑体" w:cs="黑体"/>
        </w:rPr>
        <w:t>1.0.3</w:t>
      </w:r>
      <w:r>
        <w:rPr>
          <w:rFonts w:hint="eastAsia" w:ascii="黑体" w:hAnsi="黑体" w:eastAsia="黑体" w:cs="黑体"/>
          <w:lang w:eastAsia="zh-CN"/>
        </w:rPr>
        <w:t>【</w:t>
      </w:r>
      <w:r>
        <w:rPr>
          <w:rFonts w:hint="eastAsia" w:ascii="黑体" w:hAnsi="黑体" w:eastAsia="黑体" w:cs="黑体"/>
        </w:rPr>
        <w:t>修订</w:t>
      </w:r>
      <w:r>
        <w:rPr>
          <w:rFonts w:hint="eastAsia" w:ascii="黑体" w:hAnsi="黑体" w:eastAsia="黑体" w:cs="黑体"/>
          <w:lang w:eastAsia="zh-CN"/>
        </w:rPr>
        <w:t>】</w:t>
      </w:r>
      <w:r>
        <w:rPr>
          <w:rFonts w:hint="eastAsia" w:ascii="黑体" w:hAnsi="黑体" w:eastAsia="黑体" w:cs="黑体"/>
        </w:rPr>
        <w:t xml:space="preserve"> </w:t>
      </w:r>
      <w:r>
        <w:rPr>
          <w:rFonts w:hint="eastAsia" w:ascii="宋体" w:hAnsi="宋体" w:eastAsia="宋体"/>
        </w:rPr>
        <w:t>因本标准不涉及工程的质量评价，本次修订将引导语中质量评价改为结果评价。在质量检测过程中，当有多个技术标准可选用时，优先选用水利行业标准，其次是国家标准、其他行业标准；当设计指标与技术标准不一致时，优先选用设计指标。</w:t>
      </w:r>
    </w:p>
    <w:p>
      <w:pPr>
        <w:rPr>
          <w:rFonts w:hint="eastAsia" w:ascii="宋体" w:hAnsi="宋体" w:eastAsia="宋体" w:cs="宋体"/>
        </w:rPr>
      </w:pPr>
      <w:r>
        <w:rPr>
          <w:rFonts w:hint="eastAsia" w:ascii="宋体" w:hAnsi="宋体" w:eastAsia="宋体" w:cs="宋体"/>
        </w:rPr>
        <w:br w:type="page"/>
      </w:r>
    </w:p>
    <w:p>
      <w:pPr>
        <w:pStyle w:val="2"/>
        <w:rPr>
          <w:rFonts w:hint="eastAsia" w:ascii="黑体" w:hAnsi="黑体" w:eastAsia="黑体" w:cs="黑体"/>
          <w:b w:val="0"/>
          <w:bCs w:val="0"/>
          <w:sz w:val="28"/>
          <w:szCs w:val="28"/>
        </w:rPr>
      </w:pPr>
      <w:bookmarkStart w:id="264" w:name="_Toc23122"/>
      <w:bookmarkStart w:id="265" w:name="_Toc24052"/>
      <w:bookmarkStart w:id="266" w:name="_Toc193028411"/>
      <w:bookmarkStart w:id="267" w:name="_Toc21812"/>
      <w:r>
        <w:rPr>
          <w:rFonts w:hint="eastAsia" w:ascii="黑体" w:hAnsi="黑体" w:eastAsia="黑体" w:cs="黑体"/>
          <w:b w:val="0"/>
          <w:bCs w:val="0"/>
          <w:sz w:val="28"/>
          <w:szCs w:val="28"/>
        </w:rPr>
        <w:t>2  术  语</w:t>
      </w:r>
      <w:bookmarkEnd w:id="264"/>
      <w:bookmarkEnd w:id="265"/>
      <w:bookmarkEnd w:id="266"/>
      <w:bookmarkEnd w:id="267"/>
    </w:p>
    <w:p>
      <w:pPr>
        <w:jc w:val="center"/>
        <w:rPr>
          <w:rFonts w:hint="eastAsia" w:ascii="黑体" w:hAnsi="黑体" w:eastAsia="黑体"/>
          <w:b/>
          <w:bCs/>
          <w:sz w:val="28"/>
          <w:szCs w:val="32"/>
        </w:rPr>
      </w:pPr>
    </w:p>
    <w:p>
      <w:pPr>
        <w:spacing w:line="360" w:lineRule="auto"/>
        <w:rPr>
          <w:rFonts w:hint="eastAsia" w:ascii="黑体" w:hAnsi="黑体" w:eastAsia="黑体" w:cs="黑体"/>
        </w:rPr>
      </w:pPr>
      <w:r>
        <w:rPr>
          <w:rFonts w:hint="eastAsia" w:ascii="黑体" w:hAnsi="黑体" w:eastAsia="黑体" w:cs="黑体"/>
        </w:rPr>
        <w:t>2.0.2</w:t>
      </w:r>
      <w:r>
        <w:rPr>
          <w:rFonts w:hint="eastAsia" w:ascii="黑体" w:hAnsi="黑体" w:eastAsia="黑体" w:cs="黑体"/>
          <w:lang w:eastAsia="zh-CN"/>
        </w:rPr>
        <w:t>【</w:t>
      </w:r>
      <w:r>
        <w:rPr>
          <w:rFonts w:hint="eastAsia" w:ascii="黑体" w:hAnsi="黑体" w:eastAsia="黑体" w:cs="黑体"/>
        </w:rPr>
        <w:t>修订</w:t>
      </w:r>
      <w:r>
        <w:rPr>
          <w:rFonts w:hint="eastAsia" w:ascii="黑体" w:hAnsi="黑体" w:eastAsia="黑体" w:cs="黑体"/>
          <w:lang w:eastAsia="zh-CN"/>
        </w:rPr>
        <w:t>】</w:t>
      </w:r>
      <w:r>
        <w:rPr>
          <w:rFonts w:hint="eastAsia" w:ascii="黑体" w:hAnsi="黑体" w:eastAsia="黑体" w:cs="黑体"/>
        </w:rPr>
        <w:t xml:space="preserve"> </w:t>
      </w:r>
      <w:r>
        <w:rPr>
          <w:rFonts w:hint="eastAsia" w:ascii="宋体" w:hAnsi="宋体" w:eastAsia="宋体"/>
        </w:rPr>
        <w:t>检测单元是本标准的新提法。检测过程中检测对象的统计单位众多，有的按长度米、有的按面积平方，有的按单个构（部）件根、个，设备按台（套）等，为了统一称谓，便于检测工作开展，用检测单元统一称谓检测对象划分的最小单位。与以前检测工作开展时所用的测区、测线、测点等有所区别，通常意义上，检测单元所表示的范围要大于测区、测线和测点。</w:t>
      </w:r>
    </w:p>
    <w:p>
      <w:pPr>
        <w:spacing w:line="360" w:lineRule="auto"/>
        <w:rPr>
          <w:rFonts w:hint="eastAsia" w:ascii="宋体" w:hAnsi="宋体" w:eastAsia="宋体"/>
        </w:rPr>
      </w:pPr>
      <w:r>
        <w:rPr>
          <w:rFonts w:hint="eastAsia" w:ascii="黑体" w:hAnsi="黑体" w:eastAsia="黑体" w:cs="黑体"/>
        </w:rPr>
        <w:t xml:space="preserve">2.0.3～2.0.5  </w:t>
      </w:r>
      <w:r>
        <w:rPr>
          <w:rFonts w:hint="eastAsia" w:ascii="宋体" w:hAnsi="宋体" w:eastAsia="宋体"/>
        </w:rPr>
        <w:t>测区、测线、测点布置是按照采用的检测方法确定，不是所有的检测单元都需要布置测区、测线、测点。</w:t>
      </w:r>
    </w:p>
    <w:p>
      <w:pPr>
        <w:spacing w:line="360" w:lineRule="auto"/>
        <w:rPr>
          <w:rFonts w:hint="eastAsia" w:ascii="宋体" w:hAnsi="宋体" w:eastAsia="宋体"/>
        </w:rPr>
      </w:pPr>
      <w:r>
        <w:rPr>
          <w:rFonts w:hint="eastAsia" w:ascii="黑体" w:hAnsi="黑体" w:eastAsia="黑体" w:cs="黑体"/>
        </w:rPr>
        <w:t>2.0.6</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黑体"/>
        </w:rPr>
        <w:t xml:space="preserve">  </w:t>
      </w:r>
      <w:r>
        <w:rPr>
          <w:rFonts w:hint="eastAsia" w:ascii="宋体" w:hAnsi="宋体" w:eastAsia="宋体"/>
        </w:rPr>
        <w:t>本标准不涉及工程质量的评价，只是对检测对象的质量符合性作出评价。从原标准定义理解，原标准“质量评价”定义内涵即为判定检测成果是否合格所进行的活动，此处用“结果评价”更准确，“质量评价”与工程的“质量评价”混淆，与行业其他标准不协调，因此，本标准不再采用“质量评价”的表达，而采用“结果评价”的表达。</w:t>
      </w:r>
    </w:p>
    <w:p>
      <w:pPr>
        <w:spacing w:line="360" w:lineRule="auto"/>
        <w:rPr>
          <w:rFonts w:hint="eastAsia" w:ascii="宋体" w:hAnsi="宋体" w:eastAsia="宋体"/>
        </w:rPr>
      </w:pPr>
      <w:r>
        <w:rPr>
          <w:rFonts w:hint="eastAsia" w:ascii="黑体" w:hAnsi="黑体" w:eastAsia="黑体" w:cs="黑体"/>
        </w:rPr>
        <w:t>2.0.7、2.0.8</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黑体"/>
        </w:rPr>
        <w:t xml:space="preserve">  </w:t>
      </w:r>
      <w:r>
        <w:rPr>
          <w:rFonts w:hint="eastAsia" w:ascii="宋体" w:hAnsi="宋体" w:eastAsia="宋体"/>
        </w:rPr>
        <w:t>全数检测是对所有样本百分之百进行逐个检测；抽样检测按照GB/T 2828《逐批检查计数抽样程序》从一批样本中随机抽取适量样品进行检测。全数检测强调的是覆盖面，抽样检测主要强调抽样的调随机性和代表性。检测项目是指检测对象的某个或多个质量特性。质量检测目标是对某个或多个质量特性进行检测，以判断样本的符合性。上述两条主要是定义取样检测的方式，检测项</w:t>
      </w:r>
      <w:bookmarkStart w:id="461" w:name="_GoBack"/>
      <w:bookmarkEnd w:id="461"/>
      <w:r>
        <w:rPr>
          <w:rFonts w:hint="eastAsia" w:ascii="宋体" w:hAnsi="宋体" w:eastAsia="宋体"/>
        </w:rPr>
        <w:t>目是目标结果，因此删除原定义中的检测项目。</w:t>
      </w:r>
    </w:p>
    <w:p>
      <w:pPr>
        <w:rPr>
          <w:rFonts w:hint="eastAsia" w:ascii="宋体" w:hAnsi="宋体" w:eastAsia="宋体" w:cs="宋体"/>
        </w:rPr>
      </w:pPr>
    </w:p>
    <w:p>
      <w:pPr>
        <w:rPr>
          <w:rFonts w:hint="eastAsia" w:ascii="宋体" w:hAnsi="宋体" w:eastAsia="宋体" w:cs="宋体"/>
        </w:rPr>
      </w:pPr>
    </w:p>
    <w:p>
      <w:pPr>
        <w:rPr>
          <w:rFonts w:hint="eastAsia" w:ascii="宋体" w:hAnsi="宋体" w:eastAsia="宋体" w:cs="宋体"/>
        </w:rPr>
      </w:pPr>
      <w:r>
        <w:rPr>
          <w:rFonts w:hint="eastAsia" w:ascii="宋体" w:hAnsi="宋体" w:eastAsia="宋体" w:cs="宋体"/>
        </w:rPr>
        <w:br w:type="page"/>
      </w:r>
    </w:p>
    <w:p>
      <w:pPr>
        <w:pStyle w:val="2"/>
        <w:rPr>
          <w:rFonts w:hint="eastAsia" w:ascii="黑体" w:hAnsi="黑体" w:eastAsia="黑体" w:cs="黑体"/>
          <w:b w:val="0"/>
          <w:bCs w:val="0"/>
          <w:sz w:val="28"/>
          <w:szCs w:val="28"/>
        </w:rPr>
      </w:pPr>
      <w:bookmarkStart w:id="268" w:name="_Toc193028412"/>
      <w:bookmarkStart w:id="269" w:name="_Toc13746"/>
      <w:bookmarkStart w:id="270" w:name="_Toc7184"/>
      <w:bookmarkStart w:id="271" w:name="_Toc30114"/>
      <w:r>
        <w:rPr>
          <w:rFonts w:hint="eastAsia" w:ascii="黑体" w:hAnsi="黑体" w:eastAsia="黑体" w:cs="黑体"/>
          <w:b w:val="0"/>
          <w:bCs w:val="0"/>
          <w:sz w:val="28"/>
          <w:szCs w:val="28"/>
        </w:rPr>
        <w:t>3  基本规定</w:t>
      </w:r>
      <w:bookmarkEnd w:id="268"/>
      <w:bookmarkEnd w:id="269"/>
      <w:bookmarkEnd w:id="270"/>
      <w:bookmarkEnd w:id="271"/>
    </w:p>
    <w:p>
      <w:pPr>
        <w:spacing w:line="360" w:lineRule="auto"/>
        <w:rPr>
          <w:rFonts w:hint="eastAsia" w:ascii="宋体" w:hAnsi="宋体" w:eastAsia="宋体"/>
        </w:rPr>
      </w:pPr>
      <w:r>
        <w:rPr>
          <w:rFonts w:hint="eastAsia" w:ascii="黑体" w:hAnsi="黑体" w:eastAsia="黑体" w:cs="黑体"/>
        </w:rPr>
        <w:t>3.0.2</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黑体"/>
        </w:rPr>
        <w:t xml:space="preserve">  </w:t>
      </w:r>
      <w:r>
        <w:rPr>
          <w:rFonts w:hint="eastAsia" w:ascii="宋体" w:hAnsi="宋体" w:eastAsia="宋体"/>
        </w:rPr>
        <w:t>本条为标准新增。按照《水利工程质量管理规定》（水利部令第52号）：施工单位必须按照经批准的设计文件、有关技术标准和合同约定，对原材料、中间产品、设备以及单元工程（工序）等进行质量检验，未经检验或者检验不合格的，不得使用。原材料、中间产品和设备的质量检测是工程实施过程中必须开展的基本任务，大部分由施工单位完成。本规程主要针对工程实体检测，但也涉及原材料、中间产品和设备的检测。在此将原材料、中间产品和设备质量检测作为基本规定要求。</w:t>
      </w:r>
    </w:p>
    <w:p>
      <w:pPr>
        <w:spacing w:line="360" w:lineRule="auto"/>
        <w:rPr>
          <w:rFonts w:hint="eastAsia" w:ascii="宋体" w:hAnsi="宋体" w:eastAsia="宋体"/>
        </w:rPr>
      </w:pPr>
      <w:r>
        <w:rPr>
          <w:rFonts w:hint="eastAsia" w:ascii="黑体" w:hAnsi="黑体" w:eastAsia="黑体" w:cs="黑体"/>
        </w:rPr>
        <w:t>3.0.3</w:t>
      </w:r>
      <w:r>
        <w:rPr>
          <w:rFonts w:hint="eastAsia" w:ascii="黑体" w:hAnsi="黑体" w:eastAsia="黑体" w:cs="黑体"/>
          <w:lang w:eastAsia="zh-CN"/>
        </w:rPr>
        <w:t>【</w:t>
      </w:r>
      <w:r>
        <w:rPr>
          <w:rFonts w:hint="eastAsia" w:ascii="黑体" w:hAnsi="黑体" w:eastAsia="黑体" w:cs="黑体"/>
        </w:rPr>
        <w:t>修订</w:t>
      </w:r>
      <w:r>
        <w:rPr>
          <w:rFonts w:hint="eastAsia" w:ascii="黑体" w:hAnsi="黑体" w:eastAsia="黑体" w:cs="黑体"/>
          <w:lang w:eastAsia="zh-CN"/>
        </w:rPr>
        <w:t>】</w:t>
      </w:r>
      <w:r>
        <w:rPr>
          <w:rFonts w:hint="eastAsia" w:ascii="黑体" w:hAnsi="黑体" w:eastAsia="黑体" w:cs="黑体"/>
        </w:rPr>
        <w:t xml:space="preserve"> </w:t>
      </w:r>
      <w:r>
        <w:rPr>
          <w:rFonts w:hint="eastAsia" w:ascii="宋体" w:hAnsi="宋体" w:eastAsia="宋体"/>
        </w:rPr>
        <w:t>实体质量检测时，为了尽量避免对工程实体造成破坏，优先选用无损检测的方法，如确有需要，辅以钻孔、挖凿、裁切、拆卸等方法。实体质量检测一般不进行原材料质量检测，但经检测发现实体质量不满足要求，认为有必要对原材料、构（部）件进行检测，同时现场具备检测条件，则可以进行原材料及构（部）件检测。本标准红的工程实体包括了金属结构和机械电气设备。</w:t>
      </w:r>
    </w:p>
    <w:p>
      <w:pPr>
        <w:spacing w:line="360" w:lineRule="auto"/>
        <w:rPr>
          <w:rFonts w:hint="eastAsia" w:ascii="宋体" w:hAnsi="宋体" w:eastAsia="宋体"/>
        </w:rPr>
      </w:pPr>
      <w:r>
        <w:rPr>
          <w:rFonts w:hint="eastAsia" w:ascii="黑体" w:hAnsi="黑体" w:eastAsia="黑体" w:cs="黑体"/>
        </w:rPr>
        <w:t>3.0.4</w:t>
      </w:r>
      <w:r>
        <w:rPr>
          <w:rFonts w:hint="eastAsia" w:ascii="黑体" w:hAnsi="黑体" w:eastAsia="黑体" w:cs="黑体"/>
          <w:lang w:eastAsia="zh-CN"/>
        </w:rPr>
        <w:t>【</w:t>
      </w:r>
      <w:r>
        <w:rPr>
          <w:rFonts w:hint="eastAsia" w:ascii="黑体" w:hAnsi="黑体" w:eastAsia="黑体" w:cs="黑体"/>
        </w:rPr>
        <w:t>修订</w:t>
      </w:r>
      <w:r>
        <w:rPr>
          <w:rFonts w:hint="eastAsia" w:ascii="黑体" w:hAnsi="黑体" w:eastAsia="黑体" w:cs="黑体"/>
          <w:lang w:eastAsia="zh-CN"/>
        </w:rPr>
        <w:t>】</w:t>
      </w:r>
      <w:r>
        <w:rPr>
          <w:rFonts w:hint="eastAsia" w:ascii="黑体" w:hAnsi="黑体" w:eastAsia="黑体" w:cs="黑体"/>
        </w:rPr>
        <w:t xml:space="preserve"> </w:t>
      </w:r>
      <w:r>
        <w:rPr>
          <w:rFonts w:hint="eastAsia" w:ascii="宋体" w:hAnsi="宋体" w:eastAsia="宋体"/>
        </w:rPr>
        <w:t>随着科技发展，新的检测技术和检测手段也不断涌现，标准往往做不到全部吸收和消化，实际工作中不限于本标准所列的检测项目和检测方法。在选择检测方法时，原标准考虑了对精度高的要求，未强调精度高的检测方法的成熟可靠度，是否经过试验对比论证。因此，本次修订突出强调了所选检测方法经过论证，最好有单行本试验规程可供执行。</w:t>
      </w:r>
    </w:p>
    <w:p>
      <w:pPr>
        <w:spacing w:line="360" w:lineRule="auto"/>
        <w:rPr>
          <w:rFonts w:hint="eastAsia" w:ascii="宋体" w:hAnsi="宋体" w:eastAsia="宋体"/>
        </w:rPr>
      </w:pPr>
      <w:r>
        <w:rPr>
          <w:rFonts w:hint="eastAsia" w:ascii="黑体" w:hAnsi="黑体" w:eastAsia="黑体" w:cs="黑体"/>
        </w:rPr>
        <w:t xml:space="preserve">3.0.5  </w:t>
      </w:r>
      <w:r>
        <w:rPr>
          <w:rFonts w:hint="eastAsia" w:ascii="宋体" w:hAnsi="宋体" w:eastAsia="宋体"/>
        </w:rPr>
        <w:t>工程质量检测过程中，如过某个检测项目出现不合格情况，由检测单位依据质量管理体系规定，启动相关确认程序，确认不合格检测结果。委托方可组织有关单位查阅检测单位相关资料后确认，也可委托有资质的检测单位进行复验后确认。如仍不合格，委托方应及时组织整改。如无法整改，可组织设计单位进行论证，并提出意见。加测检测费用需另行支付。</w:t>
      </w:r>
    </w:p>
    <w:p>
      <w:pPr>
        <w:spacing w:line="360" w:lineRule="auto"/>
        <w:rPr>
          <w:rFonts w:hint="eastAsia" w:ascii="宋体" w:hAnsi="宋体" w:eastAsia="宋体"/>
        </w:rPr>
      </w:pPr>
      <w:r>
        <w:rPr>
          <w:rFonts w:hint="eastAsia" w:ascii="黑体" w:hAnsi="黑体" w:eastAsia="黑体" w:cs="黑体"/>
        </w:rPr>
        <w:t>3.0.6</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黑体"/>
        </w:rPr>
        <w:t xml:space="preserve">  </w:t>
      </w:r>
      <w:r>
        <w:rPr>
          <w:rFonts w:hint="eastAsia" w:ascii="宋体" w:hAnsi="宋体" w:eastAsia="宋体"/>
        </w:rPr>
        <w:t>原标准条文强调检测单位和个人对质量检测结果负责。按照《建设工程质量检测管理办法》（住房和城乡建设部令第57号）第二十二条：“检测机构应当建立建设工程过程数据和结果数据、检测影像资料及检测报告记录与留存制度，对检测数据和检测报告的真实性、准确性负责。”检测结果是客观存在的，检测单位和个人对检测结果合格与否无法承担责任。按照《建设工程质量检测管理办法》要求：检测单位和个人对检测数据和检测报告的真实性、准确性负责。表述更准确。</w:t>
      </w:r>
    </w:p>
    <w:p>
      <w:pPr>
        <w:spacing w:line="360" w:lineRule="auto"/>
        <w:rPr>
          <w:rFonts w:hint="eastAsia" w:ascii="宋体" w:hAnsi="宋体" w:eastAsia="宋体"/>
        </w:rPr>
      </w:pPr>
      <w:r>
        <w:rPr>
          <w:rFonts w:hint="eastAsia" w:ascii="黑体" w:hAnsi="黑体" w:eastAsia="黑体" w:cs="黑体"/>
        </w:rPr>
        <w:t>3.0.9</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黑体"/>
        </w:rPr>
        <w:t xml:space="preserve">  </w:t>
      </w:r>
      <w:r>
        <w:rPr>
          <w:rFonts w:hint="eastAsia" w:ascii="宋体" w:hAnsi="宋体" w:eastAsia="宋体"/>
        </w:rPr>
        <w:t>《水利工程质量检测管理规定》（2023年水利部令52号）第三条：取得甲级资质的检测单位可以承担各等级水利工程的质量检测业务。大型水利工程（含一级堤防）主要建筑物以及水利工程质量与安全事故鉴定的质量检测业务，必须由具有甲级资质的检测单位承担。取得乙级资质的检测单位可以承担除大型水利工程（含一级堤防）主要建筑物以外的其他各等级水利工程的质量检测业务。在开展质量检测工作过程中，往往出现委托的检测单位资质等级与其承担质量检测业务的水利工程等级不匹配。新增此条加以强调。</w:t>
      </w:r>
    </w:p>
    <w:p>
      <w:pPr>
        <w:spacing w:line="360" w:lineRule="auto"/>
        <w:rPr>
          <w:rFonts w:hint="eastAsia" w:ascii="宋体" w:hAnsi="宋体" w:eastAsia="宋体"/>
        </w:rPr>
      </w:pPr>
      <w:r>
        <w:rPr>
          <w:rFonts w:hint="eastAsia" w:ascii="黑体" w:hAnsi="黑体" w:eastAsia="黑体" w:cs="黑体"/>
        </w:rPr>
        <w:t>3.0.10</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黑体"/>
        </w:rPr>
        <w:t xml:space="preserve">  </w:t>
      </w:r>
      <w:r>
        <w:rPr>
          <w:rFonts w:hint="eastAsia" w:ascii="宋体" w:hAnsi="宋体" w:eastAsia="宋体"/>
        </w:rPr>
        <w:t>《水利工程质量检测管理规定》（2023年水利部令52号）第四条：“从事水利工程质量检测的专业技术人员，应当具备相应的质量检测知识和能力，并按照国家职业资格管理或行业自律管理的规定取得从业资格。”本条新增目的强调检测人员具备质量检测知识、能力的重要性。通过取得质量检测从业资格，保障质量检测的质量和水平，避免检测人员误判，影响检测结果的公正性。</w:t>
      </w:r>
    </w:p>
    <w:p>
      <w:pPr>
        <w:spacing w:line="360" w:lineRule="auto"/>
        <w:rPr>
          <w:rFonts w:hint="eastAsia" w:ascii="宋体" w:hAnsi="宋体" w:eastAsia="宋体"/>
        </w:rPr>
      </w:pPr>
      <w:r>
        <w:rPr>
          <w:rFonts w:hint="eastAsia" w:ascii="黑体" w:hAnsi="黑体" w:eastAsia="黑体" w:cs="黑体"/>
        </w:rPr>
        <w:t>3.0.12</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黑体"/>
        </w:rPr>
        <w:t xml:space="preserve">  </w:t>
      </w:r>
      <w:r>
        <w:rPr>
          <w:rFonts w:hint="eastAsia" w:ascii="宋体" w:hAnsi="宋体" w:eastAsia="宋体"/>
        </w:rPr>
        <w:t>本条为新增。</w:t>
      </w:r>
      <w:r>
        <w:rPr>
          <w:rFonts w:ascii="宋体" w:hAnsi="宋体" w:eastAsia="宋体"/>
        </w:rPr>
        <w:t>随着科学技术的不断进步，新技术在水利工程中的应用也越来越广泛</w:t>
      </w:r>
      <w:r>
        <w:rPr>
          <w:rFonts w:hint="eastAsia" w:ascii="宋体" w:hAnsi="宋体" w:eastAsia="宋体"/>
        </w:rPr>
        <w:t>。加入“五新”技术应用的内容，采用现代科学技术的新成果以提高效率，降低成本，不断提升工程检测水平，从而提高工程质量。</w:t>
      </w:r>
    </w:p>
    <w:p>
      <w:pPr>
        <w:spacing w:line="360" w:lineRule="auto"/>
        <w:rPr>
          <w:rFonts w:hint="eastAsia" w:ascii="宋体" w:hAnsi="宋体" w:eastAsia="宋体"/>
        </w:rPr>
      </w:pPr>
      <w:r>
        <w:rPr>
          <w:rFonts w:hint="eastAsia" w:ascii="黑体" w:hAnsi="黑体" w:eastAsia="黑体" w:cs="黑体"/>
        </w:rPr>
        <w:t>3.0.13</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宋体" w:hAnsi="宋体" w:eastAsia="宋体"/>
          <w:b/>
          <w:bCs/>
        </w:rPr>
        <w:t xml:space="preserve">  </w:t>
      </w:r>
      <w:r>
        <w:rPr>
          <w:rFonts w:hint="eastAsia" w:ascii="宋体" w:hAnsi="宋体" w:eastAsia="宋体"/>
        </w:rPr>
        <w:t>本条为新增。《建设工程质量检测管理办法》（住建部令57号）第二十七条：“检测机构应当建立信息化管理系统，对检测业务受理、检测数据采集、检测信息上传、检测报告出具、检测档案管理等活动进行信息化管理，保证建设工程质量检测活动全过程可追溯。”为顺应新阶段高质量发展需求，积极构建质量检测机构自身的数字化、信息化智慧系统，不断提高水利工程质量检测管理水平，更快融入国家提出的构建智慧水利体系中去。</w:t>
      </w:r>
    </w:p>
    <w:p>
      <w:pPr>
        <w:spacing w:line="360" w:lineRule="auto"/>
        <w:rPr>
          <w:rFonts w:hint="eastAsia" w:ascii="宋体" w:hAnsi="宋体" w:eastAsia="宋体"/>
        </w:rPr>
      </w:pPr>
      <w:r>
        <w:rPr>
          <w:rFonts w:hint="eastAsia" w:ascii="黑体" w:hAnsi="黑体" w:eastAsia="黑体" w:cs="黑体"/>
        </w:rPr>
        <w:t>3.0.14</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宋体" w:hAnsi="宋体" w:eastAsia="宋体"/>
        </w:rPr>
        <w:t xml:space="preserve">   本条为新增。“十四五规划”提出：构建智慧水利体系，以流域为单位提升水情测报和智能调度能力。水利部印发的《关于推进水利工程标准化管理指导意见》指出：省级水行政主管部门和流域管理机构要按照智慧水利建设总体布局，统筹已有应用系统，补充自动化监测监控预警设施，完善信息化网络平台，推进水利工程智能化改造和数字孪生工程建设，提升水利工程安全监控和智能化管理水平。</w:t>
      </w:r>
    </w:p>
    <w:p>
      <w:pPr>
        <w:pStyle w:val="6"/>
        <w:tabs>
          <w:tab w:val="right" w:leader="dot" w:pos="5900"/>
        </w:tabs>
        <w:spacing w:before="81" w:line="204" w:lineRule="auto"/>
        <w:ind w:left="6"/>
        <w:jc w:val="left"/>
        <w:rPr>
          <w:rFonts w:hint="eastAsia" w:ascii="宋体" w:hAnsi="宋体" w:eastAsia="宋体" w:cs="宋体"/>
          <w:spacing w:val="9"/>
          <w:position w:val="-1"/>
          <w:sz w:val="21"/>
          <w:szCs w:val="21"/>
        </w:rPr>
      </w:pPr>
    </w:p>
    <w:p>
      <w:pPr>
        <w:pStyle w:val="6"/>
        <w:tabs>
          <w:tab w:val="right" w:leader="dot" w:pos="5900"/>
        </w:tabs>
        <w:spacing w:before="81" w:line="204" w:lineRule="auto"/>
        <w:ind w:left="6"/>
        <w:jc w:val="left"/>
        <w:rPr>
          <w:rFonts w:hint="eastAsia" w:ascii="宋体" w:hAnsi="宋体" w:eastAsia="宋体" w:cs="宋体"/>
          <w:spacing w:val="9"/>
          <w:position w:val="-1"/>
          <w:sz w:val="21"/>
          <w:szCs w:val="21"/>
        </w:rPr>
      </w:pPr>
    </w:p>
    <w:p>
      <w:pPr>
        <w:spacing w:line="360" w:lineRule="auto"/>
        <w:rPr>
          <w:rFonts w:hint="eastAsia" w:asciiTheme="minorEastAsia" w:hAnsiTheme="minorEastAsia" w:cstheme="minorEastAsia"/>
          <w:color w:val="000000" w:themeColor="text1"/>
          <w14:textFill>
            <w14:solidFill>
              <w14:schemeClr w14:val="tx1"/>
            </w14:solidFill>
          </w14:textFill>
        </w:rPr>
      </w:pPr>
    </w:p>
    <w:p>
      <w:pPr>
        <w:rPr>
          <w:rFonts w:hint="eastAsia" w:ascii="宋体" w:hAnsi="宋体" w:eastAsia="宋体" w:cs="宋体"/>
        </w:rPr>
      </w:pPr>
      <w:r>
        <w:rPr>
          <w:rFonts w:hint="eastAsia" w:ascii="宋体" w:hAnsi="宋体" w:eastAsia="宋体" w:cs="宋体"/>
        </w:rPr>
        <w:br w:type="page"/>
      </w:r>
    </w:p>
    <w:p>
      <w:pPr>
        <w:pStyle w:val="2"/>
        <w:rPr>
          <w:rFonts w:hint="eastAsia" w:ascii="黑体" w:hAnsi="黑体" w:eastAsia="黑体" w:cs="黑体"/>
          <w:b w:val="0"/>
          <w:bCs w:val="0"/>
          <w:sz w:val="28"/>
          <w:szCs w:val="28"/>
        </w:rPr>
      </w:pPr>
      <w:bookmarkStart w:id="272" w:name="_Toc193028413"/>
      <w:bookmarkStart w:id="273" w:name="_Toc27632"/>
      <w:bookmarkStart w:id="274" w:name="_Toc16608"/>
      <w:bookmarkStart w:id="275" w:name="_Toc1595"/>
      <w:r>
        <w:rPr>
          <w:rFonts w:hint="eastAsia" w:ascii="黑体" w:hAnsi="黑体" w:eastAsia="黑体" w:cs="黑体"/>
          <w:b w:val="0"/>
          <w:bCs w:val="0"/>
          <w:sz w:val="28"/>
          <w:szCs w:val="28"/>
        </w:rPr>
        <w:t>4  地基与基础工程</w:t>
      </w:r>
      <w:bookmarkEnd w:id="272"/>
      <w:bookmarkEnd w:id="273"/>
      <w:bookmarkEnd w:id="274"/>
      <w:bookmarkEnd w:id="275"/>
    </w:p>
    <w:p>
      <w:pPr>
        <w:pStyle w:val="3"/>
        <w:snapToGrid w:val="0"/>
        <w:spacing w:before="156" w:beforeLines="50" w:after="156" w:afterLines="50" w:line="360" w:lineRule="auto"/>
        <w:jc w:val="center"/>
        <w:rPr>
          <w:rFonts w:ascii="黑体" w:hAnsi="黑体" w:cs="黑体"/>
          <w:sz w:val="24"/>
          <w:szCs w:val="24"/>
        </w:rPr>
      </w:pPr>
      <w:bookmarkStart w:id="276" w:name="_Toc193028414"/>
      <w:bookmarkStart w:id="277" w:name="_Toc5892"/>
      <w:bookmarkStart w:id="278" w:name="_Toc24180"/>
      <w:bookmarkStart w:id="279" w:name="_Toc19840"/>
      <w:r>
        <w:rPr>
          <w:rFonts w:ascii="黑体" w:hAnsi="黑体" w:cs="黑体"/>
          <w:sz w:val="24"/>
          <w:szCs w:val="24"/>
        </w:rPr>
        <w:t>4.2  地基处理</w:t>
      </w:r>
      <w:bookmarkEnd w:id="276"/>
      <w:bookmarkEnd w:id="277"/>
      <w:bookmarkEnd w:id="278"/>
      <w:bookmarkEnd w:id="279"/>
    </w:p>
    <w:p>
      <w:pPr>
        <w:spacing w:before="35" w:line="360" w:lineRule="auto"/>
        <w:ind w:left="2" w:right="70" w:hanging="2"/>
        <w:rPr>
          <w:rFonts w:hint="eastAsia" w:cs="微软雅黑" w:asciiTheme="minorEastAsia" w:hAnsiTheme="minorEastAsia"/>
          <w:szCs w:val="21"/>
        </w:rPr>
      </w:pPr>
      <w:r>
        <w:rPr>
          <w:rFonts w:hint="eastAsia" w:ascii="黑体" w:hAnsi="黑体" w:eastAsia="黑体" w:cs="黑体"/>
        </w:rPr>
        <w:t>4.2.3</w:t>
      </w:r>
      <w:r>
        <w:rPr>
          <w:rFonts w:hint="eastAsia" w:ascii="黑体" w:hAnsi="黑体" w:eastAsia="黑体" w:cs="黑体"/>
          <w:lang w:eastAsia="zh-CN"/>
        </w:rPr>
        <w:t>【</w:t>
      </w:r>
      <w:r>
        <w:rPr>
          <w:rFonts w:hint="eastAsia" w:ascii="黑体" w:hAnsi="黑体" w:eastAsia="黑体" w:cs="黑体"/>
        </w:rPr>
        <w:t>修订</w:t>
      </w:r>
      <w:r>
        <w:rPr>
          <w:rFonts w:hint="eastAsia" w:ascii="黑体" w:hAnsi="黑体" w:eastAsia="黑体" w:cs="黑体"/>
          <w:lang w:eastAsia="zh-CN"/>
        </w:rPr>
        <w:t>】</w:t>
      </w:r>
      <w:r>
        <w:rPr>
          <w:rFonts w:hint="eastAsia" w:cs="微软雅黑" w:asciiTheme="minorEastAsia" w:hAnsiTheme="minorEastAsia"/>
          <w:szCs w:val="21"/>
        </w:rPr>
        <w:t xml:space="preserve"> 桩身抗压强度检测是指对桩身材料的检测，可采用钻芯取样的方法进行检测；竖向增强体是指各种形式的桩体（柱体）或墩体结构，是通过在天然地基中设置加筋材料或桩体等竖向结构</w:t>
      </w:r>
      <w:r>
        <w:rPr>
          <w:rFonts w:cs="微软雅黑" w:asciiTheme="minorEastAsia" w:hAnsiTheme="minorEastAsia"/>
          <w:szCs w:val="21"/>
        </w:rPr>
        <w:t>。</w:t>
      </w:r>
    </w:p>
    <w:p>
      <w:pPr>
        <w:spacing w:before="35" w:line="360" w:lineRule="auto"/>
        <w:ind w:left="2" w:right="70" w:hanging="2"/>
        <w:rPr>
          <w:rFonts w:hint="eastAsia" w:cs="微软雅黑" w:asciiTheme="minorEastAsia" w:hAnsiTheme="minorEastAsia"/>
          <w:szCs w:val="21"/>
        </w:rPr>
      </w:pPr>
      <w:r>
        <w:rPr>
          <w:rFonts w:hint="eastAsia" w:ascii="黑体" w:hAnsi="黑体" w:eastAsia="黑体" w:cs="黑体"/>
        </w:rPr>
        <w:t>4.2.4</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黑体"/>
        </w:rPr>
        <w:t xml:space="preserve">  </w:t>
      </w:r>
      <w:r>
        <w:rPr>
          <w:rFonts w:hint="eastAsia" w:cs="微软雅黑" w:asciiTheme="minorEastAsia" w:hAnsiTheme="minorEastAsia"/>
          <w:szCs w:val="21"/>
        </w:rPr>
        <w:t>本标准规定的检测工作布置和频次，主要针对施工自检以及那些需要纳入工程验收评估资料的试验检测项目。至于监理单位的平行检测、项目法人的全过程检测，以及竣工验收检测，则需依据水利工程施工监理规范等其他规程规范的具体要求确定其检测工作布置和频次。对于其他类型的检测活动，可参考本标准执行。</w:t>
      </w:r>
    </w:p>
    <w:p>
      <w:pPr>
        <w:pStyle w:val="3"/>
        <w:snapToGrid w:val="0"/>
        <w:spacing w:before="156" w:beforeLines="50" w:after="156" w:afterLines="50" w:line="360" w:lineRule="auto"/>
        <w:jc w:val="center"/>
        <w:rPr>
          <w:rFonts w:ascii="黑体" w:hAnsi="黑体" w:cs="黑体"/>
          <w:sz w:val="24"/>
          <w:szCs w:val="24"/>
        </w:rPr>
      </w:pPr>
      <w:bookmarkStart w:id="280" w:name="_Toc15408"/>
      <w:bookmarkStart w:id="281" w:name="_Toc11523"/>
      <w:bookmarkStart w:id="282" w:name="_Toc193028415"/>
      <w:bookmarkStart w:id="283" w:name="_Toc16764"/>
      <w:r>
        <w:rPr>
          <w:rFonts w:ascii="黑体" w:hAnsi="黑体" w:cs="黑体"/>
          <w:sz w:val="24"/>
          <w:szCs w:val="24"/>
        </w:rPr>
        <w:t>4.3  灌浆</w:t>
      </w:r>
      <w:bookmarkEnd w:id="280"/>
      <w:bookmarkEnd w:id="281"/>
      <w:bookmarkEnd w:id="282"/>
      <w:bookmarkEnd w:id="283"/>
      <w:r>
        <w:rPr>
          <w:rFonts w:ascii="黑体" w:hAnsi="黑体" w:cs="黑体"/>
          <w:sz w:val="24"/>
          <w:szCs w:val="24"/>
        </w:rPr>
        <w:t>工程</w:t>
      </w:r>
    </w:p>
    <w:p>
      <w:pPr>
        <w:pStyle w:val="6"/>
        <w:spacing w:before="145" w:line="360" w:lineRule="auto"/>
        <w:ind w:left="4" w:hanging="4"/>
        <w:rPr>
          <w:rFonts w:hint="eastAsia" w:asciiTheme="minorEastAsia" w:hAnsiTheme="minorEastAsia" w:eastAsiaTheme="minorEastAsia"/>
          <w:sz w:val="21"/>
          <w:szCs w:val="21"/>
        </w:rPr>
      </w:pPr>
      <w:r>
        <w:rPr>
          <w:rFonts w:hint="eastAsia" w:ascii="黑体" w:hAnsi="黑体" w:eastAsia="黑体" w:cs="黑体"/>
          <w:sz w:val="21"/>
          <w:szCs w:val="22"/>
        </w:rPr>
        <w:t>4.3.1</w:t>
      </w:r>
      <w:r>
        <w:rPr>
          <w:rFonts w:hint="eastAsia" w:ascii="黑体" w:hAnsi="黑体" w:eastAsia="黑体" w:cs="黑体"/>
          <w:lang w:eastAsia="zh-CN"/>
        </w:rPr>
        <w:t>【</w:t>
      </w:r>
      <w:r>
        <w:rPr>
          <w:rFonts w:hint="eastAsia" w:ascii="黑体" w:hAnsi="黑体" w:eastAsia="黑体" w:cs="黑体"/>
          <w:sz w:val="21"/>
          <w:szCs w:val="21"/>
        </w:rPr>
        <w:t>修订</w:t>
      </w:r>
      <w:r>
        <w:rPr>
          <w:rFonts w:hint="eastAsia" w:ascii="黑体" w:hAnsi="黑体" w:eastAsia="黑体" w:cs="黑体"/>
          <w:lang w:eastAsia="zh-CN"/>
        </w:rPr>
        <w:t>】</w:t>
      </w:r>
      <w:r>
        <w:rPr>
          <w:rFonts w:asciiTheme="minorEastAsia" w:hAnsiTheme="minorEastAsia" w:eastAsiaTheme="minorEastAsia"/>
          <w:sz w:val="21"/>
          <w:szCs w:val="21"/>
        </w:rPr>
        <w:t xml:space="preserve"> </w:t>
      </w:r>
      <w:r>
        <w:rPr>
          <w:rFonts w:hint="eastAsia" w:asciiTheme="minorEastAsia" w:hAnsiTheme="minorEastAsia" w:eastAsiaTheme="minorEastAsia"/>
          <w:sz w:val="21"/>
          <w:szCs w:val="21"/>
        </w:rPr>
        <w:t>本条参照SL/T 62《水工建筑物水泥灌浆施工技术规范》、SL/T 291.1《水利水电工程勘探规程 第1部分：物探》以及SL 631.3《水利水电单元工程施工质量验收评定标准—地基处理与基础工程》中灌浆工程的主要性能指标和质量控制项目等技术标准规定，结合建成后的实体工程检测的可操作性而确定的检测项目。如有特殊要求时，可相应增加检测项目</w:t>
      </w:r>
      <w:r>
        <w:rPr>
          <w:rFonts w:asciiTheme="minorEastAsia" w:hAnsiTheme="minorEastAsia" w:eastAsiaTheme="minorEastAsia"/>
          <w:sz w:val="21"/>
          <w:szCs w:val="21"/>
        </w:rPr>
        <w:t>。</w:t>
      </w:r>
    </w:p>
    <w:p>
      <w:pPr>
        <w:pStyle w:val="6"/>
        <w:spacing w:line="360" w:lineRule="auto"/>
        <w:rPr>
          <w:rFonts w:hint="eastAsia" w:asciiTheme="minorEastAsia" w:hAnsiTheme="minorEastAsia" w:eastAsiaTheme="minorEastAsia"/>
          <w:sz w:val="21"/>
          <w:szCs w:val="21"/>
        </w:rPr>
      </w:pPr>
      <w:r>
        <w:rPr>
          <w:rFonts w:hint="eastAsia" w:ascii="黑体" w:hAnsi="黑体" w:eastAsia="黑体" w:cs="黑体"/>
          <w:sz w:val="21"/>
          <w:szCs w:val="22"/>
        </w:rPr>
        <w:t>4.3.3</w:t>
      </w:r>
      <w:r>
        <w:rPr>
          <w:rFonts w:hint="eastAsia" w:ascii="黑体" w:hAnsi="黑体" w:eastAsia="黑体" w:cs="黑体"/>
          <w:sz w:val="21"/>
          <w:szCs w:val="21"/>
          <w:lang w:eastAsia="zh-CN"/>
        </w:rPr>
        <w:t>【</w:t>
      </w:r>
      <w:r>
        <w:rPr>
          <w:rFonts w:hint="eastAsia" w:ascii="黑体" w:hAnsi="黑体" w:eastAsia="黑体" w:cs="黑体"/>
          <w:sz w:val="21"/>
          <w:szCs w:val="21"/>
        </w:rPr>
        <w:t>修订</w:t>
      </w:r>
      <w:r>
        <w:rPr>
          <w:rFonts w:hint="eastAsia" w:ascii="黑体" w:hAnsi="黑体" w:eastAsia="黑体" w:cs="黑体"/>
          <w:sz w:val="21"/>
          <w:szCs w:val="21"/>
          <w:lang w:eastAsia="zh-CN"/>
        </w:rPr>
        <w:t>】</w:t>
      </w:r>
      <w:r>
        <w:rPr>
          <w:rFonts w:hint="eastAsia" w:ascii="黑体" w:hAnsi="黑体" w:eastAsia="黑体" w:cs="黑体"/>
          <w:sz w:val="21"/>
          <w:szCs w:val="22"/>
        </w:rPr>
        <w:t xml:space="preserve">  </w:t>
      </w:r>
      <w:r>
        <w:rPr>
          <w:rFonts w:hint="eastAsia" w:asciiTheme="minorEastAsia" w:hAnsiTheme="minorEastAsia" w:eastAsiaTheme="minorEastAsia"/>
          <w:sz w:val="21"/>
          <w:szCs w:val="21"/>
        </w:rPr>
        <w:t>本条根据现行有关技术标准提出了相应检测项目的检测方法。 由于灌浆工程钻孔取芯及压水试验检测场地多狭小、检测设备笨重、工作量较大、工期较长,难以做到对检测单元内所有灌浆孔进行质量检测，故应同时采用单孔声波、跨孔声波、钻孔电视、层析成像（声波、电磁波、弹性波CT）、弹模、变模等检测方法对岩体波速、结构面发育及孔间岩体质量等进行检测，岩体声波波速的高低可反映岩体密实程度，根据灌后岩体波速提高率、结构面水泥结石充填情况、电磁波吸收系数等对灌浆质量进行评价</w:t>
      </w:r>
      <w:r>
        <w:rPr>
          <w:rFonts w:asciiTheme="minorEastAsia" w:hAnsiTheme="minorEastAsia" w:eastAsiaTheme="minorEastAsia"/>
          <w:sz w:val="21"/>
          <w:szCs w:val="21"/>
        </w:rPr>
        <w:t>。</w:t>
      </w:r>
    </w:p>
    <w:p>
      <w:pPr>
        <w:pStyle w:val="6"/>
        <w:spacing w:line="360" w:lineRule="auto"/>
        <w:ind w:firstLine="420" w:firstLineChars="200"/>
        <w:rPr>
          <w:rFonts w:hint="eastAsia" w:asciiTheme="minorEastAsia" w:hAnsiTheme="minorEastAsia" w:eastAsiaTheme="minorEastAsia"/>
          <w:sz w:val="21"/>
          <w:szCs w:val="21"/>
        </w:rPr>
      </w:pPr>
      <w:r>
        <w:rPr>
          <w:rFonts w:asciiTheme="minorEastAsia" w:hAnsiTheme="minorEastAsia" w:eastAsiaTheme="minorEastAsia"/>
          <w:sz w:val="21"/>
          <w:szCs w:val="21"/>
        </w:rPr>
        <w:t>封</w:t>
      </w:r>
      <w:r>
        <w:rPr>
          <w:rFonts w:hint="eastAsia" w:asciiTheme="minorEastAsia" w:hAnsiTheme="minorEastAsia" w:eastAsiaTheme="minorEastAsia"/>
          <w:sz w:val="21"/>
          <w:szCs w:val="21"/>
        </w:rPr>
        <w:t>封孔质量采用在原灌浆孔内钻孔取芯方法进行检查,钻孔过程中严格控制钻压，随时测量孔斜，尽可能保证钻孔至原灌浆孔孔底，这样可同时对原钻孔深度是否满足设计要求进行检查；如因地质条件等原因，钻孔过程中偏离原孔孔向，在原灌浆孔中钻孔深度应不少于15m。</w:t>
      </w:r>
    </w:p>
    <w:p>
      <w:pPr>
        <w:snapToGrid w:val="0"/>
        <w:spacing w:line="360" w:lineRule="auto"/>
        <w:rPr>
          <w:rFonts w:hint="eastAsia" w:cs="微软雅黑" w:asciiTheme="minorEastAsia" w:hAnsiTheme="minorEastAsia"/>
          <w:szCs w:val="21"/>
        </w:rPr>
      </w:pPr>
      <w:r>
        <w:rPr>
          <w:rFonts w:hint="eastAsia" w:ascii="黑体" w:hAnsi="黑体" w:eastAsia="黑体" w:cs="黑体"/>
        </w:rPr>
        <w:t>4.3.4</w:t>
      </w:r>
      <w:r>
        <w:rPr>
          <w:rFonts w:cs="Times New Roman" w:asciiTheme="minorEastAsia" w:hAnsiTheme="minorEastAsia"/>
          <w:b/>
          <w:sz w:val="24"/>
          <w:szCs w:val="24"/>
        </w:rPr>
        <w:t xml:space="preserve"> </w:t>
      </w:r>
      <w:r>
        <w:rPr>
          <w:rFonts w:hint="eastAsia" w:cs="Times New Roman" w:asciiTheme="minorEastAsia" w:hAnsiTheme="minorEastAsia"/>
          <w:b/>
          <w:sz w:val="24"/>
          <w:szCs w:val="24"/>
        </w:rPr>
        <w:t xml:space="preserve"> </w:t>
      </w:r>
      <w:r>
        <w:rPr>
          <w:rFonts w:hint="eastAsia" w:cs="微软雅黑" w:asciiTheme="minorEastAsia" w:hAnsiTheme="minorEastAsia"/>
          <w:szCs w:val="21"/>
        </w:rPr>
        <w:t>如有特殊要求时，应结合灌浆工程特点以及检测单元内工程质量评价需要确定检测数量。</w:t>
      </w:r>
    </w:p>
    <w:p>
      <w:pPr>
        <w:snapToGrid w:val="0"/>
        <w:spacing w:line="360" w:lineRule="auto"/>
        <w:rPr>
          <w:rFonts w:hint="eastAsia" w:cs="微软雅黑" w:asciiTheme="minorEastAsia" w:hAnsiTheme="minorEastAsia"/>
          <w:szCs w:val="21"/>
        </w:rPr>
      </w:pPr>
      <w:r>
        <w:rPr>
          <w:rFonts w:hint="eastAsia" w:ascii="黑体" w:hAnsi="黑体" w:eastAsia="黑体" w:cs="黑体"/>
        </w:rPr>
        <w:t>4.3.5</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cs="Times New Roman" w:asciiTheme="minorEastAsia" w:hAnsiTheme="minorEastAsia"/>
          <w:b/>
          <w:sz w:val="24"/>
          <w:szCs w:val="24"/>
        </w:rPr>
        <w:t xml:space="preserve"> </w:t>
      </w:r>
      <w:r>
        <w:rPr>
          <w:rFonts w:hint="eastAsia" w:cs="微软雅黑" w:asciiTheme="minorEastAsia" w:hAnsiTheme="minorEastAsia"/>
          <w:szCs w:val="21"/>
        </w:rPr>
        <w:t>本条根据现行有关技术标准提出了相应检测项目的单元质量评价标准，如设计技术文件有相关要求，应遵照设计技术文件要求执行。</w:t>
      </w:r>
    </w:p>
    <w:p>
      <w:pPr>
        <w:pStyle w:val="3"/>
        <w:snapToGrid w:val="0"/>
        <w:spacing w:before="156" w:beforeLines="50" w:after="156" w:afterLines="50" w:line="360" w:lineRule="auto"/>
        <w:jc w:val="center"/>
        <w:rPr>
          <w:rFonts w:ascii="黑体" w:hAnsi="黑体" w:cs="黑体"/>
          <w:sz w:val="24"/>
          <w:szCs w:val="24"/>
        </w:rPr>
      </w:pPr>
      <w:bookmarkStart w:id="284" w:name="_Toc193028416"/>
      <w:bookmarkStart w:id="285" w:name="_Toc12311"/>
      <w:bookmarkStart w:id="286" w:name="_Toc19711"/>
      <w:bookmarkStart w:id="287" w:name="_Toc846"/>
      <w:r>
        <w:rPr>
          <w:rFonts w:ascii="黑体" w:hAnsi="黑体" w:cs="黑体"/>
          <w:sz w:val="24"/>
          <w:szCs w:val="24"/>
        </w:rPr>
        <w:t>4.4  防 渗 墙</w:t>
      </w:r>
      <w:bookmarkEnd w:id="284"/>
      <w:bookmarkEnd w:id="285"/>
      <w:bookmarkEnd w:id="286"/>
      <w:bookmarkEnd w:id="287"/>
    </w:p>
    <w:p>
      <w:pPr>
        <w:pStyle w:val="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opLinePunct/>
        <w:snapToGrid w:val="0"/>
        <w:spacing w:line="360" w:lineRule="auto"/>
        <w:rPr>
          <w:rFonts w:hint="eastAsia" w:asciiTheme="minorEastAsia" w:hAnsiTheme="minorEastAsia" w:eastAsiaTheme="minorEastAsia"/>
          <w:kern w:val="0"/>
          <w:lang w:bidi="th-TH"/>
        </w:rPr>
      </w:pPr>
      <w:r>
        <w:rPr>
          <w:rFonts w:hint="eastAsia" w:ascii="黑体" w:hAnsi="黑体" w:eastAsia="黑体" w:cs="黑体"/>
          <w:szCs w:val="22"/>
        </w:rPr>
        <w:t>4.4.3</w:t>
      </w:r>
      <w:r>
        <w:rPr>
          <w:rFonts w:hint="eastAsia" w:ascii="黑体" w:hAnsi="黑体" w:eastAsia="黑体" w:cs="黑体"/>
          <w:lang w:eastAsia="zh-CN"/>
        </w:rPr>
        <w:t>【</w:t>
      </w:r>
      <w:r>
        <w:rPr>
          <w:rFonts w:hint="eastAsia" w:ascii="黑体" w:hAnsi="黑体" w:eastAsia="黑体" w:cs="黑体"/>
        </w:rPr>
        <w:t>修订</w:t>
      </w:r>
      <w:r>
        <w:rPr>
          <w:rFonts w:hint="eastAsia" w:ascii="黑体" w:hAnsi="黑体" w:eastAsia="黑体" w:cs="黑体"/>
          <w:lang w:eastAsia="zh-CN"/>
        </w:rPr>
        <w:t>】</w:t>
      </w:r>
      <w:r>
        <w:rPr>
          <w:rFonts w:hint="eastAsia" w:asciiTheme="minorEastAsia" w:hAnsiTheme="minorEastAsia" w:eastAsiaTheme="minorEastAsia"/>
        </w:rPr>
        <w:t xml:space="preserve"> </w:t>
      </w:r>
      <w:r>
        <w:rPr>
          <w:rFonts w:hint="eastAsia" w:asciiTheme="minorEastAsia" w:hAnsiTheme="minorEastAsia" w:eastAsiaTheme="minorEastAsia"/>
          <w:kern w:val="0"/>
          <w:lang w:bidi="th-TH"/>
        </w:rPr>
        <w:t>检测方法依据墙体材料、深度、施工方式、环境条件等情况进行选择。应注意以下情况：防渗墙的施工方式、墙体材料特性、设计、地质水文资料对检测方法选择、参数设置、资料解释有直接影响。防渗墙异常存在多解性，应采用综合物探方法检测可降低多解性</w:t>
      </w:r>
      <w:r>
        <w:rPr>
          <w:rFonts w:asciiTheme="minorEastAsia" w:hAnsiTheme="minorEastAsia" w:eastAsiaTheme="minorEastAsia"/>
          <w:kern w:val="0"/>
          <w:lang w:bidi="th-TH"/>
        </w:rPr>
        <w:t>。</w:t>
      </w:r>
    </w:p>
    <w:p>
      <w:pPr>
        <w:pStyle w:val="6"/>
        <w:spacing w:line="360" w:lineRule="auto"/>
        <w:ind w:left="2" w:right="74" w:hanging="2"/>
        <w:rPr>
          <w:rFonts w:hint="eastAsia" w:asciiTheme="minorEastAsia" w:hAnsiTheme="minorEastAsia" w:eastAsiaTheme="minorEastAsia"/>
          <w:sz w:val="21"/>
          <w:szCs w:val="21"/>
        </w:rPr>
      </w:pPr>
      <w:r>
        <w:rPr>
          <w:rFonts w:hint="eastAsia" w:ascii="黑体" w:hAnsi="黑体" w:eastAsia="黑体" w:cs="黑体"/>
          <w:sz w:val="21"/>
          <w:szCs w:val="22"/>
        </w:rPr>
        <w:t xml:space="preserve">4.4.4 </w:t>
      </w:r>
      <w:r>
        <w:rPr>
          <w:rFonts w:asciiTheme="minorEastAsia" w:hAnsiTheme="minorEastAsia" w:eastAsiaTheme="minorEastAsia"/>
          <w:sz w:val="21"/>
          <w:szCs w:val="21"/>
        </w:rPr>
        <w:t xml:space="preserve"> </w:t>
      </w:r>
      <w:r>
        <w:rPr>
          <w:rFonts w:hint="eastAsia" w:ascii="黑体" w:hAnsi="黑体" w:eastAsia="黑体" w:cs="黑体"/>
          <w:sz w:val="21"/>
          <w:szCs w:val="22"/>
        </w:rPr>
        <w:t xml:space="preserve">2 </w:t>
      </w:r>
      <w:r>
        <w:rPr>
          <w:rFonts w:hint="eastAsia" w:asciiTheme="minorEastAsia" w:hAnsiTheme="minorEastAsia" w:eastAsiaTheme="minorEastAsia"/>
          <w:sz w:val="21"/>
          <w:szCs w:val="21"/>
        </w:rPr>
        <w:t xml:space="preserve"> 检测孔的布置应考虑到各检测项目的需要，统筹布置。取样检测孔可用于进一步开展跨孔声波、弹性波CT等方法，为保证弹性波CT检测效果，检测孔孔距不宜过大</w:t>
      </w:r>
      <w:r>
        <w:rPr>
          <w:rFonts w:asciiTheme="minorEastAsia" w:hAnsiTheme="minorEastAsia" w:eastAsiaTheme="minorEastAsia"/>
          <w:sz w:val="21"/>
          <w:szCs w:val="21"/>
        </w:rPr>
        <w:t>。</w:t>
      </w:r>
    </w:p>
    <w:p>
      <w:pPr>
        <w:pStyle w:val="6"/>
        <w:spacing w:line="360" w:lineRule="auto"/>
        <w:ind w:left="2" w:right="74" w:firstLine="420" w:firstLineChars="200"/>
        <w:rPr>
          <w:rFonts w:hint="eastAsia" w:asciiTheme="minorEastAsia" w:hAnsiTheme="minorEastAsia" w:eastAsiaTheme="minorEastAsia"/>
          <w:sz w:val="21"/>
          <w:szCs w:val="21"/>
        </w:rPr>
      </w:pPr>
      <w:r>
        <w:rPr>
          <w:rFonts w:hint="eastAsia" w:ascii="黑体" w:hAnsi="黑体" w:eastAsia="黑体" w:cs="黑体"/>
          <w:sz w:val="21"/>
          <w:szCs w:val="22"/>
        </w:rPr>
        <w:t>3</w:t>
      </w:r>
      <w:r>
        <w:rPr>
          <w:rFonts w:hint="eastAsia" w:ascii="黑体" w:hAnsi="黑体" w:eastAsia="黑体" w:cs="黑体"/>
          <w:sz w:val="21"/>
          <w:szCs w:val="21"/>
          <w:lang w:eastAsia="zh-CN"/>
        </w:rPr>
        <w:t>【</w:t>
      </w:r>
      <w:r>
        <w:rPr>
          <w:rFonts w:hint="eastAsia" w:ascii="黑体" w:hAnsi="黑体" w:eastAsia="黑体" w:cs="黑体"/>
          <w:sz w:val="21"/>
          <w:szCs w:val="21"/>
        </w:rPr>
        <w:t>修订</w:t>
      </w:r>
      <w:r>
        <w:rPr>
          <w:rFonts w:hint="eastAsia" w:ascii="黑体" w:hAnsi="黑体" w:eastAsia="黑体" w:cs="黑体"/>
          <w:sz w:val="21"/>
          <w:szCs w:val="21"/>
          <w:lang w:eastAsia="zh-CN"/>
        </w:rPr>
        <w:t>】</w:t>
      </w:r>
      <w:r>
        <w:rPr>
          <w:rFonts w:asciiTheme="minorEastAsia" w:hAnsiTheme="minorEastAsia" w:eastAsiaTheme="minorEastAsia"/>
          <w:sz w:val="21"/>
          <w:szCs w:val="21"/>
        </w:rPr>
        <w:t xml:space="preserve"> </w:t>
      </w:r>
      <w:r>
        <w:rPr>
          <w:rFonts w:hint="eastAsia" w:asciiTheme="minorEastAsia" w:hAnsiTheme="minorEastAsia" w:eastAsiaTheme="minorEastAsia"/>
          <w:sz w:val="21"/>
          <w:szCs w:val="21"/>
        </w:rPr>
        <w:t>防渗墙墙体渗透系数检测时，注水试验适用于不能进行压水试验的防渗墙墙体。对于防渗系数设计指标较低、墙体较薄的塑性混凝土防渗墙，宜采用注水试验或围井试验。塑性混凝土试样的抗渗性测试宜采用稳定渗流法。试验完毕后，应采用合适的材料进行封孔处理，保证墙体的防渗性能，可以采用黏土、砂浆或高聚物材料进行封孔。利用钻孔芯样测试的渗透系数，一般存在小于原位测试结果的情况，评价时应注意修正系数或相应降低指标要求。防渗效果也可根据工程情况，选用注水(压水)试验、围井试验等方法进行检测评价</w:t>
      </w:r>
      <w:r>
        <w:rPr>
          <w:rFonts w:asciiTheme="minorEastAsia" w:hAnsiTheme="minorEastAsia" w:eastAsiaTheme="minorEastAsia"/>
          <w:sz w:val="21"/>
          <w:szCs w:val="21"/>
        </w:rPr>
        <w:t>。</w:t>
      </w:r>
    </w:p>
    <w:p>
      <w:pPr>
        <w:pStyle w:val="3"/>
        <w:snapToGrid w:val="0"/>
        <w:spacing w:before="156" w:beforeLines="50" w:after="156" w:afterLines="50" w:line="360" w:lineRule="auto"/>
        <w:jc w:val="center"/>
        <w:rPr>
          <w:rFonts w:ascii="黑体" w:hAnsi="黑体" w:cs="黑体"/>
          <w:sz w:val="24"/>
          <w:szCs w:val="24"/>
        </w:rPr>
      </w:pPr>
      <w:bookmarkStart w:id="288" w:name="_Toc193028417"/>
      <w:bookmarkStart w:id="289" w:name="_Toc26173"/>
      <w:bookmarkStart w:id="290" w:name="_Toc13082"/>
      <w:bookmarkStart w:id="291" w:name="_Toc1392"/>
      <w:r>
        <w:rPr>
          <w:rFonts w:ascii="黑体" w:hAnsi="黑体" w:cs="黑体"/>
          <w:sz w:val="24"/>
          <w:szCs w:val="24"/>
        </w:rPr>
        <w:t>4.5  基  桩</w:t>
      </w:r>
      <w:bookmarkEnd w:id="288"/>
      <w:bookmarkEnd w:id="289"/>
      <w:bookmarkEnd w:id="290"/>
      <w:bookmarkEnd w:id="291"/>
    </w:p>
    <w:p>
      <w:pPr>
        <w:snapToGrid w:val="0"/>
        <w:spacing w:line="360" w:lineRule="auto"/>
        <w:rPr>
          <w:rFonts w:hint="eastAsia" w:asciiTheme="minorEastAsia" w:hAnsiTheme="minorEastAsia"/>
          <w:snapToGrid w:val="0"/>
          <w:kern w:val="0"/>
          <w:szCs w:val="21"/>
        </w:rPr>
      </w:pPr>
      <w:r>
        <w:rPr>
          <w:rFonts w:hint="eastAsia" w:ascii="黑体" w:hAnsi="黑体" w:eastAsia="黑体" w:cs="黑体"/>
        </w:rPr>
        <w:t>4.5.1</w:t>
      </w:r>
      <w:r>
        <w:rPr>
          <w:rFonts w:hint="eastAsia" w:ascii="黑体" w:hAnsi="黑体" w:eastAsia="黑体" w:cs="黑体"/>
          <w:lang w:eastAsia="zh-CN"/>
        </w:rPr>
        <w:t>【</w:t>
      </w:r>
      <w:r>
        <w:rPr>
          <w:rFonts w:hint="eastAsia" w:ascii="黑体" w:hAnsi="黑体" w:eastAsia="黑体" w:cs="黑体"/>
        </w:rPr>
        <w:t>修订</w:t>
      </w:r>
      <w:r>
        <w:rPr>
          <w:rFonts w:hint="eastAsia" w:ascii="黑体" w:hAnsi="黑体" w:eastAsia="黑体" w:cs="黑体"/>
          <w:lang w:eastAsia="zh-CN"/>
        </w:rPr>
        <w:t>】</w:t>
      </w:r>
      <w:r>
        <w:rPr>
          <w:rFonts w:hint="eastAsia" w:asciiTheme="minorEastAsia" w:hAnsiTheme="minorEastAsia"/>
          <w:snapToGrid w:val="0"/>
          <w:kern w:val="0"/>
          <w:szCs w:val="21"/>
        </w:rPr>
        <w:t xml:space="preserve">  设计或委托方要求开展桩身内力测试等未列出项目的，可根据相应技术标准开展检测。其他类型基桩的检测项目可参照条件相近基桩的项目执行。</w:t>
      </w:r>
    </w:p>
    <w:p>
      <w:pPr>
        <w:snapToGrid w:val="0"/>
        <w:spacing w:line="360" w:lineRule="auto"/>
        <w:rPr>
          <w:rFonts w:hint="eastAsia" w:asciiTheme="minorEastAsia" w:hAnsiTheme="minorEastAsia"/>
          <w:snapToGrid w:val="0"/>
          <w:kern w:val="0"/>
          <w:szCs w:val="21"/>
        </w:rPr>
      </w:pPr>
      <w:r>
        <w:rPr>
          <w:rFonts w:hint="eastAsia" w:ascii="黑体" w:hAnsi="黑体" w:eastAsia="黑体" w:cs="黑体"/>
        </w:rPr>
        <w:t>4.5.3</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黑体"/>
          <w:szCs w:val="21"/>
        </w:rPr>
        <w:t xml:space="preserve"> </w:t>
      </w:r>
      <w:r>
        <w:rPr>
          <w:rFonts w:hint="eastAsia" w:asciiTheme="minorEastAsia" w:hAnsiTheme="minorEastAsia"/>
          <w:snapToGrid w:val="0"/>
          <w:kern w:val="0"/>
          <w:szCs w:val="21"/>
        </w:rPr>
        <w:t xml:space="preserve"> </w:t>
      </w:r>
      <w:r>
        <w:rPr>
          <w:rFonts w:hint="eastAsia" w:asciiTheme="minorEastAsia" w:hAnsiTheme="minorEastAsia"/>
          <w:kern w:val="0"/>
          <w:szCs w:val="21"/>
        </w:rPr>
        <w:t>钻芯法、低应变法、声波透射法、高应变法检测，以及单桩竖向抗压静载试验、单桩竖向抗拔静载试验、单桩水平静载试验，应执行JGJ 106的规定，磁测井法应执行CJJ/T 7的规定，自平衡静载试验应执行JGJ/T 403的规定，灌注桩成孔质量检测应执行JGJ 94的规定。</w:t>
      </w:r>
    </w:p>
    <w:p>
      <w:pPr>
        <w:snapToGrid w:val="0"/>
        <w:spacing w:line="360" w:lineRule="auto"/>
        <w:rPr>
          <w:rFonts w:hint="eastAsia" w:cs="Times New Roman" w:asciiTheme="minorEastAsia" w:hAnsiTheme="minorEastAsia"/>
          <w:bCs/>
          <w:color w:val="000000" w:themeColor="text1"/>
          <w:szCs w:val="21"/>
          <w14:textFill>
            <w14:solidFill>
              <w14:schemeClr w14:val="tx1"/>
            </w14:solidFill>
          </w14:textFill>
        </w:rPr>
      </w:pPr>
      <w:r>
        <w:rPr>
          <w:rFonts w:hint="eastAsia" w:ascii="黑体" w:hAnsi="黑体" w:eastAsia="黑体" w:cs="黑体"/>
        </w:rPr>
        <w:t>4.5.4</w:t>
      </w:r>
      <w:r>
        <w:rPr>
          <w:rFonts w:hint="eastAsia" w:ascii="黑体" w:hAnsi="黑体" w:eastAsia="黑体" w:cs="黑体"/>
          <w:lang w:eastAsia="zh-CN"/>
        </w:rPr>
        <w:t>【</w:t>
      </w:r>
      <w:r>
        <w:rPr>
          <w:rFonts w:hint="eastAsia" w:ascii="黑体" w:hAnsi="黑体" w:eastAsia="黑体" w:cs="黑体"/>
        </w:rPr>
        <w:t>修订</w:t>
      </w:r>
      <w:r>
        <w:rPr>
          <w:rFonts w:hint="eastAsia" w:ascii="黑体" w:hAnsi="黑体" w:eastAsia="黑体" w:cs="黑体"/>
          <w:lang w:eastAsia="zh-CN"/>
        </w:rPr>
        <w:t>】</w:t>
      </w:r>
      <w:r>
        <w:rPr>
          <w:rFonts w:hint="eastAsia" w:ascii="黑体" w:hAnsi="黑体" w:eastAsia="黑体" w:cs="黑体"/>
        </w:rPr>
        <w:t xml:space="preserve"> </w:t>
      </w:r>
      <w:r>
        <w:rPr>
          <w:rFonts w:hint="eastAsia" w:asciiTheme="minorEastAsia" w:hAnsiTheme="minorEastAsia"/>
          <w:kern w:val="0"/>
          <w:szCs w:val="21"/>
        </w:rPr>
        <w:t>采用低应变法检测桩长范围时，应在现场开展试验进行确定。对于桩径大于2m和桩长大于40m的基桩，宜用声波透射法检测。进行灌注桩的承载力检测时，应具有现场实测经验和本地区相近条件下的可靠对比验证资料；对于大直径扩底和Q-S曲线具有缓变型特征的大直径灌注桩，不宜采用高应变法进行竖向抗压承载力检测。基桩桩身混凝土钻芯试件的加工和测量应符合现行JGJ 106的规定；混凝土芯样试件的抗压强度试验应按现行GB/T 50081执行</w:t>
      </w:r>
      <w:r>
        <w:rPr>
          <w:rFonts w:cs="Times New Roman" w:asciiTheme="minorEastAsia" w:hAnsiTheme="minorEastAsia"/>
          <w:bCs/>
          <w:color w:val="000000" w:themeColor="text1"/>
          <w:szCs w:val="21"/>
          <w14:textFill>
            <w14:solidFill>
              <w14:schemeClr w14:val="tx1"/>
            </w14:solidFill>
          </w14:textFill>
        </w:rPr>
        <w:t>。</w:t>
      </w:r>
    </w:p>
    <w:p>
      <w:pPr>
        <w:pStyle w:val="3"/>
        <w:snapToGrid w:val="0"/>
        <w:spacing w:before="156" w:beforeLines="50" w:after="156" w:afterLines="50" w:line="360" w:lineRule="auto"/>
        <w:jc w:val="center"/>
        <w:rPr>
          <w:rFonts w:ascii="黑体" w:hAnsi="黑体" w:cs="黑体"/>
          <w:sz w:val="24"/>
          <w:szCs w:val="24"/>
        </w:rPr>
      </w:pPr>
      <w:bookmarkStart w:id="292" w:name="_Toc22811"/>
      <w:bookmarkStart w:id="293" w:name="_Toc8875"/>
      <w:bookmarkStart w:id="294" w:name="_Toc22306"/>
      <w:bookmarkStart w:id="295" w:name="_Toc193028418"/>
      <w:r>
        <w:rPr>
          <w:rFonts w:ascii="黑体" w:hAnsi="黑体" w:cs="黑体"/>
          <w:sz w:val="24"/>
          <w:szCs w:val="24"/>
        </w:rPr>
        <w:t>4.6  支护工程</w:t>
      </w:r>
      <w:bookmarkEnd w:id="292"/>
      <w:bookmarkEnd w:id="293"/>
      <w:bookmarkEnd w:id="294"/>
      <w:bookmarkEnd w:id="295"/>
    </w:p>
    <w:p>
      <w:pPr>
        <w:pStyle w:val="6"/>
        <w:spacing w:before="144" w:line="360" w:lineRule="auto"/>
        <w:ind w:left="3" w:right="6" w:hanging="3"/>
        <w:rPr>
          <w:rFonts w:hint="eastAsia" w:asciiTheme="minorEastAsia" w:hAnsiTheme="minorEastAsia" w:eastAsiaTheme="minorEastAsia"/>
          <w:sz w:val="21"/>
          <w:szCs w:val="21"/>
        </w:rPr>
      </w:pPr>
      <w:r>
        <w:rPr>
          <w:rFonts w:hint="eastAsia" w:ascii="黑体" w:hAnsi="黑体" w:eastAsia="黑体" w:cs="黑体"/>
          <w:sz w:val="21"/>
          <w:szCs w:val="21"/>
        </w:rPr>
        <w:t>4.6.1</w:t>
      </w:r>
      <w:r>
        <w:rPr>
          <w:rFonts w:hint="eastAsia" w:ascii="黑体" w:hAnsi="黑体" w:eastAsia="黑体" w:cs="黑体"/>
          <w:sz w:val="21"/>
          <w:szCs w:val="21"/>
          <w:lang w:eastAsia="zh-CN"/>
        </w:rPr>
        <w:t>【</w:t>
      </w:r>
      <w:r>
        <w:rPr>
          <w:rFonts w:hint="eastAsia" w:ascii="黑体" w:hAnsi="黑体" w:eastAsia="黑体" w:cs="黑体"/>
          <w:sz w:val="21"/>
          <w:szCs w:val="21"/>
        </w:rPr>
        <w:t>修订</w:t>
      </w:r>
      <w:r>
        <w:rPr>
          <w:rFonts w:hint="eastAsia" w:ascii="黑体" w:hAnsi="黑体" w:eastAsia="黑体" w:cs="黑体"/>
          <w:sz w:val="21"/>
          <w:szCs w:val="21"/>
          <w:lang w:eastAsia="zh-CN"/>
        </w:rPr>
        <w:t>】</w:t>
      </w:r>
      <w:r>
        <w:rPr>
          <w:rFonts w:hint="eastAsia" w:asciiTheme="minorEastAsia" w:hAnsiTheme="minorEastAsia" w:eastAsiaTheme="minorEastAsia"/>
          <w:sz w:val="21"/>
          <w:szCs w:val="21"/>
        </w:rPr>
        <w:t xml:space="preserve"> </w:t>
      </w:r>
      <w:r>
        <w:rPr>
          <w:rFonts w:hint="eastAsia" w:asciiTheme="minorEastAsia" w:hAnsiTheme="minorEastAsia" w:eastAsiaTheme="minorEastAsia"/>
          <w:sz w:val="21"/>
          <w:szCs w:val="21"/>
        </w:rPr>
        <w:t>国家标准《岩土锚杆与喷射混凝土支护工程技术规范》GB 50086-2015中12.1.19规定“工程锚杆必须进行验收试验。其中占锚杆总量5%且不少于3根的锚杆应进行多循环张拉验收试验，占锚杆总量95%的锚杆应进行单循环张拉验收试验。”也就是所有锚索都必须进行验收试验。</w:t>
      </w:r>
    </w:p>
    <w:p>
      <w:pPr>
        <w:pStyle w:val="6"/>
        <w:spacing w:before="38" w:line="360" w:lineRule="auto"/>
        <w:ind w:right="6"/>
        <w:rPr>
          <w:rFonts w:hint="eastAsia" w:asciiTheme="minorEastAsia" w:hAnsiTheme="minorEastAsia" w:eastAsiaTheme="minorEastAsia"/>
          <w:sz w:val="21"/>
          <w:szCs w:val="21"/>
        </w:rPr>
      </w:pPr>
      <w:r>
        <w:rPr>
          <w:rFonts w:hint="eastAsia" w:ascii="黑体" w:hAnsi="黑体" w:eastAsia="黑体" w:cs="黑体"/>
          <w:sz w:val="21"/>
          <w:szCs w:val="22"/>
        </w:rPr>
        <w:t>4.6.3</w:t>
      </w:r>
      <w:r>
        <w:rPr>
          <w:rFonts w:hint="eastAsia" w:ascii="黑体" w:hAnsi="黑体" w:eastAsia="黑体" w:cs="黑体"/>
          <w:sz w:val="21"/>
          <w:szCs w:val="21"/>
          <w:lang w:eastAsia="zh-CN"/>
        </w:rPr>
        <w:t>【</w:t>
      </w:r>
      <w:r>
        <w:rPr>
          <w:rFonts w:hint="eastAsia" w:ascii="黑体" w:hAnsi="黑体" w:eastAsia="黑体" w:cs="黑体"/>
          <w:sz w:val="21"/>
          <w:szCs w:val="21"/>
        </w:rPr>
        <w:t>修订</w:t>
      </w:r>
      <w:r>
        <w:rPr>
          <w:rFonts w:hint="eastAsia" w:ascii="黑体" w:hAnsi="黑体" w:eastAsia="黑体" w:cs="黑体"/>
          <w:sz w:val="21"/>
          <w:szCs w:val="21"/>
          <w:lang w:eastAsia="zh-CN"/>
        </w:rPr>
        <w:t>】</w:t>
      </w:r>
      <w:r>
        <w:rPr>
          <w:rFonts w:hint="eastAsia" w:asciiTheme="minorEastAsia" w:hAnsiTheme="minorEastAsia" w:eastAsiaTheme="minorEastAsia"/>
          <w:sz w:val="21"/>
          <w:szCs w:val="21"/>
        </w:rPr>
        <w:t>锚杆、锚筋桩检测工作应优先选择无损检测方法,当发现或怀疑有质量问题锚杆时,再增加拉拔力试验。无损检测与拉拔力检测对锚杆外露长度要求不同,进行无损检测时,锚杆外露长度不应过长,宜小于0.2m；拉拔力检测时,锚杆外露长度不宜过小,应符合检测设备的要求</w:t>
      </w:r>
      <w:r>
        <w:rPr>
          <w:rFonts w:asciiTheme="minorEastAsia" w:hAnsiTheme="minorEastAsia" w:eastAsiaTheme="minorEastAsia"/>
          <w:sz w:val="21"/>
          <w:szCs w:val="21"/>
        </w:rPr>
        <w:t>。</w:t>
      </w:r>
    </w:p>
    <w:p>
      <w:pPr>
        <w:pStyle w:val="6"/>
        <w:spacing w:before="38" w:line="360" w:lineRule="auto"/>
        <w:ind w:right="6" w:firstLine="420" w:firstLineChars="200"/>
        <w:rPr>
          <w:rFonts w:hint="eastAsia" w:asciiTheme="minorEastAsia" w:hAnsiTheme="minorEastAsia" w:eastAsiaTheme="minorEastAsia"/>
          <w:sz w:val="21"/>
          <w:szCs w:val="21"/>
        </w:rPr>
      </w:pPr>
      <w:r>
        <w:rPr>
          <w:rFonts w:hint="eastAsia" w:asciiTheme="minorEastAsia" w:hAnsiTheme="minorEastAsia" w:eastAsiaTheme="minorEastAsia"/>
          <w:sz w:val="21"/>
          <w:szCs w:val="21"/>
        </w:rPr>
        <w:t>锚索锚固质量检测包含基本试验、蠕变试验和验收试验。试验检测应根据试验目的采用不同的分级加载方式，根据相关技术标准及规范实施。锚索外露长度应满足千斤顶安装要求。锚索基本试验的地层条件、锚索杆体和参数、施工工艺应与工程锚杆相同且试验数量不少于3根；蠕变试验是反映锚索蠕变特性的一个主要参数，它表明蠕变的变化趋势，由此可判断锚索的长期工作性能。验收试验是强制性条文，是检验锚索的抗拉承载力，筋体受拉自由段长度和蠕变率能否满足设计与规范要求，判别锚索质量是否合格的唯一科学而可靠的方法。</w:t>
      </w:r>
    </w:p>
    <w:p>
      <w:pPr>
        <w:pStyle w:val="6"/>
        <w:spacing w:before="38" w:line="360" w:lineRule="auto"/>
        <w:ind w:right="6"/>
        <w:rPr>
          <w:rFonts w:hint="eastAsia" w:cs="Times New Roman" w:asciiTheme="minorEastAsia" w:hAnsiTheme="minorEastAsia" w:eastAsiaTheme="minorEastAsia"/>
          <w:b/>
          <w:sz w:val="21"/>
          <w:szCs w:val="21"/>
        </w:rPr>
      </w:pPr>
      <w:r>
        <w:rPr>
          <w:rFonts w:hint="eastAsia" w:ascii="黑体" w:hAnsi="黑体" w:eastAsia="黑体" w:cs="黑体"/>
          <w:sz w:val="21"/>
          <w:szCs w:val="22"/>
        </w:rPr>
        <w:t xml:space="preserve">4.6.4 </w:t>
      </w:r>
      <w:r>
        <w:rPr>
          <w:rFonts w:hint="eastAsia" w:cs="Times New Roman" w:asciiTheme="minorEastAsia" w:hAnsiTheme="minorEastAsia" w:eastAsiaTheme="minorEastAsia"/>
          <w:b/>
          <w:sz w:val="21"/>
          <w:szCs w:val="21"/>
        </w:rPr>
        <w:t xml:space="preserve"> </w:t>
      </w:r>
    </w:p>
    <w:p>
      <w:pPr>
        <w:pStyle w:val="6"/>
        <w:spacing w:before="38" w:line="360" w:lineRule="auto"/>
        <w:ind w:right="6" w:firstLine="420" w:firstLineChars="200"/>
        <w:rPr>
          <w:rFonts w:hint="eastAsia" w:asciiTheme="minorEastAsia" w:hAnsiTheme="minorEastAsia" w:eastAsiaTheme="minorEastAsia"/>
          <w:sz w:val="21"/>
          <w:szCs w:val="21"/>
        </w:rPr>
      </w:pPr>
      <w:r>
        <w:rPr>
          <w:rFonts w:hint="eastAsia" w:ascii="黑体" w:hAnsi="黑体" w:eastAsia="黑体" w:cs="黑体"/>
          <w:sz w:val="21"/>
          <w:szCs w:val="22"/>
        </w:rPr>
        <w:t>1～2</w:t>
      </w:r>
      <w:r>
        <w:rPr>
          <w:rFonts w:hint="eastAsia" w:ascii="黑体" w:hAnsi="黑体" w:eastAsia="黑体" w:cs="黑体"/>
          <w:spacing w:val="20"/>
          <w:position w:val="-2"/>
          <w:sz w:val="21"/>
          <w:szCs w:val="21"/>
          <w:lang w:eastAsia="zh-CN"/>
        </w:rPr>
        <w:t>【</w:t>
      </w:r>
      <w:r>
        <w:rPr>
          <w:rFonts w:hint="eastAsia" w:ascii="黑体" w:hAnsi="黑体" w:eastAsia="黑体" w:cs="黑体"/>
          <w:spacing w:val="20"/>
          <w:position w:val="-2"/>
          <w:sz w:val="21"/>
          <w:szCs w:val="21"/>
        </w:rPr>
        <w:t>新增</w:t>
      </w:r>
      <w:r>
        <w:rPr>
          <w:rFonts w:hint="eastAsia" w:ascii="黑体" w:hAnsi="黑体" w:eastAsia="黑体" w:cs="黑体"/>
          <w:spacing w:val="20"/>
          <w:position w:val="-2"/>
          <w:sz w:val="21"/>
          <w:szCs w:val="21"/>
          <w:lang w:eastAsia="zh-CN"/>
        </w:rPr>
        <w:t>】</w:t>
      </w:r>
      <w:r>
        <w:rPr>
          <w:rFonts w:hint="eastAsia" w:ascii="黑体" w:hAnsi="黑体" w:eastAsia="黑体" w:cs="黑体"/>
          <w:sz w:val="21"/>
          <w:szCs w:val="22"/>
        </w:rPr>
        <w:t xml:space="preserve"> </w:t>
      </w:r>
      <w:r>
        <w:rPr>
          <w:rFonts w:hint="eastAsia" w:asciiTheme="minorEastAsia" w:hAnsiTheme="minorEastAsia" w:eastAsiaTheme="minorEastAsia"/>
          <w:sz w:val="21"/>
          <w:szCs w:val="21"/>
        </w:rPr>
        <w:t xml:space="preserve"> 对于特殊受力结构使用异形预应力筋或索的检测应根据其具体弯曲或折角形式遵循相应技术标准实施检测。如荷载分散型锚索包括压力分散型和拉力分散型锚索，可有三种方式进行，一种是对每个单元锚索单独进行常规的锚固质量检测，第二种方式采用多个千斤顶并联或千斤顶组完成锚索张拉试验，第三种方式是采用补偿张拉方式，按设计拉力条件下各单元锚索受力相等的原则，确定各单元锚杆起始荷载，依次对单元锚索进行预张拉，然后按常规试验方法进行试验</w:t>
      </w:r>
      <w:r>
        <w:rPr>
          <w:rFonts w:asciiTheme="minorEastAsia" w:hAnsiTheme="minorEastAsia" w:eastAsiaTheme="minorEastAsia"/>
          <w:sz w:val="21"/>
          <w:szCs w:val="21"/>
        </w:rPr>
        <w:t>。</w:t>
      </w:r>
    </w:p>
    <w:p>
      <w:pPr>
        <w:pStyle w:val="6"/>
        <w:spacing w:before="36" w:line="360" w:lineRule="auto"/>
        <w:ind w:right="6"/>
        <w:rPr>
          <w:rFonts w:hint="eastAsia" w:asciiTheme="minorEastAsia" w:hAnsiTheme="minorEastAsia" w:eastAsiaTheme="minorEastAsia"/>
          <w:sz w:val="21"/>
          <w:szCs w:val="21"/>
        </w:rPr>
      </w:pPr>
      <w:r>
        <w:rPr>
          <w:rFonts w:hint="eastAsia" w:cs="Times New Roman" w:asciiTheme="minorEastAsia" w:hAnsiTheme="minorEastAsia" w:eastAsiaTheme="minorEastAsia"/>
          <w:b/>
          <w:sz w:val="21"/>
          <w:szCs w:val="21"/>
        </w:rPr>
        <w:t xml:space="preserve">    </w:t>
      </w:r>
      <w:r>
        <w:rPr>
          <w:rFonts w:hint="eastAsia" w:asciiTheme="minorEastAsia" w:hAnsiTheme="minorEastAsia" w:eastAsiaTheme="minorEastAsia"/>
          <w:sz w:val="21"/>
          <w:szCs w:val="21"/>
        </w:rPr>
        <w:t>关于锚杆、锚筋桩检测结果不满足设计及规范要求，应对不合格部位进行处理，处理完成后应进行双倍抽检。关于锚索锚固质量检测结果不满足规范及设计要求，则应对不合格锚索进行工程处理，处理完成应再进行相关试验检测。</w:t>
      </w:r>
    </w:p>
    <w:p>
      <w:pPr>
        <w:spacing w:line="360" w:lineRule="auto"/>
        <w:ind w:firstLine="420" w:firstLineChars="200"/>
        <w:rPr>
          <w:rFonts w:hint="eastAsia" w:asciiTheme="minorEastAsia" w:hAnsiTheme="minorEastAsia"/>
          <w:szCs w:val="21"/>
        </w:rPr>
      </w:pPr>
      <w:r>
        <w:rPr>
          <w:rFonts w:hint="eastAsia" w:ascii="黑体" w:hAnsi="黑体" w:eastAsia="黑体" w:cs="黑体"/>
        </w:rPr>
        <w:t>3</w:t>
      </w:r>
      <w:r>
        <w:rPr>
          <w:rFonts w:hint="eastAsia" w:ascii="黑体" w:hAnsi="黑体" w:eastAsia="黑体" w:cs="黑体"/>
          <w:lang w:eastAsia="zh-CN"/>
        </w:rPr>
        <w:t>【</w:t>
      </w:r>
      <w:r>
        <w:rPr>
          <w:rFonts w:hint="eastAsia" w:ascii="黑体" w:hAnsi="黑体" w:eastAsia="黑体" w:cs="黑体"/>
        </w:rPr>
        <w:t>修订</w:t>
      </w:r>
      <w:r>
        <w:rPr>
          <w:rFonts w:hint="eastAsia" w:ascii="黑体" w:hAnsi="黑体" w:eastAsia="黑体" w:cs="黑体"/>
          <w:lang w:eastAsia="zh-CN"/>
        </w:rPr>
        <w:t>】</w:t>
      </w:r>
      <w:r>
        <w:rPr>
          <w:rFonts w:hint="eastAsia" w:asciiTheme="minorEastAsia" w:hAnsiTheme="minorEastAsia"/>
          <w:szCs w:val="21"/>
        </w:rPr>
        <w:t xml:space="preserve"> 与围岩黏结强度检测应优先采用预留试件拉拔法，没有预留试件的，应采用钻芯拉拔法。粘结力检测方法安装特制的锚固件，然后用液压千斤顶施加拉力，直到混凝土破裂，由此计算粘结力大小。注意事项是拉拔试验应避开接缝处，确保结果的有效性。</w:t>
      </w:r>
    </w:p>
    <w:p>
      <w:pPr>
        <w:rPr>
          <w:rFonts w:hint="eastAsia" w:asciiTheme="minorEastAsia" w:hAnsiTheme="minorEastAsia" w:cstheme="minorEastAsia"/>
          <w:color w:val="000000" w:themeColor="text1"/>
          <w14:textFill>
            <w14:solidFill>
              <w14:schemeClr w14:val="tx1"/>
            </w14:solidFill>
          </w14:textFill>
        </w:rPr>
      </w:pPr>
    </w:p>
    <w:p>
      <w:pPr>
        <w:rPr>
          <w:rFonts w:hint="eastAsia" w:ascii="宋体" w:hAnsi="宋体" w:eastAsia="宋体" w:cs="宋体"/>
        </w:rPr>
      </w:pPr>
      <w:r>
        <w:rPr>
          <w:rFonts w:hint="eastAsia" w:ascii="宋体" w:hAnsi="宋体" w:eastAsia="宋体" w:cs="宋体"/>
        </w:rPr>
        <w:br w:type="page"/>
      </w:r>
    </w:p>
    <w:p>
      <w:pPr>
        <w:pStyle w:val="2"/>
        <w:rPr>
          <w:rFonts w:hint="eastAsia" w:ascii="黑体" w:hAnsi="黑体" w:eastAsia="黑体" w:cs="黑体"/>
          <w:b w:val="0"/>
          <w:bCs w:val="0"/>
          <w:sz w:val="28"/>
          <w:szCs w:val="28"/>
        </w:rPr>
      </w:pPr>
      <w:bookmarkStart w:id="296" w:name="_Toc193028419"/>
      <w:bookmarkStart w:id="297" w:name="_Toc25706"/>
      <w:bookmarkStart w:id="298" w:name="_Toc21360"/>
      <w:bookmarkStart w:id="299" w:name="_Toc18263"/>
      <w:r>
        <w:rPr>
          <w:rFonts w:hint="eastAsia" w:ascii="黑体" w:hAnsi="黑体" w:eastAsia="黑体" w:cs="黑体"/>
          <w:b w:val="0"/>
          <w:bCs w:val="0"/>
          <w:sz w:val="28"/>
          <w:szCs w:val="28"/>
        </w:rPr>
        <w:t>5  土石方工程</w:t>
      </w:r>
      <w:bookmarkEnd w:id="296"/>
      <w:bookmarkEnd w:id="297"/>
      <w:bookmarkEnd w:id="298"/>
      <w:bookmarkEnd w:id="299"/>
    </w:p>
    <w:p>
      <w:pPr>
        <w:pStyle w:val="3"/>
        <w:snapToGrid w:val="0"/>
        <w:spacing w:before="156" w:beforeLines="50" w:after="156" w:afterLines="50" w:line="360" w:lineRule="auto"/>
        <w:jc w:val="center"/>
        <w:rPr>
          <w:rFonts w:ascii="黑体" w:hAnsi="黑体" w:cs="黑体"/>
          <w:sz w:val="24"/>
          <w:szCs w:val="24"/>
        </w:rPr>
      </w:pPr>
      <w:bookmarkStart w:id="300" w:name="_Toc18152"/>
      <w:bookmarkStart w:id="301" w:name="_Toc193028420"/>
      <w:bookmarkStart w:id="302" w:name="_Toc6952"/>
      <w:bookmarkStart w:id="303" w:name="_Toc6804"/>
      <w:r>
        <w:rPr>
          <w:rFonts w:ascii="黑体" w:hAnsi="黑体" w:cs="黑体"/>
          <w:sz w:val="24"/>
          <w:szCs w:val="24"/>
        </w:rPr>
        <w:t>5.1  一般规定</w:t>
      </w:r>
      <w:bookmarkEnd w:id="300"/>
      <w:bookmarkEnd w:id="301"/>
      <w:bookmarkEnd w:id="302"/>
      <w:bookmarkEnd w:id="303"/>
    </w:p>
    <w:p>
      <w:pPr>
        <w:pStyle w:val="6"/>
        <w:spacing w:before="40" w:line="360" w:lineRule="auto"/>
        <w:ind w:right="74"/>
        <w:rPr>
          <w:rFonts w:hint="eastAsia" w:ascii="宋体" w:hAnsi="宋体" w:eastAsia="宋体" w:cs="宋体"/>
          <w:sz w:val="21"/>
          <w:szCs w:val="21"/>
        </w:rPr>
      </w:pPr>
      <w:r>
        <w:rPr>
          <w:rFonts w:hint="eastAsia" w:ascii="黑体" w:hAnsi="黑体" w:eastAsia="黑体" w:cs="黑体"/>
          <w:sz w:val="21"/>
          <w:szCs w:val="21"/>
        </w:rPr>
        <w:t xml:space="preserve">5.1.1 </w:t>
      </w:r>
      <w:r>
        <w:rPr>
          <w:rFonts w:hint="eastAsia" w:ascii="宋体" w:hAnsi="宋体" w:eastAsia="宋体" w:cs="宋体"/>
          <w:sz w:val="21"/>
          <w:szCs w:val="21"/>
        </w:rPr>
        <w:t xml:space="preserve"> 本条是对各节中有共性的检测项目的检测方法和结果评价提出要求。</w:t>
      </w:r>
    </w:p>
    <w:p>
      <w:pPr>
        <w:pStyle w:val="3"/>
        <w:snapToGrid w:val="0"/>
        <w:spacing w:before="156" w:beforeLines="50" w:after="156" w:afterLines="50" w:line="360" w:lineRule="auto"/>
        <w:jc w:val="center"/>
        <w:rPr>
          <w:rFonts w:ascii="黑体" w:hAnsi="黑体" w:cs="黑体"/>
          <w:sz w:val="24"/>
          <w:szCs w:val="24"/>
        </w:rPr>
      </w:pPr>
      <w:bookmarkStart w:id="304" w:name="_Toc27162"/>
      <w:bookmarkStart w:id="305" w:name="_Toc19198"/>
      <w:bookmarkStart w:id="306" w:name="_Toc29527"/>
      <w:bookmarkStart w:id="307" w:name="_Toc193028421"/>
      <w:r>
        <w:rPr>
          <w:rFonts w:ascii="黑体" w:hAnsi="黑体" w:cs="黑体"/>
          <w:sz w:val="24"/>
          <w:szCs w:val="24"/>
        </w:rPr>
        <w:t>5.2  土 石 坝</w:t>
      </w:r>
      <w:bookmarkEnd w:id="304"/>
      <w:bookmarkEnd w:id="305"/>
      <w:bookmarkEnd w:id="306"/>
      <w:bookmarkEnd w:id="307"/>
    </w:p>
    <w:p>
      <w:pPr>
        <w:pStyle w:val="6"/>
        <w:spacing w:before="40" w:line="360" w:lineRule="auto"/>
        <w:ind w:left="5" w:right="74"/>
        <w:rPr>
          <w:rFonts w:hint="eastAsia" w:ascii="宋体" w:hAnsi="宋体" w:eastAsia="宋体" w:cs="宋体"/>
          <w:sz w:val="21"/>
          <w:szCs w:val="21"/>
        </w:rPr>
      </w:pPr>
      <w:r>
        <w:rPr>
          <w:rFonts w:hint="eastAsia" w:ascii="黑体" w:hAnsi="黑体" w:eastAsia="黑体" w:cs="黑体"/>
          <w:sz w:val="21"/>
          <w:szCs w:val="21"/>
        </w:rPr>
        <w:t>5.2.1</w:t>
      </w:r>
      <w:r>
        <w:rPr>
          <w:rFonts w:hint="eastAsia" w:ascii="宋体" w:hAnsi="宋体" w:eastAsia="宋体" w:cs="宋体"/>
          <w:sz w:val="21"/>
          <w:szCs w:val="21"/>
        </w:rPr>
        <w:t xml:space="preserve">  除了应对各种填筑料的材质进行检测外,影响堆石料等粗粒土力学性质主要因素是其干密度和颗粒级配,影响黏性土防渗体土力学性质主要因素是其干密度,影响反滤料的主要因素是颗粒级配和含泥量,故要求对其进行检测。</w:t>
      </w:r>
    </w:p>
    <w:p>
      <w:pPr>
        <w:pStyle w:val="6"/>
        <w:spacing w:before="40" w:line="360" w:lineRule="auto"/>
        <w:ind w:left="5" w:right="74" w:firstLine="414"/>
        <w:rPr>
          <w:rFonts w:hint="eastAsia" w:ascii="宋体" w:hAnsi="宋体" w:eastAsia="宋体" w:cs="宋体"/>
          <w:sz w:val="21"/>
          <w:szCs w:val="21"/>
        </w:rPr>
      </w:pPr>
      <w:r>
        <w:rPr>
          <w:rFonts w:hint="eastAsia" w:ascii="宋体" w:hAnsi="宋体" w:eastAsia="宋体" w:cs="宋体"/>
          <w:sz w:val="21"/>
          <w:szCs w:val="21"/>
        </w:rPr>
        <w:t>土石坝体内部缺陷一般包括局部填筑土性不符合设计要求或技术标准规定、存在严重不密实区、渗漏通道或管涌及各种原因形成的洞穴等。</w:t>
      </w:r>
    </w:p>
    <w:p>
      <w:pPr>
        <w:pStyle w:val="6"/>
        <w:spacing w:before="40" w:line="360" w:lineRule="auto"/>
        <w:ind w:left="5" w:right="74"/>
        <w:rPr>
          <w:rFonts w:hint="eastAsia" w:ascii="宋体" w:hAnsi="宋体" w:eastAsia="宋体" w:cs="宋体"/>
          <w:sz w:val="21"/>
          <w:szCs w:val="21"/>
        </w:rPr>
      </w:pPr>
      <w:r>
        <w:rPr>
          <w:rFonts w:hint="eastAsia" w:ascii="黑体" w:hAnsi="黑体" w:eastAsia="黑体" w:cs="黑体"/>
          <w:sz w:val="21"/>
          <w:szCs w:val="21"/>
        </w:rPr>
        <w:t>5.2.2</w:t>
      </w:r>
      <w:r>
        <w:rPr>
          <w:rFonts w:hint="eastAsia" w:ascii="黑体" w:hAnsi="黑体" w:eastAsia="黑体" w:cs="黑体"/>
          <w:sz w:val="21"/>
          <w:szCs w:val="21"/>
          <w:lang w:eastAsia="zh-CN"/>
        </w:rPr>
        <w:t>【</w:t>
      </w:r>
      <w:r>
        <w:rPr>
          <w:rFonts w:hint="eastAsia" w:ascii="黑体" w:hAnsi="黑体" w:eastAsia="黑体" w:cs="黑体"/>
          <w:sz w:val="21"/>
          <w:szCs w:val="21"/>
        </w:rPr>
        <w:t>修订</w:t>
      </w:r>
      <w:r>
        <w:rPr>
          <w:rFonts w:hint="eastAsia" w:ascii="黑体" w:hAnsi="黑体" w:eastAsia="黑体" w:cs="黑体"/>
          <w:sz w:val="21"/>
          <w:szCs w:val="21"/>
          <w:lang w:eastAsia="zh-CN"/>
        </w:rPr>
        <w:t>】</w:t>
      </w:r>
      <w:r>
        <w:rPr>
          <w:rFonts w:hint="eastAsia" w:ascii="黑体" w:hAnsi="黑体" w:eastAsia="黑体" w:cs="黑体"/>
          <w:sz w:val="21"/>
          <w:szCs w:val="21"/>
        </w:rPr>
        <w:t xml:space="preserve"> </w:t>
      </w:r>
      <w:r>
        <w:rPr>
          <w:rFonts w:hint="eastAsia" w:ascii="宋体" w:hAnsi="宋体" w:eastAsia="宋体" w:cs="宋体"/>
          <w:sz w:val="21"/>
          <w:szCs w:val="21"/>
        </w:rPr>
        <w:t>以基本能够全面控制土石坝质量为原则,进行全数检测时可以按深度最小值划分,进行抽检时可以按深度最大值划分。</w:t>
      </w:r>
    </w:p>
    <w:p>
      <w:pPr>
        <w:pStyle w:val="3"/>
        <w:snapToGrid w:val="0"/>
        <w:spacing w:before="156" w:beforeLines="50" w:after="156" w:afterLines="50" w:line="360" w:lineRule="auto"/>
        <w:jc w:val="center"/>
        <w:rPr>
          <w:rFonts w:ascii="黑体" w:hAnsi="黑体" w:cs="黑体"/>
          <w:sz w:val="24"/>
          <w:szCs w:val="24"/>
        </w:rPr>
      </w:pPr>
      <w:bookmarkStart w:id="308" w:name="_Toc14068"/>
      <w:bookmarkStart w:id="309" w:name="_Toc193028422"/>
      <w:bookmarkStart w:id="310" w:name="_Toc20726"/>
      <w:bookmarkStart w:id="311" w:name="_Toc28563"/>
      <w:r>
        <w:rPr>
          <w:rFonts w:ascii="黑体" w:hAnsi="黑体" w:cs="黑体"/>
          <w:sz w:val="24"/>
          <w:szCs w:val="24"/>
        </w:rPr>
        <w:t>5.3  堤防与渠道</w:t>
      </w:r>
      <w:bookmarkEnd w:id="308"/>
      <w:bookmarkEnd w:id="309"/>
      <w:bookmarkEnd w:id="310"/>
      <w:bookmarkEnd w:id="311"/>
    </w:p>
    <w:p>
      <w:pPr>
        <w:pStyle w:val="6"/>
        <w:spacing w:before="40" w:line="360" w:lineRule="auto"/>
        <w:ind w:left="5" w:right="74"/>
        <w:rPr>
          <w:rFonts w:hint="eastAsia" w:ascii="宋体" w:hAnsi="宋体" w:eastAsia="宋体" w:cs="宋体"/>
          <w:sz w:val="21"/>
          <w:szCs w:val="21"/>
        </w:rPr>
      </w:pPr>
      <w:r>
        <w:rPr>
          <w:rFonts w:hint="eastAsia" w:ascii="黑体" w:hAnsi="黑体" w:eastAsia="黑体" w:cs="黑体"/>
          <w:sz w:val="21"/>
          <w:szCs w:val="21"/>
        </w:rPr>
        <w:t>5.3.1</w:t>
      </w:r>
      <w:r>
        <w:rPr>
          <w:rFonts w:hint="eastAsia" w:ascii="宋体" w:hAnsi="宋体" w:eastAsia="宋体" w:cs="宋体"/>
          <w:spacing w:val="17"/>
          <w:sz w:val="21"/>
          <w:szCs w:val="21"/>
        </w:rPr>
        <w:t xml:space="preserve">  </w:t>
      </w:r>
      <w:r>
        <w:rPr>
          <w:rFonts w:hint="eastAsia" w:ascii="宋体" w:hAnsi="宋体" w:eastAsia="宋体" w:cs="宋体"/>
          <w:sz w:val="21"/>
          <w:szCs w:val="21"/>
        </w:rPr>
        <w:t>堤身(渠身)土性分析指通过颗粒分析、液塑限试验对土进行分类定名。堤顶(渠顶)道路对钢筋直径有特殊要求的,应进行检测。每个测区取一组3个试样,试验方法应执行JGJ/T 152《混凝土中钢筋检测技术规程》的规定。堤顶(渠顶)道路路面的检测,适用于水利工程场内道路路面的检测。</w:t>
      </w:r>
    </w:p>
    <w:p>
      <w:pPr>
        <w:pStyle w:val="6"/>
        <w:spacing w:before="40"/>
        <w:ind w:right="74"/>
        <w:rPr>
          <w:rFonts w:hint="eastAsia" w:ascii="宋体" w:hAnsi="宋体" w:eastAsia="宋体" w:cs="宋体"/>
          <w:sz w:val="21"/>
          <w:szCs w:val="21"/>
        </w:rPr>
      </w:pPr>
      <w:r>
        <w:rPr>
          <w:rFonts w:hint="eastAsia" w:ascii="黑体" w:hAnsi="黑体" w:eastAsia="黑体" w:cs="黑体"/>
          <w:sz w:val="21"/>
          <w:szCs w:val="21"/>
        </w:rPr>
        <w:t>5.3.2</w:t>
      </w:r>
      <w:r>
        <w:rPr>
          <w:rFonts w:hint="eastAsia" w:ascii="黑体" w:hAnsi="黑体" w:eastAsia="黑体" w:cs="黑体"/>
          <w:sz w:val="21"/>
          <w:szCs w:val="21"/>
          <w:lang w:eastAsia="zh-CN"/>
        </w:rPr>
        <w:t>【</w:t>
      </w:r>
      <w:r>
        <w:rPr>
          <w:rFonts w:hint="eastAsia" w:ascii="黑体" w:hAnsi="黑体" w:eastAsia="黑体" w:cs="黑体"/>
          <w:sz w:val="21"/>
          <w:szCs w:val="21"/>
        </w:rPr>
        <w:t>修订</w:t>
      </w:r>
      <w:r>
        <w:rPr>
          <w:rFonts w:hint="eastAsia" w:ascii="黑体" w:hAnsi="黑体" w:eastAsia="黑体" w:cs="黑体"/>
          <w:sz w:val="21"/>
          <w:szCs w:val="21"/>
          <w:lang w:eastAsia="zh-CN"/>
        </w:rPr>
        <w:t>】</w:t>
      </w:r>
      <w:r>
        <w:rPr>
          <w:rFonts w:hint="eastAsia" w:ascii="黑体" w:hAnsi="黑体" w:eastAsia="黑体" w:cs="黑体"/>
          <w:sz w:val="21"/>
          <w:szCs w:val="21"/>
        </w:rPr>
        <w:t xml:space="preserve"> </w:t>
      </w:r>
      <w:r>
        <w:rPr>
          <w:rFonts w:hint="eastAsia" w:ascii="宋体" w:hAnsi="宋体" w:eastAsia="宋体" w:cs="宋体"/>
          <w:sz w:val="21"/>
          <w:szCs w:val="21"/>
        </w:rPr>
        <w:t>检测应综合考虑工程特点、施工方法、质量控制和检测等方面。</w:t>
      </w:r>
    </w:p>
    <w:p>
      <w:pPr>
        <w:pStyle w:val="3"/>
        <w:snapToGrid w:val="0"/>
        <w:spacing w:before="156" w:beforeLines="50" w:after="156" w:afterLines="50" w:line="360" w:lineRule="auto"/>
        <w:jc w:val="center"/>
        <w:rPr>
          <w:rFonts w:ascii="黑体" w:hAnsi="黑体" w:cs="黑体"/>
          <w:sz w:val="24"/>
          <w:szCs w:val="24"/>
        </w:rPr>
      </w:pPr>
      <w:bookmarkStart w:id="312" w:name="_Toc193028423"/>
      <w:bookmarkStart w:id="313" w:name="_Toc10697"/>
      <w:bookmarkStart w:id="314" w:name="_Toc26888"/>
      <w:bookmarkStart w:id="315" w:name="_Toc973"/>
      <w:r>
        <w:rPr>
          <w:rFonts w:ascii="黑体" w:hAnsi="黑体" w:cs="黑体"/>
          <w:sz w:val="24"/>
          <w:szCs w:val="24"/>
        </w:rPr>
        <w:t>5.4  砌石工程</w:t>
      </w:r>
      <w:bookmarkEnd w:id="312"/>
      <w:bookmarkEnd w:id="313"/>
      <w:bookmarkEnd w:id="314"/>
      <w:bookmarkEnd w:id="315"/>
    </w:p>
    <w:p>
      <w:pPr>
        <w:pStyle w:val="6"/>
        <w:spacing w:line="360" w:lineRule="auto"/>
        <w:rPr>
          <w:rFonts w:hint="eastAsia" w:ascii="宋体" w:hAnsi="宋体" w:eastAsia="宋体" w:cs="宋体"/>
          <w:sz w:val="21"/>
          <w:szCs w:val="21"/>
        </w:rPr>
      </w:pPr>
      <w:r>
        <w:rPr>
          <w:rFonts w:hint="eastAsia" w:ascii="黑体" w:hAnsi="黑体" w:eastAsia="黑体" w:cs="黑体"/>
          <w:sz w:val="21"/>
          <w:szCs w:val="21"/>
        </w:rPr>
        <w:t>5.4.1</w:t>
      </w:r>
      <w:r>
        <w:rPr>
          <w:rFonts w:hint="eastAsia" w:ascii="黑体" w:hAnsi="黑体" w:eastAsia="黑体" w:cs="黑体"/>
          <w:sz w:val="21"/>
          <w:szCs w:val="21"/>
          <w:lang w:eastAsia="zh-CN"/>
        </w:rPr>
        <w:t>【</w:t>
      </w:r>
      <w:r>
        <w:rPr>
          <w:rFonts w:hint="eastAsia" w:ascii="黑体" w:hAnsi="黑体" w:eastAsia="黑体" w:cs="黑体"/>
          <w:sz w:val="21"/>
          <w:szCs w:val="21"/>
        </w:rPr>
        <w:t>修订</w:t>
      </w:r>
      <w:r>
        <w:rPr>
          <w:rFonts w:hint="eastAsia" w:ascii="黑体" w:hAnsi="黑体" w:eastAsia="黑体" w:cs="黑体"/>
          <w:sz w:val="21"/>
          <w:szCs w:val="21"/>
          <w:lang w:eastAsia="zh-CN"/>
        </w:rPr>
        <w:t>】</w:t>
      </w:r>
      <w:r>
        <w:rPr>
          <w:rFonts w:hint="eastAsia" w:ascii="宋体" w:hAnsi="宋体" w:eastAsia="宋体" w:cs="宋体"/>
          <w:sz w:val="21"/>
          <w:szCs w:val="21"/>
        </w:rPr>
        <w:t>有特殊质量要求时,要相应增加检测项目。砌筑质量具体见SL/T 631.1的规定；另对于浆砌石或混凝土砌石,必要且具备条件时还应增加砌石用砂浆或混凝土的抗渗性能检测。</w:t>
      </w:r>
    </w:p>
    <w:p>
      <w:pPr>
        <w:pStyle w:val="6"/>
        <w:spacing w:line="360" w:lineRule="auto"/>
        <w:rPr>
          <w:rFonts w:hint="eastAsia" w:ascii="宋体" w:hAnsi="宋体" w:eastAsia="宋体" w:cs="宋体"/>
          <w:sz w:val="21"/>
          <w:szCs w:val="21"/>
        </w:rPr>
      </w:pPr>
      <w:r>
        <w:rPr>
          <w:rFonts w:hint="eastAsia" w:ascii="黑体" w:hAnsi="黑体" w:eastAsia="黑体" w:cs="黑体"/>
          <w:sz w:val="21"/>
          <w:szCs w:val="21"/>
        </w:rPr>
        <w:t>5.4.2</w:t>
      </w:r>
      <w:r>
        <w:rPr>
          <w:rFonts w:hint="eastAsia" w:ascii="黑体" w:hAnsi="黑体" w:eastAsia="黑体" w:cs="黑体"/>
          <w:sz w:val="21"/>
          <w:szCs w:val="21"/>
          <w:lang w:eastAsia="zh-CN"/>
        </w:rPr>
        <w:t>【</w:t>
      </w:r>
      <w:r>
        <w:rPr>
          <w:rFonts w:hint="eastAsia" w:ascii="黑体" w:hAnsi="黑体" w:eastAsia="黑体" w:cs="黑体"/>
          <w:sz w:val="21"/>
          <w:szCs w:val="21"/>
        </w:rPr>
        <w:t>修订</w:t>
      </w:r>
      <w:r>
        <w:rPr>
          <w:rFonts w:hint="eastAsia" w:ascii="黑体" w:hAnsi="黑体" w:eastAsia="黑体" w:cs="黑体"/>
          <w:sz w:val="21"/>
          <w:szCs w:val="21"/>
          <w:lang w:eastAsia="zh-CN"/>
        </w:rPr>
        <w:t>】</w:t>
      </w:r>
      <w:r>
        <w:rPr>
          <w:rFonts w:hint="eastAsia" w:ascii="黑体" w:hAnsi="黑体" w:eastAsia="黑体" w:cs="黑体"/>
          <w:sz w:val="21"/>
          <w:szCs w:val="21"/>
        </w:rPr>
        <w:t xml:space="preserve"> </w:t>
      </w:r>
      <w:r>
        <w:rPr>
          <w:rFonts w:hint="eastAsia" w:ascii="宋体" w:hAnsi="宋体" w:eastAsia="宋体" w:cs="宋体"/>
          <w:sz w:val="21"/>
          <w:szCs w:val="21"/>
        </w:rPr>
        <w:t>检测应综合考虑工程特点、施工方法、质量控制和检测方法等方面情况。</w:t>
      </w:r>
    </w:p>
    <w:p>
      <w:pPr>
        <w:rPr>
          <w:rFonts w:hint="eastAsia" w:asciiTheme="minorEastAsia" w:hAnsiTheme="minorEastAsia" w:cstheme="minorEastAsia"/>
          <w:color w:val="000000" w:themeColor="text1"/>
          <w14:textFill>
            <w14:solidFill>
              <w14:schemeClr w14:val="tx1"/>
            </w14:solidFill>
          </w14:textFill>
        </w:rPr>
      </w:pPr>
      <w:r>
        <w:rPr>
          <w:rFonts w:asciiTheme="minorEastAsia" w:hAnsiTheme="minorEastAsia" w:cstheme="minorEastAsia"/>
          <w:color w:val="000000" w:themeColor="text1"/>
          <w14:textFill>
            <w14:solidFill>
              <w14:schemeClr w14:val="tx1"/>
            </w14:solidFill>
          </w14:textFill>
        </w:rPr>
        <w:br w:type="page"/>
      </w:r>
    </w:p>
    <w:p>
      <w:pPr>
        <w:pStyle w:val="2"/>
        <w:rPr>
          <w:rFonts w:hint="eastAsia" w:ascii="黑体" w:hAnsi="黑体" w:eastAsia="黑体" w:cs="黑体"/>
          <w:b w:val="0"/>
          <w:bCs w:val="0"/>
          <w:sz w:val="28"/>
          <w:szCs w:val="28"/>
        </w:rPr>
      </w:pPr>
      <w:bookmarkStart w:id="316" w:name="_Toc29137"/>
      <w:bookmarkStart w:id="317" w:name="_Toc193028424"/>
      <w:bookmarkStart w:id="318" w:name="_Toc5856"/>
      <w:bookmarkStart w:id="319" w:name="_Toc16625"/>
      <w:r>
        <w:rPr>
          <w:rFonts w:hint="eastAsia" w:ascii="黑体" w:hAnsi="黑体" w:eastAsia="黑体" w:cs="黑体"/>
          <w:b w:val="0"/>
          <w:bCs w:val="0"/>
          <w:sz w:val="28"/>
          <w:szCs w:val="28"/>
        </w:rPr>
        <w:t>6 混凝土工程</w:t>
      </w:r>
      <w:bookmarkEnd w:id="316"/>
      <w:bookmarkEnd w:id="317"/>
      <w:bookmarkEnd w:id="318"/>
      <w:bookmarkEnd w:id="319"/>
    </w:p>
    <w:p>
      <w:pPr>
        <w:pStyle w:val="3"/>
        <w:snapToGrid w:val="0"/>
        <w:spacing w:before="156" w:beforeLines="50" w:after="156" w:afterLines="50" w:line="360" w:lineRule="auto"/>
        <w:jc w:val="center"/>
        <w:rPr>
          <w:rFonts w:ascii="黑体" w:hAnsi="黑体" w:cs="黑体"/>
          <w:sz w:val="24"/>
          <w:szCs w:val="24"/>
        </w:rPr>
      </w:pPr>
      <w:bookmarkStart w:id="320" w:name="_Toc8"/>
      <w:bookmarkStart w:id="321" w:name="_Toc29207"/>
      <w:bookmarkStart w:id="322" w:name="_Toc11599"/>
      <w:bookmarkStart w:id="323" w:name="_Toc193028425"/>
      <w:r>
        <w:rPr>
          <w:rFonts w:ascii="黑体" w:hAnsi="黑体" w:cs="黑体"/>
          <w:sz w:val="24"/>
          <w:szCs w:val="24"/>
        </w:rPr>
        <w:t>6.1   一 般 规 定</w:t>
      </w:r>
      <w:bookmarkEnd w:id="320"/>
      <w:bookmarkEnd w:id="321"/>
      <w:bookmarkEnd w:id="322"/>
      <w:bookmarkEnd w:id="323"/>
    </w:p>
    <w:p>
      <w:pPr>
        <w:pStyle w:val="6"/>
        <w:spacing w:before="144" w:line="360" w:lineRule="auto"/>
        <w:ind w:left="23" w:right="91" w:hanging="23"/>
        <w:outlineLvl w:val="3"/>
        <w:rPr>
          <w:rFonts w:hint="eastAsia" w:asciiTheme="minorEastAsia" w:hAnsiTheme="minorEastAsia" w:eastAsiaTheme="minorEastAsia" w:cstheme="minorEastAsia"/>
          <w:sz w:val="21"/>
          <w:szCs w:val="21"/>
        </w:rPr>
      </w:pPr>
      <w:bookmarkStart w:id="324" w:name="_Toc14532"/>
      <w:bookmarkStart w:id="325" w:name="_Toc32318"/>
      <w:bookmarkStart w:id="326" w:name="_Toc31319"/>
      <w:bookmarkStart w:id="327" w:name="_Toc193028426"/>
      <w:r>
        <w:rPr>
          <w:rFonts w:hint="eastAsia" w:ascii="黑体" w:hAnsi="黑体" w:eastAsia="黑体" w:cs="黑体"/>
          <w:sz w:val="21"/>
          <w:szCs w:val="21"/>
        </w:rPr>
        <w:t>6.1.1</w:t>
      </w:r>
      <w:r>
        <w:rPr>
          <w:rFonts w:hint="eastAsia" w:ascii="黑体" w:hAnsi="黑体" w:eastAsia="黑体" w:cs="黑体"/>
          <w:sz w:val="21"/>
          <w:szCs w:val="21"/>
          <w:lang w:eastAsia="zh-CN"/>
        </w:rPr>
        <w:t>【</w:t>
      </w:r>
      <w:r>
        <w:rPr>
          <w:rFonts w:hint="eastAsia" w:ascii="黑体" w:hAnsi="黑体" w:eastAsia="黑体" w:cs="黑体"/>
          <w:sz w:val="21"/>
          <w:szCs w:val="21"/>
        </w:rPr>
        <w:t>修订</w:t>
      </w:r>
      <w:r>
        <w:rPr>
          <w:rFonts w:hint="eastAsia" w:ascii="黑体" w:hAnsi="黑体" w:eastAsia="黑体" w:cs="黑体"/>
          <w:sz w:val="21"/>
          <w:szCs w:val="21"/>
          <w:lang w:eastAsia="zh-CN"/>
        </w:rPr>
        <w:t>】</w:t>
      </w:r>
      <w:r>
        <w:rPr>
          <w:rFonts w:hint="eastAsia" w:ascii="黑体" w:hAnsi="黑体" w:eastAsia="黑体" w:cs="黑体"/>
          <w:sz w:val="21"/>
          <w:szCs w:val="21"/>
        </w:rPr>
        <w:t xml:space="preserve"> </w:t>
      </w:r>
      <w:r>
        <w:rPr>
          <w:rFonts w:hint="eastAsia" w:asciiTheme="minorEastAsia" w:hAnsiTheme="minorEastAsia" w:eastAsiaTheme="minorEastAsia" w:cstheme="minorEastAsia"/>
          <w:sz w:val="21"/>
          <w:szCs w:val="21"/>
        </w:rPr>
        <w:t>本</w:t>
      </w:r>
      <w:r>
        <w:rPr>
          <w:rFonts w:hint="eastAsia" w:asciiTheme="minorEastAsia" w:hAnsiTheme="minorEastAsia" w:eastAsiaTheme="minorEastAsia" w:cstheme="minorEastAsia"/>
          <w:sz w:val="21"/>
          <w:szCs w:val="21"/>
        </w:rPr>
        <w:t>条是对各节中有共性的检测项目的检测方法、测区 (测线、测点)布置和数量、质量评价提出要求。</w:t>
      </w:r>
      <w:bookmarkEnd w:id="324"/>
      <w:bookmarkEnd w:id="325"/>
      <w:bookmarkEnd w:id="326"/>
      <w:bookmarkEnd w:id="327"/>
    </w:p>
    <w:p>
      <w:pPr>
        <w:pStyle w:val="6"/>
        <w:spacing w:before="41" w:line="360" w:lineRule="auto"/>
        <w:ind w:left="3" w:right="85" w:firstLine="419"/>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结构混凝土强度检测方法有很多种，这些检测方法有的在水利行业中应用较多，有的在建筑行业广泛应用，且各自都存在优缺点和适用范围，需要根据工程特点和合同约定，选择适宜的方法进行混凝土强度检测。</w:t>
      </w:r>
    </w:p>
    <w:p>
      <w:pPr>
        <w:pStyle w:val="6"/>
        <w:spacing w:before="37" w:line="360" w:lineRule="auto"/>
        <w:ind w:left="3" w:right="92" w:firstLine="419"/>
        <w:rPr>
          <w:rFonts w:hint="eastAsia" w:asciiTheme="minorEastAsia" w:hAnsiTheme="minorEastAsia" w:eastAsiaTheme="minorEastAsia" w:cstheme="minorEastAsia"/>
          <w:strike/>
          <w:sz w:val="21"/>
          <w:szCs w:val="21"/>
        </w:rPr>
      </w:pPr>
      <w:r>
        <w:rPr>
          <w:rFonts w:hint="eastAsia" w:asciiTheme="minorEastAsia" w:hAnsiTheme="minorEastAsia" w:eastAsiaTheme="minorEastAsia" w:cstheme="minorEastAsia"/>
          <w:sz w:val="21"/>
          <w:szCs w:val="21"/>
        </w:rPr>
        <w:t>混凝土抗渗性能、抗冻性能和抗拉强度，通常的做法是预留标准混凝土试件在实验室内进行检验。当对结构实体质量产生怀疑、对既有工程进行质量检测或安全性评估时，需要对实体结构的抗拉强度进行检测，此时，可以通过在结构实体上钻取芯样，再按SL/T 352进行检验。</w:t>
      </w:r>
    </w:p>
    <w:p>
      <w:pPr>
        <w:pStyle w:val="6"/>
        <w:spacing w:before="39" w:line="360" w:lineRule="auto"/>
        <w:ind w:left="3" w:firstLine="42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当采用无损检测方法检测混凝土缺陷时，可以采用钻芯法直观验证检测结果。</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洞室衬砌的衬砌厚度、脱空、内部缺陷检测，当洞室衬砌为无钢筋或较稀疏的单层钢筋混凝土时，可选用探地雷达，技术要求应参考</w:t>
      </w:r>
      <w:r>
        <w:rPr>
          <w:rFonts w:asciiTheme="minorEastAsia" w:hAnsiTheme="minorEastAsia" w:eastAsiaTheme="minorEastAsia" w:cstheme="minorEastAsia"/>
          <w:sz w:val="21"/>
          <w:szCs w:val="21"/>
        </w:rPr>
        <w:t>SL/T</w:t>
      </w:r>
      <w:r>
        <w:rPr>
          <w:rFonts w:hint="eastAsia" w:asciiTheme="minorEastAsia" w:hAnsiTheme="minorEastAsia" w:eastAsiaTheme="minorEastAsia" w:cstheme="minorEastAsia"/>
          <w:sz w:val="21"/>
          <w:szCs w:val="21"/>
        </w:rPr>
        <w:t xml:space="preserve"> </w:t>
      </w:r>
      <w:r>
        <w:rPr>
          <w:rFonts w:asciiTheme="minorEastAsia" w:hAnsiTheme="minorEastAsia" w:eastAsiaTheme="minorEastAsia" w:cstheme="minorEastAsia"/>
          <w:sz w:val="21"/>
          <w:szCs w:val="21"/>
        </w:rPr>
        <w:t>291.1</w:t>
      </w:r>
      <w:r>
        <w:rPr>
          <w:rFonts w:hint="eastAsia" w:asciiTheme="minorEastAsia" w:hAnsiTheme="minorEastAsia" w:eastAsiaTheme="minorEastAsia" w:cstheme="minorEastAsia"/>
          <w:position w:val="-1"/>
          <w:sz w:val="21"/>
          <w:szCs w:val="21"/>
        </w:rPr>
        <w:t>；</w:t>
      </w:r>
      <w:r>
        <w:rPr>
          <w:rFonts w:hint="eastAsia" w:asciiTheme="minorEastAsia" w:hAnsiTheme="minorEastAsia" w:eastAsiaTheme="minorEastAsia" w:cstheme="minorEastAsia"/>
          <w:sz w:val="21"/>
          <w:szCs w:val="21"/>
        </w:rPr>
        <w:t>当洞室衬砌为较密的单层或多层的钢筋混凝土时，可选用冲击-回波法，重要的异常部位宜选用声波 CT和跨孔声波法复测，利用钻孔采用声波反射法、冲击-回波法、声波CT和跨孔声波法检测的技术要求应参考SL 326。</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混凝土外观质量是混凝土质量的一个重要组成部分（摘自SL 632条文说明第4.7节），外观缺陷调查的目的是为将进行的专项检测提供翔实、可靠和有效的调查数据及基础资料（摘自原SL 713条文说明第4.1.1条）。</w:t>
      </w:r>
    </w:p>
    <w:p>
      <w:pPr>
        <w:pStyle w:val="6"/>
        <w:spacing w:before="144" w:line="360" w:lineRule="auto"/>
        <w:ind w:left="23" w:right="91" w:hanging="23"/>
        <w:outlineLvl w:val="3"/>
        <w:rPr>
          <w:rFonts w:hint="eastAsia" w:asciiTheme="minorEastAsia" w:hAnsiTheme="minorEastAsia" w:eastAsiaTheme="minorEastAsia" w:cstheme="minorEastAsia"/>
          <w:sz w:val="21"/>
          <w:szCs w:val="21"/>
        </w:rPr>
      </w:pPr>
      <w:bookmarkStart w:id="328" w:name="_Toc3390"/>
      <w:bookmarkStart w:id="329" w:name="_Toc193028427"/>
      <w:bookmarkStart w:id="330" w:name="_Toc20429"/>
      <w:bookmarkStart w:id="331" w:name="_Toc1329"/>
      <w:r>
        <w:rPr>
          <w:rFonts w:hint="eastAsia" w:ascii="黑体" w:hAnsi="黑体" w:eastAsia="黑体" w:cs="黑体"/>
          <w:sz w:val="21"/>
          <w:szCs w:val="22"/>
        </w:rPr>
        <w:t>6.1.</w:t>
      </w:r>
      <w:r>
        <w:rPr>
          <w:rFonts w:hint="eastAsia" w:ascii="黑体" w:hAnsi="黑体" w:eastAsia="黑体" w:cs="黑体"/>
          <w:sz w:val="21"/>
          <w:szCs w:val="21"/>
        </w:rPr>
        <w:t>2</w:t>
      </w:r>
      <w:r>
        <w:rPr>
          <w:rFonts w:hint="eastAsia" w:ascii="黑体" w:hAnsi="黑体" w:eastAsia="黑体" w:cs="黑体"/>
          <w:sz w:val="21"/>
          <w:szCs w:val="21"/>
          <w:lang w:eastAsia="zh-CN"/>
        </w:rPr>
        <w:t>【</w:t>
      </w:r>
      <w:r>
        <w:rPr>
          <w:rFonts w:hint="eastAsia" w:ascii="黑体" w:hAnsi="黑体" w:eastAsia="黑体" w:cs="黑体"/>
          <w:sz w:val="21"/>
          <w:szCs w:val="21"/>
        </w:rPr>
        <w:t>修订</w:t>
      </w:r>
      <w:r>
        <w:rPr>
          <w:rFonts w:hint="eastAsia" w:ascii="黑体" w:hAnsi="黑体" w:eastAsia="黑体" w:cs="黑体"/>
          <w:sz w:val="21"/>
          <w:szCs w:val="21"/>
          <w:lang w:eastAsia="zh-CN"/>
        </w:rPr>
        <w:t>】</w:t>
      </w:r>
      <w:r>
        <w:rPr>
          <w:rFonts w:hint="eastAsia" w:asciiTheme="minorEastAsia" w:hAnsiTheme="minorEastAsia" w:eastAsiaTheme="minorEastAsia" w:cstheme="minorEastAsia"/>
          <w:sz w:val="21"/>
          <w:szCs w:val="21"/>
        </w:rPr>
        <w:t>本条规定了检测单元的质量评价。</w:t>
      </w:r>
      <w:bookmarkEnd w:id="328"/>
      <w:bookmarkEnd w:id="329"/>
      <w:bookmarkEnd w:id="330"/>
      <w:bookmarkEnd w:id="331"/>
    </w:p>
    <w:p>
      <w:pPr>
        <w:pStyle w:val="6"/>
        <w:spacing w:line="360" w:lineRule="auto"/>
        <w:ind w:firstLine="420" w:firstLineChars="200"/>
        <w:rPr>
          <w:rFonts w:hint="eastAsia" w:ascii="黑体" w:hAnsi="黑体" w:eastAsia="黑体" w:cs="黑体"/>
          <w:i/>
          <w:iCs/>
          <w:color w:val="0000FF"/>
          <w:szCs w:val="21"/>
        </w:rPr>
      </w:pPr>
      <w:r>
        <w:rPr>
          <w:rFonts w:hint="eastAsia" w:asciiTheme="minorEastAsia" w:hAnsiTheme="minorEastAsia" w:eastAsiaTheme="minorEastAsia" w:cstheme="minorEastAsia"/>
          <w:sz w:val="21"/>
          <w:szCs w:val="21"/>
        </w:rPr>
        <w:t>要求芯样混凝土抗压强度检测结果达到设计值，但对芯样混凝土抗压强度评价时应保证取芯部位实体混凝土已有足够的养护成熟度，具体可参见JGJ 104。</w:t>
      </w:r>
      <w:r>
        <w:rPr>
          <w:rFonts w:hint="eastAsia" w:ascii="黑体" w:hAnsi="黑体" w:eastAsia="黑体" w:cs="黑体"/>
          <w:i/>
          <w:iCs/>
          <w:color w:val="0000FF"/>
          <w:szCs w:val="21"/>
        </w:rPr>
        <w:t xml:space="preserve"> </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SL/T 631.2规定的混凝土工程抗渗性能验收合格评标准为“满足设计要求”，本条进行了借鉴。</w:t>
      </w:r>
    </w:p>
    <w:p>
      <w:pPr>
        <w:pStyle w:val="6"/>
        <w:tabs>
          <w:tab w:val="left" w:pos="6135"/>
        </w:tabs>
        <w:spacing w:line="360" w:lineRule="auto"/>
        <w:ind w:firstLine="420" w:firstLineChars="200"/>
        <w:rPr>
          <w:rFonts w:hint="eastAsia" w:asciiTheme="minorEastAsia" w:hAnsiTheme="minorEastAsia" w:eastAsiaTheme="minorEastAsia" w:cstheme="minorEastAsia"/>
          <w:strike/>
          <w:sz w:val="21"/>
          <w:szCs w:val="21"/>
        </w:rPr>
      </w:pPr>
      <w:r>
        <w:rPr>
          <w:rFonts w:hint="eastAsia" w:asciiTheme="minorEastAsia" w:hAnsiTheme="minorEastAsia" w:eastAsiaTheme="minorEastAsia" w:cstheme="minorEastAsia"/>
          <w:sz w:val="21"/>
          <w:szCs w:val="21"/>
        </w:rPr>
        <w:t>SL/T 631.2规定的混凝土工程抗冻性能验收合格评定标准为“设计龄期抗冻性合格率80%”</w:t>
      </w:r>
      <w:r>
        <w:rPr>
          <w:rFonts w:hint="eastAsia" w:asciiTheme="minorEastAsia" w:hAnsiTheme="minorEastAsia" w:eastAsiaTheme="minorEastAsia" w:cstheme="minorEastAsia"/>
          <w:position w:val="-1"/>
          <w:sz w:val="21"/>
          <w:szCs w:val="21"/>
        </w:rPr>
        <w:t>； DL/T 5113</w:t>
      </w:r>
      <w:r>
        <w:rPr>
          <w:rFonts w:hint="eastAsia" w:asciiTheme="minorEastAsia" w:hAnsiTheme="minorEastAsia" w:eastAsiaTheme="minorEastAsia" w:cstheme="minorEastAsia"/>
          <w:position w:val="-2"/>
          <w:sz w:val="21"/>
          <w:szCs w:val="21"/>
        </w:rPr>
        <w:t>.</w:t>
      </w:r>
      <w:r>
        <w:rPr>
          <w:rFonts w:hint="eastAsia" w:asciiTheme="minorEastAsia" w:hAnsiTheme="minorEastAsia" w:eastAsiaTheme="minorEastAsia" w:cstheme="minorEastAsia"/>
          <w:sz w:val="21"/>
          <w:szCs w:val="21"/>
        </w:rPr>
        <w:t>8规定的评定标准为“不小于设计值”，抗冻试件采用的是室内成型标准试件，而实体混凝土的抗冻评定标准目前暂无规定。</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Theme="minorEastAsia" w:hAnsiTheme="minorEastAsia" w:eastAsiaTheme="minorEastAsia" w:cstheme="minorEastAsia"/>
          <w:sz w:val="21"/>
          <w:szCs w:val="21"/>
        </w:rPr>
        <w:t>对于混凝土保护层厚度的评价，水利行业与建筑行业有所区别。因此，对于闸墩、工作桥梁等水工结构混凝土，保护层厚度合格率不小于70%为达到规范要求，而对于桥头堡、泵站厂房等需要按GB 50204执行的，保护层厚度合格点应不小于</w:t>
      </w:r>
      <w:r>
        <w:rPr>
          <w:rFonts w:hint="eastAsia" w:asciiTheme="minorEastAsia" w:hAnsiTheme="minorEastAsia" w:eastAsiaTheme="minorEastAsia" w:cstheme="minorEastAsia"/>
          <w:position w:val="-2"/>
          <w:sz w:val="21"/>
          <w:szCs w:val="21"/>
        </w:rPr>
        <w:t>90%。</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面板混凝土的裂缝长度、宽度和深度依据SL 228中的要求确定。对于其他钢筋混凝土结构，当设计规范对裂缝的宽度和深度有要求时，也应依据相应的规范进行评价。</w:t>
      </w:r>
    </w:p>
    <w:p>
      <w:pPr>
        <w:pStyle w:val="6"/>
        <w:spacing w:line="360" w:lineRule="auto"/>
        <w:ind w:firstLine="420" w:firstLineChars="200"/>
        <w:rPr>
          <w:rFonts w:hint="eastAsia" w:asciiTheme="minorEastAsia" w:hAnsiTheme="minorEastAsia" w:eastAsiaTheme="minorEastAsia" w:cstheme="minorEastAsia"/>
          <w:position w:val="-2"/>
          <w:sz w:val="21"/>
          <w:szCs w:val="21"/>
        </w:rPr>
      </w:pPr>
      <w:r>
        <w:rPr>
          <w:rFonts w:hint="eastAsia" w:asciiTheme="minorEastAsia" w:hAnsiTheme="minorEastAsia" w:eastAsiaTheme="minorEastAsia" w:cstheme="minorEastAsia"/>
          <w:sz w:val="21"/>
          <w:szCs w:val="21"/>
        </w:rPr>
        <w:t>对于碾压混凝土表观密度，SL 53规定碾压混凝土铺筑现场压实容重采用核子水分密度仪或压实密度计检测，每铺筑100</w:t>
      </w:r>
      <w:r>
        <w:rPr>
          <w:rFonts w:hint="eastAsia" w:asciiTheme="minorEastAsia" w:hAnsiTheme="minorEastAsia" w:eastAsiaTheme="minorEastAsia" w:cstheme="minorEastAsia"/>
          <w:position w:val="-2"/>
          <w:sz w:val="21"/>
          <w:szCs w:val="21"/>
        </w:rPr>
        <w:t>m</w:t>
      </w:r>
      <w:r>
        <w:rPr>
          <w:rFonts w:hint="eastAsia" w:asciiTheme="minorEastAsia" w:hAnsiTheme="minorEastAsia" w:eastAsiaTheme="minorEastAsia" w:cstheme="minorEastAsia"/>
          <w:position w:val="-2"/>
          <w:sz w:val="21"/>
          <w:szCs w:val="21"/>
          <w:vertAlign w:val="superscript"/>
        </w:rPr>
        <w:t>2</w:t>
      </w:r>
      <w:r>
        <w:rPr>
          <w:rFonts w:hint="eastAsia" w:asciiTheme="minorEastAsia" w:hAnsiTheme="minorEastAsia" w:eastAsiaTheme="minorEastAsia" w:cstheme="minorEastAsia"/>
          <w:position w:val="-2"/>
          <w:sz w:val="21"/>
          <w:szCs w:val="21"/>
        </w:rPr>
        <w:t>～200m</w:t>
      </w:r>
      <w:r>
        <w:rPr>
          <w:rFonts w:hint="eastAsia" w:asciiTheme="minorEastAsia" w:hAnsiTheme="minorEastAsia" w:eastAsiaTheme="minorEastAsia" w:cstheme="minorEastAsia"/>
          <w:position w:val="-2"/>
          <w:sz w:val="21"/>
          <w:szCs w:val="21"/>
          <w:vertAlign w:val="superscript"/>
        </w:rPr>
        <w:t>2</w:t>
      </w:r>
      <w:r>
        <w:rPr>
          <w:rFonts w:hint="eastAsia" w:asciiTheme="minorEastAsia" w:hAnsiTheme="minorEastAsia" w:eastAsiaTheme="minorEastAsia" w:cstheme="minorEastAsia"/>
          <w:sz w:val="21"/>
          <w:szCs w:val="21"/>
        </w:rPr>
        <w:t>碾压混凝土至少应有一个检测点，每层应有</w:t>
      </w:r>
      <w:r>
        <w:rPr>
          <w:rFonts w:hint="eastAsia" w:asciiTheme="minorEastAsia" w:hAnsiTheme="minorEastAsia" w:eastAsiaTheme="minorEastAsia" w:cstheme="minorEastAsia"/>
          <w:position w:val="-2"/>
          <w:sz w:val="21"/>
          <w:szCs w:val="21"/>
        </w:rPr>
        <w:t>3</w:t>
      </w:r>
      <w:r>
        <w:rPr>
          <w:rFonts w:hint="eastAsia" w:asciiTheme="minorEastAsia" w:hAnsiTheme="minorEastAsia" w:eastAsiaTheme="minorEastAsia" w:cstheme="minorEastAsia"/>
          <w:sz w:val="21"/>
          <w:szCs w:val="21"/>
        </w:rPr>
        <w:t>个以上检测点，测试宜在压实后1h内进行，并以“每个铺筑层测得的容重应有80%不小于设计值”为评定标准；SL 53还采用相对压实度来评价碾压混凝土的压实质量，对于内部碾压混凝土，规定“相对压实度不得小于</w:t>
      </w:r>
      <w:r>
        <w:rPr>
          <w:rFonts w:hint="eastAsia" w:asciiTheme="minorEastAsia" w:hAnsiTheme="minorEastAsia" w:eastAsiaTheme="minorEastAsia" w:cstheme="minorEastAsia"/>
          <w:position w:val="-2"/>
          <w:sz w:val="21"/>
          <w:szCs w:val="21"/>
        </w:rPr>
        <w:t>97%</w:t>
      </w:r>
      <w:r>
        <w:rPr>
          <w:rFonts w:hint="eastAsia" w:asciiTheme="minorEastAsia" w:hAnsiTheme="minorEastAsia" w:eastAsiaTheme="minorEastAsia" w:cstheme="minorEastAsia"/>
          <w:sz w:val="21"/>
          <w:szCs w:val="21"/>
        </w:rPr>
        <w:t>”；DL</w:t>
      </w:r>
      <w:r>
        <w:rPr>
          <w:rFonts w:hint="eastAsia" w:asciiTheme="minorEastAsia" w:hAnsiTheme="minorEastAsia" w:eastAsiaTheme="minorEastAsia" w:cstheme="minorEastAsia"/>
          <w:position w:val="-1"/>
          <w:sz w:val="21"/>
          <w:szCs w:val="21"/>
        </w:rPr>
        <w:t>/T 5113</w:t>
      </w:r>
      <w:r>
        <w:rPr>
          <w:rFonts w:hint="eastAsia" w:asciiTheme="minorEastAsia" w:hAnsiTheme="minorEastAsia" w:eastAsiaTheme="minorEastAsia" w:cstheme="minorEastAsia"/>
          <w:position w:val="-2"/>
          <w:sz w:val="21"/>
          <w:szCs w:val="21"/>
        </w:rPr>
        <w:t>.</w:t>
      </w:r>
      <w:r>
        <w:rPr>
          <w:rFonts w:hint="eastAsia" w:asciiTheme="minorEastAsia" w:hAnsiTheme="minorEastAsia" w:eastAsiaTheme="minorEastAsia" w:cstheme="minorEastAsia"/>
          <w:sz w:val="21"/>
          <w:szCs w:val="21"/>
        </w:rPr>
        <w:t>8规定，湿表观密度大于配合比设计值的</w:t>
      </w:r>
      <w:r>
        <w:rPr>
          <w:rFonts w:hint="eastAsia" w:asciiTheme="minorEastAsia" w:hAnsiTheme="minorEastAsia" w:eastAsiaTheme="minorEastAsia" w:cstheme="minorEastAsia"/>
          <w:position w:val="-2"/>
          <w:sz w:val="21"/>
          <w:szCs w:val="21"/>
        </w:rPr>
        <w:t>97%；</w:t>
      </w:r>
      <w:r>
        <w:rPr>
          <w:rFonts w:hint="eastAsia" w:asciiTheme="minorEastAsia" w:hAnsiTheme="minorEastAsia" w:eastAsiaTheme="minorEastAsia" w:cstheme="minorEastAsia"/>
          <w:sz w:val="21"/>
          <w:szCs w:val="21"/>
        </w:rPr>
        <w:t>本标准采用S</w:t>
      </w:r>
      <w:r>
        <w:rPr>
          <w:rFonts w:asciiTheme="minorEastAsia" w:hAnsiTheme="minorEastAsia" w:eastAsiaTheme="minorEastAsia" w:cstheme="minorEastAsia"/>
          <w:sz w:val="21"/>
          <w:szCs w:val="21"/>
        </w:rPr>
        <w:t>L/T 352</w:t>
      </w:r>
      <w:r>
        <w:rPr>
          <w:rFonts w:hint="eastAsia" w:asciiTheme="minorEastAsia" w:hAnsiTheme="minorEastAsia" w:eastAsiaTheme="minorEastAsia" w:cstheme="minorEastAsia"/>
          <w:sz w:val="21"/>
          <w:szCs w:val="21"/>
        </w:rPr>
        <w:t>对碾压混凝土表观密度进行检测，因此，本条规定表观密度达到配合比设计值的</w:t>
      </w:r>
      <w:r>
        <w:rPr>
          <w:rFonts w:hint="eastAsia" w:asciiTheme="minorEastAsia" w:hAnsiTheme="minorEastAsia" w:eastAsiaTheme="minorEastAsia" w:cstheme="minorEastAsia"/>
          <w:position w:val="-2"/>
          <w:sz w:val="21"/>
          <w:szCs w:val="21"/>
        </w:rPr>
        <w:t>97%。</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对于碾压混凝土钻孔压水试验，SL 632中硬化碾压混凝土性能评定未涉及钻孔压水试验；</w:t>
      </w:r>
      <w:r>
        <w:rPr>
          <w:rFonts w:hint="eastAsia" w:asciiTheme="minorEastAsia" w:hAnsiTheme="minorEastAsia" w:eastAsiaTheme="minorEastAsia" w:cstheme="minorEastAsia"/>
          <w:position w:val="-2"/>
          <w:sz w:val="21"/>
          <w:szCs w:val="21"/>
        </w:rPr>
        <w:t>SL 53</w:t>
      </w:r>
      <w:r>
        <w:rPr>
          <w:rFonts w:hint="eastAsia" w:asciiTheme="minorEastAsia" w:hAnsiTheme="minorEastAsia" w:eastAsiaTheme="minorEastAsia" w:cstheme="minorEastAsia"/>
          <w:sz w:val="21"/>
          <w:szCs w:val="21"/>
        </w:rPr>
        <w:t>钻孔取样评定碾压混凝土综合质量中包括了压水试验，但对压水试验结果的评定未作规定</w:t>
      </w:r>
      <w:r>
        <w:rPr>
          <w:rFonts w:hint="eastAsia" w:asciiTheme="minorEastAsia" w:hAnsiTheme="minorEastAsia" w:eastAsiaTheme="minorEastAsia" w:cstheme="minorEastAsia"/>
          <w:position w:val="1"/>
          <w:sz w:val="21"/>
          <w:szCs w:val="21"/>
        </w:rPr>
        <w:t>；</w:t>
      </w:r>
      <w:r>
        <w:rPr>
          <w:rFonts w:hint="eastAsia" w:asciiTheme="minorEastAsia" w:hAnsiTheme="minorEastAsia" w:eastAsiaTheme="minorEastAsia" w:cstheme="minorEastAsia"/>
          <w:position w:val="-1"/>
          <w:sz w:val="21"/>
          <w:szCs w:val="21"/>
        </w:rPr>
        <w:t>DL/T 5113</w:t>
      </w:r>
      <w:r>
        <w:rPr>
          <w:rFonts w:hint="eastAsia" w:asciiTheme="minorEastAsia" w:hAnsiTheme="minorEastAsia" w:eastAsiaTheme="minorEastAsia" w:cstheme="minorEastAsia"/>
          <w:position w:val="-2"/>
          <w:sz w:val="21"/>
          <w:szCs w:val="21"/>
        </w:rPr>
        <w:t>.</w:t>
      </w:r>
      <w:r>
        <w:rPr>
          <w:rFonts w:hint="eastAsia" w:asciiTheme="minorEastAsia" w:hAnsiTheme="minorEastAsia" w:eastAsiaTheme="minorEastAsia" w:cstheme="minorEastAsia"/>
          <w:sz w:val="21"/>
          <w:szCs w:val="21"/>
        </w:rPr>
        <w:t>8规定钻孔压水试验单位吸水率不大于1.0Lu为合格，因此，本条借鉴了DL/T 5113</w:t>
      </w:r>
      <w:r>
        <w:rPr>
          <w:rFonts w:hint="eastAsia" w:asciiTheme="minorEastAsia" w:hAnsiTheme="minorEastAsia" w:eastAsiaTheme="minorEastAsia" w:cstheme="minorEastAsia"/>
          <w:position w:val="-2"/>
          <w:sz w:val="21"/>
          <w:szCs w:val="21"/>
        </w:rPr>
        <w:t>.</w:t>
      </w:r>
      <w:r>
        <w:rPr>
          <w:rFonts w:hint="eastAsia" w:asciiTheme="minorEastAsia" w:hAnsiTheme="minorEastAsia" w:eastAsiaTheme="minorEastAsia" w:cstheme="minorEastAsia"/>
          <w:sz w:val="21"/>
          <w:szCs w:val="21"/>
        </w:rPr>
        <w:t>8的有关规定，并考虑到施工工艺等因素，规定钻孔压水试验透水率不大于设计值。</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对于碾压混凝土层间原位直剪试验(平推法)，</w:t>
      </w:r>
      <w:r>
        <w:rPr>
          <w:rFonts w:hint="eastAsia" w:asciiTheme="minorEastAsia" w:hAnsiTheme="minorEastAsia" w:eastAsiaTheme="minorEastAsia" w:cstheme="minorEastAsia"/>
          <w:position w:val="-2"/>
          <w:sz w:val="21"/>
          <w:szCs w:val="21"/>
        </w:rPr>
        <w:t>SL/T 631.2</w:t>
      </w:r>
      <w:r>
        <w:rPr>
          <w:rFonts w:hint="eastAsia" w:asciiTheme="minorEastAsia" w:hAnsiTheme="minorEastAsia" w:eastAsiaTheme="minorEastAsia" w:cstheme="minorEastAsia"/>
          <w:sz w:val="21"/>
          <w:szCs w:val="21"/>
        </w:rPr>
        <w:t>中碾压混凝土工程性能评定未涉及层面摩擦系数与凝聚力；</w:t>
      </w:r>
      <w:r>
        <w:rPr>
          <w:rFonts w:hint="eastAsia" w:asciiTheme="minorEastAsia" w:hAnsiTheme="minorEastAsia" w:eastAsiaTheme="minorEastAsia" w:cstheme="minorEastAsia"/>
          <w:position w:val="-2"/>
          <w:sz w:val="21"/>
          <w:szCs w:val="21"/>
        </w:rPr>
        <w:t>SL 53</w:t>
      </w:r>
      <w:r>
        <w:rPr>
          <w:rFonts w:hint="eastAsia" w:asciiTheme="minorEastAsia" w:hAnsiTheme="minorEastAsia" w:eastAsiaTheme="minorEastAsia" w:cstheme="minorEastAsia"/>
          <w:sz w:val="21"/>
          <w:szCs w:val="21"/>
        </w:rPr>
        <w:t>碾压混凝土质量管理与评定中未包含针对层面结合性能的检测方法与评定参数；考虑到碾压混凝土层间结合性能对整体力学强度、抗渗性、抗滑稳定性均具有重要影响，本标准采用摩擦系数、凝聚力不低于设计值的质量评价要求。</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混凝土内部缺陷的评价一般为定性评价，当结构混凝土内部无明显不密实区或连续缺陷形成的空洞时，评价为混凝土密实性总体较好。</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外观质量评价可依据SL 632第4.7节。</w:t>
      </w:r>
    </w:p>
    <w:p>
      <w:pPr>
        <w:pStyle w:val="6"/>
        <w:spacing w:line="360" w:lineRule="auto"/>
        <w:ind w:right="57"/>
        <w:outlineLvl w:val="3"/>
        <w:rPr>
          <w:rFonts w:hint="eastAsia" w:asciiTheme="minorEastAsia" w:hAnsiTheme="minorEastAsia" w:eastAsiaTheme="minorEastAsia" w:cstheme="minorEastAsia"/>
          <w:position w:val="-2"/>
          <w:sz w:val="21"/>
          <w:szCs w:val="21"/>
        </w:rPr>
      </w:pPr>
      <w:bookmarkStart w:id="332" w:name="_Toc12722"/>
      <w:bookmarkStart w:id="333" w:name="_Toc10364"/>
      <w:bookmarkStart w:id="334" w:name="_Toc8137"/>
      <w:bookmarkStart w:id="335" w:name="_Toc193028428"/>
      <w:r>
        <w:rPr>
          <w:rFonts w:hint="eastAsia" w:ascii="黑体" w:hAnsi="黑体" w:eastAsia="黑体" w:cs="黑体"/>
          <w:sz w:val="21"/>
          <w:szCs w:val="22"/>
        </w:rPr>
        <w:t xml:space="preserve">6.1.3   </w:t>
      </w:r>
      <w:r>
        <w:rPr>
          <w:rFonts w:hint="eastAsia" w:asciiTheme="minorEastAsia" w:hAnsiTheme="minorEastAsia" w:eastAsiaTheme="minorEastAsia" w:cstheme="minorEastAsia"/>
          <w:position w:val="-2"/>
          <w:sz w:val="21"/>
          <w:szCs w:val="21"/>
        </w:rPr>
        <w:t>护坡、挡墙</w:t>
      </w:r>
      <w:bookmarkEnd w:id="332"/>
      <w:bookmarkEnd w:id="333"/>
      <w:bookmarkEnd w:id="334"/>
      <w:bookmarkEnd w:id="335"/>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检测单元划分时，应综合考虑工程特点、施工方法、质量控制和检测等方面。</w:t>
      </w:r>
    </w:p>
    <w:p>
      <w:pPr>
        <w:pStyle w:val="6"/>
        <w:spacing w:line="360" w:lineRule="auto"/>
        <w:ind w:firstLine="420" w:firstLineChars="200"/>
        <w:rPr>
          <w:rFonts w:hint="eastAsia" w:asciiTheme="minorEastAsia" w:hAnsiTheme="minorEastAsia" w:eastAsiaTheme="minorEastAsia" w:cstheme="minorEastAsia"/>
          <w:position w:val="1"/>
          <w:sz w:val="21"/>
          <w:szCs w:val="21"/>
        </w:rPr>
      </w:pPr>
      <w:r>
        <w:rPr>
          <w:rFonts w:hint="eastAsia" w:asciiTheme="minorEastAsia" w:hAnsiTheme="minorEastAsia" w:eastAsiaTheme="minorEastAsia" w:cstheme="minorEastAsia"/>
          <w:sz w:val="21"/>
          <w:szCs w:val="21"/>
        </w:rPr>
        <w:t>采用超声回弹综合法测定混凝土强度时，测区间距不宜大于2m，测区距护坡端部或施工缝边缘的距离不宜大于</w:t>
      </w:r>
      <w:r>
        <w:rPr>
          <w:rFonts w:hint="eastAsia" w:asciiTheme="minorEastAsia" w:hAnsiTheme="minorEastAsia" w:eastAsiaTheme="minorEastAsia" w:cstheme="minorEastAsia"/>
          <w:position w:val="-2"/>
          <w:sz w:val="21"/>
          <w:szCs w:val="21"/>
        </w:rPr>
        <w:t>0.5m，</w:t>
      </w:r>
      <w:r>
        <w:rPr>
          <w:rFonts w:hint="eastAsia" w:asciiTheme="minorEastAsia" w:hAnsiTheme="minorEastAsia" w:eastAsiaTheme="minorEastAsia" w:cstheme="minorEastAsia"/>
          <w:sz w:val="21"/>
          <w:szCs w:val="21"/>
        </w:rPr>
        <w:t>且不宜小于</w:t>
      </w:r>
      <w:r>
        <w:rPr>
          <w:rFonts w:hint="eastAsia" w:asciiTheme="minorEastAsia" w:hAnsiTheme="minorEastAsia" w:eastAsiaTheme="minorEastAsia" w:cstheme="minorEastAsia"/>
          <w:position w:val="-2"/>
          <w:sz w:val="21"/>
          <w:szCs w:val="21"/>
        </w:rPr>
        <w:t>0.2m</w:t>
      </w:r>
      <w:r>
        <w:rPr>
          <w:rFonts w:hint="eastAsia" w:asciiTheme="minorEastAsia" w:hAnsiTheme="minorEastAsia" w:eastAsiaTheme="minorEastAsia" w:cstheme="minorEastAsia"/>
          <w:position w:val="1"/>
          <w:sz w:val="21"/>
          <w:szCs w:val="21"/>
        </w:rPr>
        <w:t>。</w:t>
      </w:r>
    </w:p>
    <w:p>
      <w:pPr>
        <w:pStyle w:val="6"/>
        <w:spacing w:line="360" w:lineRule="auto"/>
        <w:ind w:firstLine="420" w:firstLineChars="200"/>
        <w:rPr>
          <w:rFonts w:hint="eastAsia" w:asciiTheme="minorEastAsia" w:hAnsiTheme="minorEastAsia" w:eastAsiaTheme="minorEastAsia" w:cstheme="minorEastAsia"/>
          <w:sz w:val="21"/>
          <w:szCs w:val="21"/>
        </w:rPr>
      </w:pPr>
    </w:p>
    <w:p>
      <w:pPr>
        <w:pStyle w:val="3"/>
        <w:snapToGrid w:val="0"/>
        <w:spacing w:before="156" w:beforeLines="50" w:after="156" w:afterLines="50" w:line="360" w:lineRule="auto"/>
        <w:jc w:val="center"/>
        <w:rPr>
          <w:rFonts w:ascii="黑体" w:hAnsi="黑体" w:cs="黑体"/>
          <w:sz w:val="24"/>
          <w:szCs w:val="24"/>
        </w:rPr>
      </w:pPr>
      <w:bookmarkStart w:id="336" w:name="_Toc17627"/>
      <w:bookmarkStart w:id="337" w:name="_Toc193028429"/>
      <w:bookmarkStart w:id="338" w:name="_Toc11164"/>
      <w:bookmarkStart w:id="339" w:name="_Toc26668"/>
      <w:bookmarkStart w:id="340" w:name="OLE_LINK18"/>
      <w:bookmarkStart w:id="341" w:name="OLE_LINK3"/>
      <w:r>
        <w:rPr>
          <w:rFonts w:ascii="黑体" w:hAnsi="黑体" w:cs="黑体"/>
          <w:sz w:val="24"/>
          <w:szCs w:val="24"/>
        </w:rPr>
        <w:t>6.2  混凝土坝</w:t>
      </w:r>
      <w:bookmarkEnd w:id="336"/>
      <w:bookmarkEnd w:id="337"/>
      <w:bookmarkEnd w:id="338"/>
      <w:bookmarkEnd w:id="339"/>
    </w:p>
    <w:p>
      <w:pPr>
        <w:pStyle w:val="6"/>
        <w:spacing w:line="360" w:lineRule="auto"/>
        <w:outlineLvl w:val="3"/>
        <w:rPr>
          <w:rFonts w:hint="eastAsia" w:asciiTheme="minorEastAsia" w:hAnsiTheme="minorEastAsia" w:eastAsiaTheme="minorEastAsia" w:cstheme="minorEastAsia"/>
          <w:sz w:val="21"/>
          <w:szCs w:val="21"/>
        </w:rPr>
      </w:pPr>
      <w:bookmarkStart w:id="342" w:name="_Toc5953"/>
      <w:bookmarkStart w:id="343" w:name="_Toc193028430"/>
      <w:bookmarkStart w:id="344" w:name="_Toc3344"/>
      <w:bookmarkStart w:id="345" w:name="_Toc30593"/>
      <w:r>
        <w:rPr>
          <w:rFonts w:hint="eastAsia" w:ascii="黑体" w:hAnsi="黑体" w:eastAsia="黑体" w:cs="黑体"/>
          <w:sz w:val="21"/>
          <w:szCs w:val="21"/>
        </w:rPr>
        <w:t>6.2.1</w:t>
      </w:r>
      <w:bookmarkEnd w:id="342"/>
      <w:bookmarkEnd w:id="343"/>
      <w:r>
        <w:rPr>
          <w:rFonts w:hint="eastAsia" w:ascii="黑体" w:hAnsi="黑体" w:eastAsia="黑体" w:cs="黑体"/>
          <w:sz w:val="21"/>
          <w:szCs w:val="21"/>
          <w:lang w:eastAsia="zh-CN"/>
        </w:rPr>
        <w:t>【</w:t>
      </w:r>
      <w:r>
        <w:rPr>
          <w:rFonts w:hint="eastAsia" w:ascii="黑体" w:hAnsi="黑体" w:eastAsia="黑体" w:cs="黑体"/>
          <w:sz w:val="21"/>
          <w:szCs w:val="21"/>
        </w:rPr>
        <w:t>修订</w:t>
      </w:r>
      <w:r>
        <w:rPr>
          <w:rFonts w:hint="eastAsia" w:ascii="黑体" w:hAnsi="黑体" w:eastAsia="黑体" w:cs="黑体"/>
          <w:sz w:val="21"/>
          <w:szCs w:val="21"/>
          <w:lang w:eastAsia="zh-CN"/>
        </w:rPr>
        <w:t>】</w:t>
      </w:r>
      <w:r>
        <w:rPr>
          <w:rFonts w:hint="eastAsia" w:asciiTheme="minorEastAsia" w:hAnsiTheme="minorEastAsia" w:eastAsiaTheme="minorEastAsia" w:cstheme="minorEastAsia"/>
          <w:position w:val="-2"/>
          <w:sz w:val="21"/>
          <w:szCs w:val="21"/>
        </w:rPr>
        <w:t>本条规定了混凝土重力坝、拱坝、面板坝和碾压混凝土坝等大坝实体检测的项目。主要参照SL/T 631.2、DL/T 5113.8中的工程质量等级评定参数，以及SL 319、SL282、SL228、SL 314中的坝体混凝土应考虑的主要性能指标，结合建成后的实体工程检测的可操作性而确定。</w:t>
      </w:r>
      <w:bookmarkEnd w:id="344"/>
      <w:bookmarkEnd w:id="345"/>
    </w:p>
    <w:p>
      <w:pPr>
        <w:pStyle w:val="6"/>
        <w:spacing w:line="360" w:lineRule="auto"/>
        <w:outlineLvl w:val="3"/>
        <w:rPr>
          <w:rFonts w:hint="eastAsia" w:asciiTheme="minorEastAsia" w:hAnsiTheme="minorEastAsia" w:eastAsiaTheme="minorEastAsia" w:cstheme="minorEastAsia"/>
          <w:sz w:val="21"/>
          <w:szCs w:val="21"/>
        </w:rPr>
      </w:pPr>
      <w:bookmarkStart w:id="346" w:name="_Toc5145"/>
      <w:bookmarkStart w:id="347" w:name="_Toc193028431"/>
      <w:bookmarkStart w:id="348" w:name="_Toc28409"/>
      <w:bookmarkStart w:id="349" w:name="_Toc32549"/>
      <w:r>
        <w:rPr>
          <w:rFonts w:hint="eastAsia" w:ascii="黑体" w:hAnsi="黑体" w:eastAsia="黑体" w:cs="黑体"/>
          <w:sz w:val="21"/>
          <w:szCs w:val="21"/>
        </w:rPr>
        <w:t>6.2.2</w:t>
      </w:r>
      <w:r>
        <w:rPr>
          <w:rFonts w:ascii="黑体" w:hAnsi="黑体" w:eastAsia="黑体" w:cs="黑体"/>
          <w:sz w:val="21"/>
          <w:szCs w:val="21"/>
        </w:rPr>
        <w:t xml:space="preserve"> </w:t>
      </w:r>
      <w:bookmarkEnd w:id="346"/>
      <w:bookmarkEnd w:id="347"/>
      <w:r>
        <w:rPr>
          <w:rFonts w:hint="eastAsia" w:ascii="黑体" w:hAnsi="黑体" w:eastAsia="黑体" w:cs="黑体"/>
          <w:sz w:val="21"/>
          <w:szCs w:val="21"/>
        </w:rPr>
        <w:t xml:space="preserve"> </w:t>
      </w:r>
      <w:r>
        <w:rPr>
          <w:rFonts w:hint="eastAsia" w:asciiTheme="minorEastAsia" w:hAnsiTheme="minorEastAsia" w:eastAsiaTheme="minorEastAsia" w:cstheme="minorEastAsia"/>
          <w:sz w:val="21"/>
          <w:szCs w:val="21"/>
        </w:rPr>
        <w:t>本条规定了混凝土大坝实体检测的基本检测单元。目前，钻芯取样孔深最大可达100m左右，综合考虑钻芯机钻取深度、检测成本、芯样钻取后坝面外观和质量等因素来确定检测单元。混凝土坝过水建筑物检测单元划分主要根据检测项目所需的试件数量确定。面板混凝土主要以滑模施工为主，所以以滑模宽度作为检测单元的宽度。</w:t>
      </w:r>
      <w:bookmarkEnd w:id="348"/>
      <w:bookmarkEnd w:id="349"/>
    </w:p>
    <w:p>
      <w:pPr>
        <w:pStyle w:val="6"/>
        <w:spacing w:line="360" w:lineRule="auto"/>
        <w:rPr>
          <w:rFonts w:hint="eastAsia" w:asciiTheme="minorEastAsia" w:hAnsiTheme="minorEastAsia" w:eastAsiaTheme="minorEastAsia" w:cstheme="minorEastAsia"/>
          <w:sz w:val="21"/>
          <w:szCs w:val="21"/>
        </w:rPr>
      </w:pPr>
      <w:bookmarkStart w:id="350" w:name="_Toc193028432"/>
      <w:bookmarkStart w:id="351" w:name="_Toc14951"/>
      <w:r>
        <w:rPr>
          <w:rFonts w:hint="eastAsia" w:ascii="黑体" w:hAnsi="黑体" w:eastAsia="黑体" w:cs="黑体"/>
          <w:sz w:val="21"/>
          <w:szCs w:val="21"/>
        </w:rPr>
        <w:t>6.2.3</w:t>
      </w:r>
      <w:bookmarkEnd w:id="340"/>
      <w:bookmarkEnd w:id="350"/>
      <w:bookmarkEnd w:id="351"/>
      <w:r>
        <w:rPr>
          <w:rFonts w:hint="eastAsia" w:ascii="黑体" w:hAnsi="黑体" w:eastAsia="黑体" w:cs="黑体"/>
          <w:sz w:val="21"/>
          <w:szCs w:val="21"/>
          <w:lang w:eastAsia="zh-CN"/>
        </w:rPr>
        <w:t>【</w:t>
      </w:r>
      <w:r>
        <w:rPr>
          <w:rFonts w:hint="eastAsia" w:ascii="黑体" w:hAnsi="黑体" w:eastAsia="黑体" w:cs="黑体"/>
          <w:sz w:val="21"/>
          <w:szCs w:val="21"/>
        </w:rPr>
        <w:t>修订</w:t>
      </w:r>
      <w:r>
        <w:rPr>
          <w:rFonts w:hint="eastAsia" w:ascii="黑体" w:hAnsi="黑体" w:eastAsia="黑体" w:cs="黑体"/>
          <w:sz w:val="21"/>
          <w:szCs w:val="21"/>
          <w:lang w:eastAsia="zh-CN"/>
        </w:rPr>
        <w:t>】</w:t>
      </w:r>
      <w:r>
        <w:rPr>
          <w:rFonts w:hint="eastAsia" w:ascii="黑体" w:hAnsi="黑体" w:eastAsia="黑体" w:cs="黑体"/>
          <w:sz w:val="21"/>
          <w:szCs w:val="22"/>
        </w:rPr>
        <w:t xml:space="preserve"> </w:t>
      </w:r>
      <w:r>
        <w:rPr>
          <w:rFonts w:hint="eastAsia" w:asciiTheme="minorEastAsia" w:hAnsiTheme="minorEastAsia" w:eastAsiaTheme="minorEastAsia" w:cstheme="minorEastAsia"/>
          <w:sz w:val="21"/>
          <w:szCs w:val="21"/>
        </w:rPr>
        <w:t>本条规定了混凝土坝实体检测项目的测区(测线、测点)布置与数量。</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在确定取芯孔孔位时，要充分考虑坝体、廊道、钢筋密集部位和混凝土品种、级配、强度等级等内部结构的实际情况，使取芯孔尽可能覆盖不同部位和不同品种的混凝土，取得全面可靠的数据，同时检查基础混凝土与基岩结合情况、地质缺陷部位固结灌浆的质量情况等，取芯时应避开监测电缆、排水孔、止水等预埋件。</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混凝土坝过水建筑物如溢流面等部位混凝土厚度有限，因此，在每个检测单元内可适当增加测点数，以满足检测项目所需试件数量的要求，测点应布置均匀。</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碾压混凝土钻孔压水试验尽可能结合混凝土性能试验的取芯孔进行。</w:t>
      </w:r>
    </w:p>
    <w:p>
      <w:pPr>
        <w:pStyle w:val="6"/>
        <w:spacing w:line="360" w:lineRule="auto"/>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钻芯孔的单孔和跨孔超声波波速可用于检测混凝土内部缺陷，评判混凝土强度均匀性，该方法适用的跨孔间距在2m～3m范围内；利用雷达探测混凝土质量时，目前手持式混凝土雷达的探测深度为300mm，因此，这些检测方法是否适合大坝内部缺陷的检测，应根据实际的检测需要而定。</w:t>
      </w:r>
    </w:p>
    <w:p>
      <w:pPr>
        <w:pStyle w:val="6"/>
        <w:spacing w:line="360" w:lineRule="auto"/>
        <w:ind w:firstLine="420" w:firstLineChars="200"/>
        <w:rPr>
          <w:rFonts w:hint="eastAsia" w:asciiTheme="minorEastAsia" w:hAnsiTheme="minorEastAsia" w:eastAsiaTheme="minorEastAsia" w:cstheme="minorEastAsia"/>
          <w:color w:val="FF0000"/>
          <w:sz w:val="21"/>
          <w:szCs w:val="21"/>
        </w:rPr>
      </w:pPr>
      <w:r>
        <w:rPr>
          <w:rFonts w:hint="eastAsia" w:asciiTheme="minorEastAsia" w:hAnsiTheme="minorEastAsia" w:eastAsiaTheme="minorEastAsia" w:cstheme="minorEastAsia"/>
          <w:sz w:val="21"/>
          <w:szCs w:val="21"/>
        </w:rPr>
        <w:t>对于混凝土裂缝的分布、长度和宽度的测量，应进行全数检查，以便准确分析裂缝成因，制定后期的修补方案；而对于裂缝深度，因检测难度远大于长度和宽度的，一般则是选择一定数量的典型裂缝的典型段进行抽样。</w:t>
      </w:r>
    </w:p>
    <w:bookmarkEnd w:id="341"/>
    <w:p>
      <w:pPr>
        <w:pStyle w:val="3"/>
        <w:snapToGrid w:val="0"/>
        <w:spacing w:before="156" w:beforeLines="50" w:after="156" w:afterLines="50" w:line="360" w:lineRule="auto"/>
        <w:jc w:val="center"/>
        <w:rPr>
          <w:rFonts w:ascii="黑体" w:hAnsi="黑体" w:cs="黑体"/>
          <w:sz w:val="24"/>
          <w:szCs w:val="24"/>
        </w:rPr>
      </w:pPr>
      <w:bookmarkStart w:id="352" w:name="_Toc14837"/>
      <w:bookmarkStart w:id="353" w:name="_Toc8757"/>
      <w:bookmarkStart w:id="354" w:name="_Toc17970"/>
      <w:bookmarkStart w:id="355" w:name="_Toc193028433"/>
      <w:r>
        <w:rPr>
          <w:rFonts w:ascii="黑体" w:hAnsi="黑体" w:cs="黑体"/>
          <w:sz w:val="24"/>
          <w:szCs w:val="24"/>
        </w:rPr>
        <w:t>6.3  水闸</w:t>
      </w:r>
      <w:bookmarkEnd w:id="352"/>
      <w:bookmarkEnd w:id="353"/>
      <w:bookmarkEnd w:id="354"/>
      <w:bookmarkEnd w:id="355"/>
    </w:p>
    <w:p>
      <w:pPr>
        <w:pStyle w:val="6"/>
        <w:spacing w:line="360" w:lineRule="auto"/>
        <w:rPr>
          <w:rFonts w:hint="eastAsia" w:asciiTheme="minorEastAsia" w:hAnsiTheme="minorEastAsia" w:eastAsiaTheme="minorEastAsia" w:cstheme="minorEastAsia"/>
          <w:sz w:val="21"/>
          <w:szCs w:val="21"/>
        </w:rPr>
      </w:pPr>
      <w:r>
        <w:rPr>
          <w:rFonts w:hint="eastAsia" w:ascii="黑体" w:hAnsi="黑体" w:eastAsia="黑体" w:cs="黑体"/>
          <w:sz w:val="21"/>
          <w:szCs w:val="22"/>
        </w:rPr>
        <w:t>6.3.1</w:t>
      </w:r>
      <w:r>
        <w:rPr>
          <w:rFonts w:hint="eastAsia" w:ascii="黑体" w:hAnsi="黑体" w:eastAsia="黑体" w:cs="黑体"/>
          <w:sz w:val="21"/>
          <w:szCs w:val="21"/>
          <w:lang w:eastAsia="zh-CN"/>
        </w:rPr>
        <w:t>【</w:t>
      </w:r>
      <w:r>
        <w:rPr>
          <w:rFonts w:hint="eastAsia" w:ascii="黑体" w:hAnsi="黑体" w:eastAsia="黑体" w:cs="黑体"/>
          <w:sz w:val="21"/>
          <w:szCs w:val="21"/>
        </w:rPr>
        <w:t>修订</w:t>
      </w:r>
      <w:r>
        <w:rPr>
          <w:rFonts w:hint="eastAsia" w:ascii="黑体" w:hAnsi="黑体" w:eastAsia="黑体" w:cs="黑体"/>
          <w:sz w:val="21"/>
          <w:szCs w:val="21"/>
          <w:lang w:eastAsia="zh-CN"/>
        </w:rPr>
        <w:t>】</w:t>
      </w:r>
      <w:r>
        <w:rPr>
          <w:rFonts w:hint="eastAsia" w:ascii="黑体" w:hAnsi="黑体" w:eastAsia="黑体" w:cs="黑体"/>
          <w:sz w:val="21"/>
          <w:szCs w:val="22"/>
        </w:rPr>
        <w:t xml:space="preserve">  </w:t>
      </w:r>
      <w:r>
        <w:rPr>
          <w:rFonts w:hint="eastAsia" w:asciiTheme="minorEastAsia" w:hAnsiTheme="minorEastAsia" w:eastAsiaTheme="minorEastAsia" w:cstheme="minorEastAsia"/>
          <w:sz w:val="21"/>
          <w:szCs w:val="21"/>
        </w:rPr>
        <w:t>本条规定了水闸结构混凝土除一般规定中规定的其他检测项目。混凝土内部缺陷也适用于灌注桩混凝土缺陷检测和钢管混凝土缺陷检测。对于混凝土耐久性方面，应进行钢筋锈蚀检测与评估，有抗冻、抗渗要求的还应包括抗冻、抗渗性能。</w:t>
      </w:r>
    </w:p>
    <w:p>
      <w:pPr>
        <w:pStyle w:val="6"/>
        <w:spacing w:line="360" w:lineRule="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钢筋锈蚀：</w:t>
      </w:r>
      <w:r>
        <w:rPr>
          <w:rFonts w:hint="eastAsia" w:asciiTheme="minorEastAsia" w:hAnsiTheme="minorEastAsia" w:eastAsiaTheme="minorEastAsia" w:cstheme="minorEastAsia"/>
          <w:position w:val="1"/>
          <w:sz w:val="21"/>
          <w:szCs w:val="21"/>
        </w:rPr>
        <w:t>SL/T 352</w:t>
      </w:r>
      <w:r>
        <w:rPr>
          <w:rFonts w:hint="eastAsia" w:asciiTheme="minorEastAsia" w:hAnsiTheme="minorEastAsia" w:eastAsiaTheme="minorEastAsia" w:cstheme="minorEastAsia"/>
          <w:sz w:val="21"/>
          <w:szCs w:val="21"/>
        </w:rPr>
        <w:t>和JGJ/T 152提出的钢筋锈蚀检测方法都是参照美国标准ASTMC 876</w:t>
      </w:r>
      <w:r>
        <w:rPr>
          <w:rFonts w:hint="eastAsia" w:asciiTheme="minorEastAsia" w:hAnsiTheme="minorEastAsia" w:eastAsiaTheme="minorEastAsia" w:cstheme="minorEastAsia"/>
          <w:position w:val="1"/>
          <w:sz w:val="21"/>
          <w:szCs w:val="21"/>
        </w:rPr>
        <w:t>—</w:t>
      </w:r>
      <w:r>
        <w:rPr>
          <w:rFonts w:hint="eastAsia" w:asciiTheme="minorEastAsia" w:hAnsiTheme="minorEastAsia" w:eastAsiaTheme="minorEastAsia" w:cstheme="minorEastAsia"/>
          <w:position w:val="-1"/>
          <w:sz w:val="21"/>
          <w:szCs w:val="21"/>
        </w:rPr>
        <w:t>91</w:t>
      </w:r>
      <w:r>
        <w:rPr>
          <w:rFonts w:hint="eastAsia" w:asciiTheme="minorEastAsia" w:hAnsiTheme="minorEastAsia" w:eastAsiaTheme="minorEastAsia" w:cstheme="minorEastAsia"/>
          <w:sz w:val="21"/>
          <w:szCs w:val="21"/>
        </w:rPr>
        <w:t>(R</w:t>
      </w:r>
      <w:r>
        <w:rPr>
          <w:rFonts w:hint="eastAsia" w:asciiTheme="minorEastAsia" w:hAnsiTheme="minorEastAsia" w:eastAsiaTheme="minorEastAsia" w:cstheme="minorEastAsia"/>
          <w:position w:val="-1"/>
          <w:sz w:val="21"/>
          <w:szCs w:val="21"/>
        </w:rPr>
        <w:t>eapprove</w:t>
      </w:r>
      <w:r>
        <w:rPr>
          <w:rFonts w:hint="eastAsia" w:asciiTheme="minorEastAsia" w:hAnsiTheme="minorEastAsia" w:eastAsiaTheme="minorEastAsia" w:cstheme="minorEastAsia"/>
          <w:sz w:val="21"/>
          <w:szCs w:val="21"/>
        </w:rPr>
        <w:t>d1999)编写的。我国很多省份还根据需要制定了地方标准，提出了电阻率法、锈蚀电流密度法等钢筋锈蚀检测方法和动态的健康监测方法，如安徽省地方标准DB34/T 1929</w:t>
      </w:r>
      <w:r>
        <w:rPr>
          <w:rFonts w:hint="eastAsia" w:asciiTheme="minorEastAsia" w:hAnsiTheme="minorEastAsia" w:eastAsiaTheme="minorEastAsia" w:cstheme="minorEastAsia"/>
          <w:position w:val="1"/>
          <w:sz w:val="21"/>
          <w:szCs w:val="21"/>
        </w:rPr>
        <w:t>—</w:t>
      </w:r>
      <w:r>
        <w:rPr>
          <w:rFonts w:hint="eastAsia" w:asciiTheme="minorEastAsia" w:hAnsiTheme="minorEastAsia" w:eastAsiaTheme="minorEastAsia" w:cstheme="minorEastAsia"/>
          <w:sz w:val="21"/>
          <w:szCs w:val="21"/>
        </w:rPr>
        <w:t>201《混凝土中钢筋腐蚀检测技术规程》。</w:t>
      </w:r>
    </w:p>
    <w:p>
      <w:pPr>
        <w:pStyle w:val="6"/>
        <w:spacing w:line="360" w:lineRule="auto"/>
        <w:outlineLvl w:val="3"/>
        <w:rPr>
          <w:rFonts w:hint="eastAsia" w:asciiTheme="minorEastAsia" w:hAnsiTheme="minorEastAsia" w:eastAsiaTheme="minorEastAsia" w:cstheme="minorEastAsia"/>
          <w:sz w:val="21"/>
          <w:szCs w:val="21"/>
        </w:rPr>
      </w:pPr>
      <w:bookmarkStart w:id="356" w:name="_Toc6462"/>
      <w:bookmarkStart w:id="357" w:name="_Toc23946"/>
      <w:bookmarkStart w:id="358" w:name="_Toc193028434"/>
      <w:bookmarkStart w:id="359" w:name="_Toc26400"/>
      <w:r>
        <w:rPr>
          <w:rFonts w:hint="eastAsia" w:ascii="黑体" w:hAnsi="黑体" w:eastAsia="黑体" w:cs="黑体"/>
          <w:sz w:val="21"/>
          <w:szCs w:val="22"/>
        </w:rPr>
        <w:t xml:space="preserve">6.3.3  </w:t>
      </w:r>
      <w:r>
        <w:rPr>
          <w:rFonts w:hint="eastAsia" w:asciiTheme="minorEastAsia" w:hAnsiTheme="minorEastAsia" w:eastAsiaTheme="minorEastAsia" w:cstheme="minorEastAsia"/>
          <w:sz w:val="21"/>
          <w:szCs w:val="21"/>
        </w:rPr>
        <w:t>抗渗性能、抗冻性能检测的测点布置按照6.2.3条2款1)项中的重力坝、拱坝和碾压混凝土坝等大坝实体布置。</w:t>
      </w:r>
      <w:bookmarkEnd w:id="356"/>
      <w:bookmarkEnd w:id="357"/>
      <w:bookmarkEnd w:id="358"/>
      <w:bookmarkEnd w:id="359"/>
    </w:p>
    <w:p>
      <w:pPr>
        <w:pStyle w:val="3"/>
        <w:snapToGrid w:val="0"/>
        <w:spacing w:before="156" w:beforeLines="50" w:after="156" w:afterLines="50" w:line="360" w:lineRule="auto"/>
        <w:jc w:val="center"/>
        <w:rPr>
          <w:rFonts w:ascii="黑体" w:hAnsi="黑体" w:cs="黑体"/>
          <w:sz w:val="24"/>
          <w:szCs w:val="24"/>
        </w:rPr>
      </w:pPr>
      <w:bookmarkStart w:id="360" w:name="_Toc193028435"/>
      <w:bookmarkStart w:id="361" w:name="_Toc32101"/>
      <w:bookmarkStart w:id="362" w:name="_Toc19611"/>
      <w:bookmarkStart w:id="363" w:name="_Toc13845"/>
      <w:r>
        <w:rPr>
          <w:rFonts w:ascii="黑体" w:hAnsi="黑体" w:cs="黑体"/>
          <w:sz w:val="24"/>
          <w:szCs w:val="24"/>
        </w:rPr>
        <w:t>6.5  输水建筑物</w:t>
      </w:r>
      <w:bookmarkEnd w:id="360"/>
      <w:bookmarkEnd w:id="361"/>
      <w:bookmarkEnd w:id="362"/>
      <w:bookmarkEnd w:id="363"/>
    </w:p>
    <w:p>
      <w:pPr>
        <w:spacing w:line="360" w:lineRule="auto"/>
        <w:ind w:left="23" w:right="91"/>
        <w:outlineLvl w:val="3"/>
        <w:rPr>
          <w:rFonts w:hint="eastAsia" w:asciiTheme="minorEastAsia" w:hAnsiTheme="minorEastAsia" w:cstheme="minorEastAsia"/>
          <w:szCs w:val="21"/>
        </w:rPr>
      </w:pPr>
      <w:bookmarkStart w:id="364" w:name="_Toc193028436"/>
      <w:bookmarkStart w:id="365" w:name="_Toc30558"/>
      <w:bookmarkStart w:id="366" w:name="_Toc31654"/>
      <w:bookmarkStart w:id="367" w:name="_Toc30695"/>
      <w:r>
        <w:rPr>
          <w:rFonts w:hint="eastAsia" w:ascii="黑体" w:hAnsi="黑体" w:eastAsia="黑体" w:cs="微软雅黑"/>
          <w:snapToGrid w:val="0"/>
          <w:color w:val="000000"/>
          <w:spacing w:val="21"/>
          <w:kern w:val="0"/>
          <w:position w:val="-2"/>
          <w:szCs w:val="21"/>
        </w:rPr>
        <w:t>6.5.1</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微软雅黑" w:hAnsi="微软雅黑" w:eastAsia="微软雅黑" w:cs="微软雅黑"/>
          <w:snapToGrid w:val="0"/>
          <w:color w:val="000000"/>
          <w:spacing w:val="21"/>
          <w:kern w:val="0"/>
          <w:position w:val="-2"/>
          <w:szCs w:val="21"/>
        </w:rPr>
        <w:t xml:space="preserve">  </w:t>
      </w:r>
      <w:r>
        <w:rPr>
          <w:rFonts w:hint="eastAsia" w:asciiTheme="minorEastAsia" w:hAnsiTheme="minorEastAsia" w:cstheme="minorEastAsia"/>
          <w:szCs w:val="21"/>
        </w:rPr>
        <w:t>考虑混凝土结构的相似性，将原“6.5 涵、管、倒虹吸”、“6.6 渡槽”、“6.8 洞室衬砌”和“6.9 渠道衬砌”整合为“6.5 输水建筑物”。</w:t>
      </w:r>
      <w:bookmarkEnd w:id="364"/>
      <w:bookmarkEnd w:id="365"/>
      <w:bookmarkEnd w:id="366"/>
      <w:bookmarkEnd w:id="367"/>
    </w:p>
    <w:p>
      <w:pPr>
        <w:spacing w:line="360" w:lineRule="auto"/>
        <w:ind w:left="23" w:right="91"/>
        <w:outlineLvl w:val="3"/>
        <w:rPr>
          <w:snapToGrid w:val="0"/>
          <w:color w:val="000000"/>
          <w:spacing w:val="6"/>
          <w:kern w:val="0"/>
          <w:szCs w:val="21"/>
        </w:rPr>
      </w:pPr>
      <w:bookmarkStart w:id="368" w:name="_Toc193028437"/>
      <w:bookmarkStart w:id="369" w:name="_Toc7040"/>
      <w:bookmarkStart w:id="370" w:name="_Toc6803"/>
      <w:bookmarkStart w:id="371" w:name="_Toc20693"/>
      <w:r>
        <w:rPr>
          <w:rFonts w:hint="eastAsia" w:ascii="黑体" w:hAnsi="黑体" w:eastAsia="黑体" w:cs="微软雅黑"/>
          <w:snapToGrid w:val="0"/>
          <w:color w:val="000000"/>
          <w:spacing w:val="21"/>
          <w:kern w:val="0"/>
          <w:position w:val="-2"/>
          <w:szCs w:val="21"/>
        </w:rPr>
        <w:t xml:space="preserve">6.5.2  </w:t>
      </w:r>
      <w:r>
        <w:rPr>
          <w:rFonts w:hint="eastAsia" w:asciiTheme="minorEastAsia" w:hAnsiTheme="minorEastAsia" w:cstheme="minorEastAsia"/>
          <w:szCs w:val="21"/>
        </w:rPr>
        <w:t>本节中的“涵 ”包括涵洞和箱涵，“管 ”包括明管和涵管。</w:t>
      </w:r>
      <w:bookmarkEnd w:id="368"/>
      <w:bookmarkEnd w:id="369"/>
      <w:bookmarkEnd w:id="370"/>
      <w:bookmarkEnd w:id="371"/>
    </w:p>
    <w:p>
      <w:pPr>
        <w:spacing w:line="360" w:lineRule="auto"/>
        <w:ind w:left="23" w:right="91"/>
        <w:outlineLvl w:val="3"/>
        <w:rPr>
          <w:spacing w:val="6"/>
          <w:szCs w:val="21"/>
        </w:rPr>
      </w:pPr>
      <w:bookmarkStart w:id="372" w:name="_Toc4084"/>
      <w:bookmarkStart w:id="373" w:name="_Toc193028438"/>
      <w:bookmarkStart w:id="374" w:name="_Toc23961"/>
      <w:bookmarkStart w:id="375" w:name="_Toc32312"/>
      <w:r>
        <w:rPr>
          <w:rFonts w:hint="eastAsia" w:ascii="黑体" w:hAnsi="黑体" w:eastAsia="黑体" w:cs="微软雅黑"/>
          <w:snapToGrid w:val="0"/>
          <w:color w:val="000000"/>
          <w:spacing w:val="21"/>
          <w:kern w:val="0"/>
          <w:position w:val="-2"/>
          <w:szCs w:val="21"/>
        </w:rPr>
        <w:t>6.5.3</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微软雅黑"/>
          <w:snapToGrid w:val="0"/>
          <w:color w:val="000000"/>
          <w:spacing w:val="21"/>
          <w:kern w:val="0"/>
          <w:position w:val="-2"/>
          <w:szCs w:val="21"/>
        </w:rPr>
        <w:t xml:space="preserve">  </w:t>
      </w:r>
      <w:r>
        <w:rPr>
          <w:rFonts w:hint="eastAsia" w:asciiTheme="minorEastAsia" w:hAnsiTheme="minorEastAsia" w:cstheme="minorEastAsia"/>
          <w:szCs w:val="21"/>
        </w:rPr>
        <w:t>检测单元划分宜与结构设计(分缝、分段、分块)或功能相结合，对于梁、柱、桩或板类的结构体，可将单根梁、柱、桩或单块板划分为一个检测单元。本节整合后参照上述原则进行了“规定数值”的删除，并进行表述精简。</w:t>
      </w:r>
      <w:bookmarkEnd w:id="372"/>
      <w:bookmarkEnd w:id="373"/>
      <w:bookmarkEnd w:id="374"/>
      <w:bookmarkEnd w:id="375"/>
    </w:p>
    <w:p>
      <w:pPr>
        <w:widowControl/>
        <w:kinsoku w:val="0"/>
        <w:autoSpaceDE w:val="0"/>
        <w:autoSpaceDN w:val="0"/>
        <w:spacing w:line="360" w:lineRule="auto"/>
        <w:jc w:val="left"/>
        <w:textAlignment w:val="baseline"/>
        <w:rPr>
          <w:rFonts w:hint="eastAsia" w:ascii="微软雅黑" w:hAnsi="微软雅黑" w:eastAsia="微软雅黑" w:cs="微软雅黑"/>
          <w:snapToGrid w:val="0"/>
          <w:color w:val="000000"/>
          <w:kern w:val="0"/>
          <w:szCs w:val="21"/>
        </w:rPr>
      </w:pPr>
      <w:r>
        <w:rPr>
          <w:rFonts w:ascii="黑体" w:hAnsi="黑体" w:eastAsia="黑体" w:cs="微软雅黑"/>
          <w:snapToGrid w:val="0"/>
          <w:color w:val="000000"/>
          <w:spacing w:val="21"/>
          <w:kern w:val="0"/>
          <w:position w:val="-2"/>
          <w:szCs w:val="21"/>
        </w:rPr>
        <w:t>6.</w:t>
      </w:r>
      <w:r>
        <w:rPr>
          <w:rFonts w:hint="eastAsia" w:ascii="黑体" w:hAnsi="黑体" w:eastAsia="黑体" w:cs="微软雅黑"/>
          <w:snapToGrid w:val="0"/>
          <w:color w:val="000000"/>
          <w:spacing w:val="21"/>
          <w:kern w:val="0"/>
          <w:position w:val="-2"/>
          <w:szCs w:val="21"/>
        </w:rPr>
        <w:t>5</w:t>
      </w:r>
      <w:r>
        <w:rPr>
          <w:rFonts w:ascii="黑体" w:hAnsi="黑体" w:eastAsia="黑体" w:cs="微软雅黑"/>
          <w:snapToGrid w:val="0"/>
          <w:color w:val="000000"/>
          <w:spacing w:val="21"/>
          <w:kern w:val="0"/>
          <w:position w:val="-2"/>
          <w:szCs w:val="21"/>
        </w:rPr>
        <w:t>.3</w:t>
      </w:r>
      <w:r>
        <w:rPr>
          <w:rFonts w:hint="eastAsia" w:ascii="黑体" w:hAnsi="黑体" w:eastAsia="黑体" w:cs="微软雅黑"/>
          <w:snapToGrid w:val="0"/>
          <w:color w:val="000000"/>
          <w:spacing w:val="21"/>
          <w:kern w:val="0"/>
          <w:position w:val="-2"/>
          <w:szCs w:val="21"/>
        </w:rPr>
        <w:t xml:space="preserve">  </w:t>
      </w:r>
      <w:r>
        <w:rPr>
          <w:rFonts w:hint="eastAsia" w:asciiTheme="minorEastAsia" w:hAnsiTheme="minorEastAsia" w:cstheme="minorEastAsia"/>
          <w:szCs w:val="21"/>
        </w:rPr>
        <w:t>初测结果发现缺陷需实施进一步追溯检测时，可布置辅测线，其方向、长度、数量及间距可根据需要现场确定 。</w:t>
      </w:r>
    </w:p>
    <w:p>
      <w:pPr>
        <w:pStyle w:val="3"/>
        <w:snapToGrid w:val="0"/>
        <w:spacing w:before="156" w:beforeLines="50" w:after="156" w:afterLines="50" w:line="360" w:lineRule="auto"/>
        <w:jc w:val="center"/>
        <w:rPr>
          <w:rFonts w:ascii="黑体" w:hAnsi="黑体" w:cs="黑体"/>
          <w:sz w:val="24"/>
          <w:szCs w:val="24"/>
        </w:rPr>
      </w:pPr>
      <w:bookmarkStart w:id="376" w:name="_Toc10522"/>
      <w:bookmarkStart w:id="377" w:name="_Toc193028439"/>
      <w:bookmarkStart w:id="378" w:name="_Toc26050"/>
      <w:bookmarkStart w:id="379" w:name="_Toc22763"/>
      <w:r>
        <w:rPr>
          <w:rFonts w:ascii="黑体" w:hAnsi="黑体" w:cs="黑体"/>
          <w:sz w:val="24"/>
          <w:szCs w:val="24"/>
        </w:rPr>
        <w:t>6.6  通航、过鱼设施</w:t>
      </w:r>
      <w:bookmarkEnd w:id="376"/>
      <w:bookmarkEnd w:id="377"/>
      <w:bookmarkEnd w:id="378"/>
      <w:bookmarkEnd w:id="379"/>
    </w:p>
    <w:p>
      <w:pPr>
        <w:pStyle w:val="6"/>
        <w:spacing w:before="144" w:line="209" w:lineRule="auto"/>
        <w:ind w:left="23" w:right="91" w:hanging="23"/>
        <w:outlineLvl w:val="3"/>
        <w:rPr>
          <w:rFonts w:hint="eastAsia" w:asciiTheme="minorEastAsia" w:hAnsiTheme="minorEastAsia" w:eastAsiaTheme="minorEastAsia" w:cstheme="minorEastAsia"/>
          <w:sz w:val="21"/>
          <w:szCs w:val="21"/>
        </w:rPr>
      </w:pPr>
      <w:bookmarkStart w:id="380" w:name="_Toc1996"/>
      <w:bookmarkStart w:id="381" w:name="_Toc193028440"/>
      <w:bookmarkStart w:id="382" w:name="_Toc12204"/>
      <w:bookmarkStart w:id="383" w:name="_Toc32072"/>
      <w:r>
        <w:rPr>
          <w:rFonts w:hint="eastAsia" w:ascii="黑体" w:hAnsi="黑体" w:eastAsia="黑体"/>
          <w:snapToGrid w:val="0"/>
          <w:color w:val="000000"/>
          <w:spacing w:val="21"/>
          <w:kern w:val="0"/>
          <w:position w:val="-2"/>
          <w:sz w:val="21"/>
          <w:szCs w:val="21"/>
        </w:rPr>
        <w:t>6.6.1</w:t>
      </w:r>
      <w:r>
        <w:rPr>
          <w:rFonts w:hint="eastAsia" w:ascii="黑体" w:hAnsi="黑体" w:eastAsia="黑体" w:cs="黑体"/>
          <w:spacing w:val="20"/>
          <w:position w:val="-2"/>
          <w:sz w:val="21"/>
          <w:szCs w:val="21"/>
          <w:lang w:eastAsia="zh-CN"/>
        </w:rPr>
        <w:t>【</w:t>
      </w:r>
      <w:r>
        <w:rPr>
          <w:rFonts w:hint="eastAsia" w:ascii="黑体" w:hAnsi="黑体" w:eastAsia="黑体" w:cs="黑体"/>
          <w:spacing w:val="20"/>
          <w:position w:val="-2"/>
          <w:sz w:val="21"/>
          <w:szCs w:val="21"/>
        </w:rPr>
        <w:t>新增</w:t>
      </w:r>
      <w:r>
        <w:rPr>
          <w:rFonts w:hint="eastAsia" w:ascii="黑体" w:hAnsi="黑体" w:eastAsia="黑体" w:cs="黑体"/>
          <w:spacing w:val="20"/>
          <w:position w:val="-2"/>
          <w:sz w:val="21"/>
          <w:szCs w:val="21"/>
          <w:lang w:eastAsia="zh-CN"/>
        </w:rPr>
        <w:t>】</w:t>
      </w:r>
      <w:r>
        <w:rPr>
          <w:rFonts w:hint="eastAsia" w:ascii="黑体" w:hAnsi="黑体" w:eastAsia="黑体"/>
          <w:snapToGrid w:val="0"/>
          <w:color w:val="000000"/>
          <w:spacing w:val="21"/>
          <w:kern w:val="0"/>
          <w:position w:val="-2"/>
          <w:sz w:val="21"/>
          <w:szCs w:val="21"/>
        </w:rPr>
        <w:t xml:space="preserve"> </w:t>
      </w:r>
      <w:r>
        <w:rPr>
          <w:rFonts w:hint="eastAsia" w:ascii="黑体" w:hAnsi="黑体" w:eastAsia="黑体"/>
          <w:snapToGrid w:val="0"/>
          <w:color w:val="000000"/>
          <w:spacing w:val="21"/>
          <w:kern w:val="0"/>
          <w:position w:val="-2"/>
          <w:sz w:val="21"/>
          <w:szCs w:val="21"/>
        </w:rPr>
        <w:t xml:space="preserve"> </w:t>
      </w:r>
      <w:r>
        <w:rPr>
          <w:rFonts w:hint="eastAsia" w:asciiTheme="minorEastAsia" w:hAnsiTheme="minorEastAsia" w:eastAsiaTheme="minorEastAsia" w:cstheme="minorEastAsia"/>
          <w:sz w:val="21"/>
          <w:szCs w:val="21"/>
        </w:rPr>
        <w:t>原规程混凝土结构形式考虑不全面，新增“6.6 通航、过鱼设施”。</w:t>
      </w:r>
      <w:bookmarkEnd w:id="380"/>
      <w:bookmarkEnd w:id="381"/>
      <w:bookmarkEnd w:id="382"/>
      <w:bookmarkEnd w:id="383"/>
    </w:p>
    <w:p>
      <w:pPr>
        <w:pStyle w:val="6"/>
        <w:spacing w:before="144" w:line="209" w:lineRule="auto"/>
        <w:ind w:left="23" w:right="91" w:hanging="23"/>
        <w:outlineLvl w:val="3"/>
        <w:rPr>
          <w:rFonts w:hint="eastAsia" w:asciiTheme="minorEastAsia" w:hAnsiTheme="minorEastAsia" w:eastAsiaTheme="minorEastAsia" w:cstheme="minorEastAsia"/>
          <w:sz w:val="21"/>
          <w:szCs w:val="21"/>
        </w:rPr>
      </w:pPr>
    </w:p>
    <w:p>
      <w:pPr>
        <w:pStyle w:val="3"/>
        <w:snapToGrid w:val="0"/>
        <w:spacing w:before="156" w:beforeLines="50" w:after="156" w:afterLines="50" w:line="360" w:lineRule="auto"/>
        <w:jc w:val="center"/>
        <w:rPr>
          <w:rFonts w:ascii="黑体" w:hAnsi="黑体" w:cs="黑体"/>
          <w:sz w:val="24"/>
          <w:szCs w:val="24"/>
        </w:rPr>
      </w:pPr>
      <w:bookmarkStart w:id="384" w:name="_Toc2191"/>
      <w:r>
        <w:rPr>
          <w:rFonts w:ascii="黑体" w:hAnsi="黑体" w:cs="黑体"/>
          <w:sz w:val="24"/>
          <w:szCs w:val="24"/>
        </w:rPr>
        <w:t>6.7 水下建筑物表观缺陷检测</w:t>
      </w:r>
      <w:bookmarkEnd w:id="384"/>
    </w:p>
    <w:p>
      <w:pPr>
        <w:spacing w:line="360" w:lineRule="auto"/>
        <w:rPr>
          <w:rFonts w:hint="eastAsia" w:asciiTheme="minorEastAsia" w:hAnsiTheme="minorEastAsia"/>
          <w:color w:val="000000"/>
          <w:szCs w:val="21"/>
        </w:rPr>
      </w:pPr>
      <w:r>
        <w:rPr>
          <w:rFonts w:hint="eastAsia" w:ascii="黑体" w:hAnsi="黑体" w:eastAsia="黑体" w:cs="微软雅黑"/>
          <w:snapToGrid w:val="0"/>
          <w:color w:val="000000"/>
          <w:spacing w:val="21"/>
          <w:kern w:val="0"/>
          <w:position w:val="-2"/>
          <w:szCs w:val="21"/>
        </w:rPr>
        <w:t>6.7.2</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Theme="minorEastAsia" w:hAnsiTheme="minorEastAsia"/>
          <w:szCs w:val="21"/>
        </w:rPr>
        <w:t xml:space="preserve">  </w:t>
      </w:r>
      <w:r>
        <w:rPr>
          <w:rFonts w:asciiTheme="minorEastAsia" w:hAnsiTheme="minorEastAsia"/>
          <w:color w:val="000000"/>
          <w:szCs w:val="21"/>
        </w:rPr>
        <w:t>多波束声呐技术用于水下三维扫测，常用的多波束声呐技术为多波束测深声呐、三维多波束声呐、隧洞版多波束声呐。多波束测深声呐可联合 RTK（实时动态差分，Real Time Kinematic，利用基准站和流动站之间的实时数据链路和载波进行相对定位快速解算技术）、PPK（动态后处理差分，Post Processed Kinematic，利用载波相位进行GNSS事后差分）定位技术通过水深探测完成水下地形、水下结构物体型表观检测，但卫星定位精度受高耸的水工建筑物遮挡会影响数字信息的采集。三维多波 束声呐可用于狭窄流道、闸门前等水域的扫测，扫测方式可分为测站式或移动式，测站式主要通过特征点定位，移动式主要通过惯导或水声通信定位。隧洞版多波束声呐用于隧洞、管道等有限空间的扫测，主要联合惯导系统完成水工隧洞或管道三维数字信息采集。</w:t>
      </w:r>
    </w:p>
    <w:p>
      <w:pPr>
        <w:spacing w:line="360" w:lineRule="auto"/>
        <w:rPr>
          <w:rFonts w:hint="eastAsia" w:asciiTheme="minorEastAsia" w:hAnsiTheme="minorEastAsia"/>
          <w:szCs w:val="21"/>
        </w:rPr>
      </w:pPr>
      <w:r>
        <w:rPr>
          <w:rFonts w:hint="eastAsia" w:asciiTheme="minorEastAsia" w:hAnsiTheme="minorEastAsia"/>
          <w:color w:val="000000"/>
          <w:szCs w:val="21"/>
        </w:rPr>
        <w:t xml:space="preserve">    </w:t>
      </w:r>
      <w:r>
        <w:rPr>
          <w:rFonts w:asciiTheme="minorEastAsia" w:hAnsiTheme="minorEastAsia"/>
          <w:color w:val="000000"/>
          <w:szCs w:val="21"/>
        </w:rPr>
        <w:t>成像声呐用于水下的二维、三维成像,主要用于详查阶段，包括前视声呐、二维图像声呐、多频数字图像声呐、三维全景成像声呐、三维实时成像声呐，三维全景成像声呐即同测站式三维多波束声呐，通常安置于潜水器上，可通过固定杆件安置在水面搭载平台上，也可通过潜水员手持。</w:t>
      </w:r>
    </w:p>
    <w:p>
      <w:pPr>
        <w:spacing w:line="360" w:lineRule="auto"/>
        <w:rPr>
          <w:rFonts w:hint="eastAsia" w:asciiTheme="minorEastAsia" w:hAnsiTheme="minorEastAsia"/>
          <w:szCs w:val="21"/>
        </w:rPr>
      </w:pPr>
      <w:r>
        <w:rPr>
          <w:rFonts w:hint="eastAsia" w:asciiTheme="minorEastAsia" w:hAnsiTheme="minorEastAsia"/>
          <w:szCs w:val="21"/>
        </w:rPr>
        <w:t xml:space="preserve">    </w:t>
      </w:r>
      <w:r>
        <w:rPr>
          <w:rFonts w:asciiTheme="minorEastAsia" w:hAnsiTheme="minorEastAsia"/>
          <w:color w:val="000000"/>
          <w:szCs w:val="21"/>
        </w:rPr>
        <w:t>空气中的光学成像技术已经比较成熟，但在水下环境中能见度却非常有限，主要原因是水对光的散射、折射和水中杂质的影响。水工建筑物水下检测光学成像技术主要包括水下可见光成像、水下激光成像和水下红外成像，本节中光学成像技术主要指水下可见光成像，水下红外成像在实际水工建筑物检测中应用较少。 水下检测中光学成像需抵近观察，补足光源，浑水域中建议使用浑水摄像机，光照较弱的环境建议使用微光摄像机。</w:t>
      </w:r>
    </w:p>
    <w:p>
      <w:pPr>
        <w:spacing w:line="360" w:lineRule="auto"/>
        <w:rPr>
          <w:rFonts w:hint="eastAsia" w:asciiTheme="minorEastAsia" w:hAnsiTheme="minorEastAsia"/>
          <w:szCs w:val="21"/>
        </w:rPr>
      </w:pPr>
      <w:r>
        <w:rPr>
          <w:rFonts w:hint="eastAsia" w:ascii="黑体" w:hAnsi="黑体" w:eastAsia="黑体" w:cs="微软雅黑"/>
          <w:snapToGrid w:val="0"/>
          <w:color w:val="000000"/>
          <w:spacing w:val="21"/>
          <w:kern w:val="0"/>
          <w:position w:val="-2"/>
          <w:szCs w:val="21"/>
        </w:rPr>
        <w:t>6.7.3</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微软雅黑"/>
          <w:snapToGrid w:val="0"/>
          <w:color w:val="000000"/>
          <w:spacing w:val="21"/>
          <w:kern w:val="0"/>
          <w:position w:val="-2"/>
          <w:szCs w:val="21"/>
        </w:rPr>
        <w:t xml:space="preserve"> </w:t>
      </w:r>
      <w:r>
        <w:rPr>
          <w:rFonts w:asciiTheme="minorEastAsia" w:hAnsiTheme="minorEastAsia"/>
          <w:color w:val="000000"/>
          <w:szCs w:val="21"/>
        </w:rPr>
        <w:t>水下检测技术采用的仪器设备，需保障其作业安全的基础上，符合极限作业水域环境的要求，对于超出仪器设备作业安全要求的水域环境，谨慎下水检测，待具备作业条件后再开展水下检测作业，以防对硬件设备造成损伤。水域流速对水下检测的搭载平台提出具体要求，若流速过快的水域，搭载平台的抗流能力不足，容易造成设备损失，故为了保证无人船、潜水器的作业安全，根据行业内主流仪器设备的抗流指标，提出作业水域的水流速不宜大于1m/s，实际开展作业的过程中，对不同水流速的水工部位进行水下检测时，可根据作业设备的抗流能力对仪器设备进行选型。</w:t>
      </w:r>
    </w:p>
    <w:p>
      <w:pPr>
        <w:ind w:firstLine="420" w:firstLineChars="200"/>
        <w:rPr>
          <w:rFonts w:hint="eastAsia" w:asciiTheme="minorEastAsia" w:hAnsiTheme="minorEastAsia" w:cstheme="minorEastAsia"/>
          <w:color w:val="0000FF"/>
          <w:szCs w:val="21"/>
        </w:rPr>
      </w:pPr>
    </w:p>
    <w:p>
      <w:pPr>
        <w:rPr>
          <w:rFonts w:hint="eastAsia" w:asciiTheme="minorEastAsia" w:hAnsiTheme="minorEastAsia" w:cstheme="minorEastAsia"/>
          <w:szCs w:val="21"/>
        </w:rPr>
      </w:pPr>
      <w:r>
        <w:rPr>
          <w:rFonts w:hint="eastAsia" w:asciiTheme="minorEastAsia" w:hAnsiTheme="minorEastAsia" w:cstheme="minorEastAsia"/>
          <w:szCs w:val="21"/>
        </w:rPr>
        <w:br w:type="page"/>
      </w:r>
    </w:p>
    <w:p>
      <w:pPr>
        <w:pStyle w:val="2"/>
        <w:rPr>
          <w:rFonts w:hint="eastAsia" w:ascii="黑体" w:hAnsi="黑体" w:eastAsia="黑体" w:cs="黑体"/>
          <w:b w:val="0"/>
          <w:bCs w:val="0"/>
          <w:sz w:val="28"/>
          <w:szCs w:val="28"/>
        </w:rPr>
      </w:pPr>
      <w:bookmarkStart w:id="385" w:name="_Toc27459"/>
      <w:bookmarkStart w:id="386" w:name="_Toc193028441"/>
      <w:bookmarkStart w:id="387" w:name="_Toc5264"/>
      <w:bookmarkStart w:id="388" w:name="_Toc29026"/>
      <w:r>
        <w:rPr>
          <w:rFonts w:hint="eastAsia" w:ascii="黑体" w:hAnsi="黑体" w:eastAsia="黑体" w:cs="黑体"/>
          <w:b w:val="0"/>
          <w:bCs w:val="0"/>
          <w:sz w:val="28"/>
          <w:szCs w:val="28"/>
        </w:rPr>
        <w:t>7  金 属 结 构</w:t>
      </w:r>
      <w:bookmarkEnd w:id="385"/>
      <w:bookmarkEnd w:id="386"/>
      <w:bookmarkEnd w:id="387"/>
      <w:bookmarkEnd w:id="388"/>
    </w:p>
    <w:p>
      <w:pPr>
        <w:pStyle w:val="3"/>
        <w:snapToGrid w:val="0"/>
        <w:spacing w:before="156" w:beforeLines="50" w:after="156" w:afterLines="50" w:line="360" w:lineRule="auto"/>
        <w:jc w:val="center"/>
        <w:rPr>
          <w:rFonts w:ascii="黑体" w:hAnsi="黑体" w:cs="黑体"/>
          <w:sz w:val="24"/>
          <w:szCs w:val="24"/>
        </w:rPr>
      </w:pPr>
      <w:bookmarkStart w:id="389" w:name="_Toc31648"/>
      <w:bookmarkStart w:id="390" w:name="_Toc14509"/>
      <w:bookmarkStart w:id="391" w:name="_Toc193028442"/>
      <w:bookmarkStart w:id="392" w:name="_Toc31519"/>
      <w:r>
        <w:rPr>
          <w:rFonts w:ascii="黑体" w:hAnsi="黑体" w:cs="黑体"/>
          <w:sz w:val="24"/>
          <w:szCs w:val="24"/>
        </w:rPr>
        <w:t>7.1  一 般 规 定</w:t>
      </w:r>
      <w:bookmarkEnd w:id="389"/>
      <w:bookmarkEnd w:id="390"/>
      <w:bookmarkEnd w:id="391"/>
      <w:bookmarkEnd w:id="392"/>
    </w:p>
    <w:p>
      <w:pPr>
        <w:pStyle w:val="6"/>
        <w:spacing w:before="145" w:line="210" w:lineRule="auto"/>
        <w:ind w:right="77"/>
        <w:rPr>
          <w:rFonts w:hint="eastAsia" w:ascii="宋体" w:hAnsi="宋体" w:eastAsia="宋体" w:cs="宋体"/>
          <w:sz w:val="21"/>
          <w:szCs w:val="22"/>
        </w:rPr>
      </w:pPr>
      <w:r>
        <w:rPr>
          <w:rFonts w:hint="eastAsia" w:ascii="黑体" w:hAnsi="黑体" w:eastAsia="黑体" w:cs="宋体"/>
          <w:sz w:val="21"/>
          <w:szCs w:val="22"/>
        </w:rPr>
        <w:t>7.1.1</w:t>
      </w:r>
      <w:r>
        <w:rPr>
          <w:rFonts w:hint="eastAsia" w:ascii="宋体" w:hAnsi="宋体" w:eastAsia="宋体" w:cs="宋体"/>
          <w:sz w:val="21"/>
          <w:szCs w:val="22"/>
        </w:rPr>
        <w:t xml:space="preserve">  </w:t>
      </w:r>
      <w:r>
        <w:rPr>
          <w:rFonts w:hint="eastAsia" w:asciiTheme="minorEastAsia" w:hAnsiTheme="minorEastAsia" w:eastAsiaTheme="minorEastAsia" w:cstheme="minorEastAsia"/>
          <w:sz w:val="21"/>
          <w:szCs w:val="21"/>
        </w:rPr>
        <w:t>本条是对各节中有共性的检测项目的检测方法、检测数量提出要求。</w:t>
      </w:r>
    </w:p>
    <w:p>
      <w:pPr>
        <w:pStyle w:val="6"/>
        <w:spacing w:before="37" w:line="360" w:lineRule="auto"/>
        <w:ind w:right="79"/>
        <w:rPr>
          <w:rFonts w:hint="eastAsia" w:ascii="宋体" w:hAnsi="宋体" w:eastAsia="宋体" w:cs="宋体"/>
          <w:sz w:val="21"/>
          <w:szCs w:val="22"/>
        </w:rPr>
      </w:pPr>
      <w:r>
        <w:rPr>
          <w:rFonts w:hint="eastAsia" w:ascii="黑体" w:hAnsi="黑体" w:eastAsia="黑体" w:cs="宋体"/>
          <w:sz w:val="21"/>
          <w:szCs w:val="22"/>
        </w:rPr>
        <w:t>7.1.2</w:t>
      </w:r>
      <w:r>
        <w:rPr>
          <w:rFonts w:hint="eastAsia" w:ascii="宋体" w:hAnsi="宋体" w:eastAsia="宋体" w:cs="宋体"/>
          <w:sz w:val="21"/>
          <w:szCs w:val="22"/>
        </w:rPr>
        <w:t xml:space="preserve"> </w:t>
      </w:r>
    </w:p>
    <w:p>
      <w:pPr>
        <w:pStyle w:val="6"/>
        <w:spacing w:before="37" w:line="360" w:lineRule="auto"/>
        <w:ind w:right="79" w:firstLine="420" w:firstLineChars="200"/>
        <w:rPr>
          <w:rFonts w:hint="eastAsia" w:ascii="宋体" w:hAnsi="宋体" w:eastAsia="宋体" w:cs="宋体"/>
          <w:sz w:val="21"/>
          <w:szCs w:val="22"/>
        </w:rPr>
      </w:pPr>
      <w:r>
        <w:rPr>
          <w:rFonts w:hint="eastAsia" w:ascii="黑体" w:hAnsi="黑体" w:eastAsia="黑体" w:cs="宋体"/>
          <w:sz w:val="21"/>
          <w:szCs w:val="22"/>
        </w:rPr>
        <w:t>1</w:t>
      </w:r>
      <w:r>
        <w:rPr>
          <w:rFonts w:hint="eastAsia" w:ascii="黑体" w:hAnsi="黑体" w:eastAsia="黑体" w:cs="黑体"/>
          <w:sz w:val="21"/>
          <w:szCs w:val="21"/>
          <w:lang w:eastAsia="zh-CN"/>
        </w:rPr>
        <w:t>【</w:t>
      </w:r>
      <w:r>
        <w:rPr>
          <w:rFonts w:hint="eastAsia" w:ascii="黑体" w:hAnsi="黑体" w:eastAsia="黑体" w:cs="黑体"/>
          <w:sz w:val="21"/>
          <w:szCs w:val="21"/>
        </w:rPr>
        <w:t>修订</w:t>
      </w:r>
      <w:r>
        <w:rPr>
          <w:rFonts w:hint="eastAsia" w:ascii="黑体" w:hAnsi="黑体" w:eastAsia="黑体" w:cs="黑体"/>
          <w:sz w:val="21"/>
          <w:szCs w:val="21"/>
          <w:lang w:eastAsia="zh-CN"/>
        </w:rPr>
        <w:t>】</w:t>
      </w:r>
      <w:r>
        <w:rPr>
          <w:rFonts w:hint="eastAsia" w:ascii="黑体" w:hAnsi="黑体" w:eastAsia="黑体" w:cs="宋体"/>
          <w:sz w:val="21"/>
          <w:szCs w:val="22"/>
        </w:rPr>
        <w:t xml:space="preserve"> </w:t>
      </w:r>
      <w:r>
        <w:rPr>
          <w:rFonts w:hint="eastAsia" w:ascii="宋体" w:hAnsi="宋体" w:eastAsia="宋体" w:cs="宋体"/>
          <w:sz w:val="21"/>
          <w:szCs w:val="22"/>
        </w:rPr>
        <w:t xml:space="preserve"> 钢板(材)厚度检测针对闸门、启闭机和压力钢管等金属结构的主要承力构件，如闸门的主梁、边梁、支臂、面板、吊耳板；启闭机的主梁；压力钢管的凑合节、岔管。推荐采用国家标准GB/T 11344《无损检测 超声测厚》中关于对钢板超声测厚的技术方法。</w:t>
      </w:r>
    </w:p>
    <w:p>
      <w:pPr>
        <w:tabs>
          <w:tab w:val="center" w:pos="4153"/>
        </w:tabs>
        <w:spacing w:line="360" w:lineRule="auto"/>
        <w:ind w:firstLine="420" w:firstLineChars="200"/>
        <w:rPr>
          <w:rFonts w:hint="eastAsia" w:ascii="宋体" w:hAnsi="宋体" w:eastAsia="宋体" w:cs="宋体"/>
        </w:rPr>
      </w:pPr>
      <w:r>
        <w:rPr>
          <w:rFonts w:hint="eastAsia" w:ascii="黑体" w:hAnsi="黑体" w:eastAsia="黑体" w:cs="宋体"/>
        </w:rPr>
        <w:t>4</w:t>
      </w:r>
      <w:r>
        <w:rPr>
          <w:rFonts w:hint="eastAsia" w:ascii="黑体" w:hAnsi="黑体" w:eastAsia="黑体" w:cs="黑体"/>
          <w:lang w:eastAsia="zh-CN"/>
        </w:rPr>
        <w:t>【</w:t>
      </w:r>
      <w:r>
        <w:rPr>
          <w:rFonts w:hint="eastAsia" w:ascii="黑体" w:hAnsi="黑体" w:eastAsia="黑体" w:cs="黑体"/>
        </w:rPr>
        <w:t>修订</w:t>
      </w:r>
      <w:r>
        <w:rPr>
          <w:rFonts w:hint="eastAsia" w:ascii="黑体" w:hAnsi="黑体" w:eastAsia="黑体" w:cs="黑体"/>
          <w:lang w:eastAsia="zh-CN"/>
        </w:rPr>
        <w:t>】</w:t>
      </w:r>
      <w:r>
        <w:rPr>
          <w:rFonts w:hint="eastAsia" w:ascii="宋体" w:hAnsi="宋体" w:eastAsia="宋体" w:cs="宋体"/>
        </w:rPr>
        <w:t xml:space="preserve">  主要考虑现场快速进行水工金属结构产品的钢板(材)化学元素分析，不排除取样带回实验室进行室内试验的可能性。检测钢板(材)的主要化学元素成分，主要是指检测钢材的C、S、P、Si、Mn及其他合金元素的化学元素成分，其目的是为了推定和判别钢材牌号是否用错，必要时还应通过硬度测试后换算强度，综合进行分析。水利工程钢板化学成分光谱检测方法标准推荐选用GB/T 4336，多次测试取平均值，按规定修约；如进行钢板(材)硬度辅助测试,推荐采用硬度计法,依据GB/T 17394.1《金属材料里氏硬度试验第1部分:试验方法》或 GB/T 230.1《金属材料 里氏硬度试验 第1部分：试验方法(A、B、C、D、E、F、G、H、K、N、T标尺)》相应的试验方法进行检测,对主要构件按每种规格抽检1块钢板，均匀布置 5个测点；钢板(材)硬度检测结果按 GB/T 1172换算成对应强度值，再按钢材产品标准的相应规定进行评价。</w:t>
      </w:r>
    </w:p>
    <w:p>
      <w:pPr>
        <w:pStyle w:val="6"/>
        <w:spacing w:line="360" w:lineRule="auto"/>
        <w:ind w:firstLine="420" w:firstLineChars="200"/>
        <w:rPr>
          <w:rFonts w:hint="eastAsia" w:ascii="宋体" w:hAnsi="宋体" w:eastAsia="宋体" w:cs="宋体"/>
          <w:sz w:val="21"/>
          <w:szCs w:val="22"/>
        </w:rPr>
      </w:pPr>
      <w:r>
        <w:rPr>
          <w:rFonts w:hint="eastAsia" w:ascii="黑体" w:hAnsi="黑体" w:eastAsia="黑体" w:cs="宋体"/>
          <w:sz w:val="21"/>
          <w:szCs w:val="22"/>
        </w:rPr>
        <w:t>5</w:t>
      </w:r>
      <w:r>
        <w:rPr>
          <w:rFonts w:hint="eastAsia" w:ascii="黑体" w:hAnsi="黑体" w:eastAsia="黑体" w:cs="黑体"/>
          <w:spacing w:val="20"/>
          <w:position w:val="-2"/>
          <w:sz w:val="21"/>
          <w:szCs w:val="21"/>
          <w:lang w:eastAsia="zh-CN"/>
        </w:rPr>
        <w:t>【</w:t>
      </w:r>
      <w:r>
        <w:rPr>
          <w:rFonts w:hint="eastAsia" w:ascii="黑体" w:hAnsi="黑体" w:eastAsia="黑体" w:cs="黑体"/>
          <w:spacing w:val="20"/>
          <w:position w:val="-2"/>
          <w:sz w:val="21"/>
          <w:szCs w:val="21"/>
        </w:rPr>
        <w:t>新增</w:t>
      </w:r>
      <w:r>
        <w:rPr>
          <w:rFonts w:hint="eastAsia" w:ascii="黑体" w:hAnsi="黑体" w:eastAsia="黑体" w:cs="黑体"/>
          <w:spacing w:val="20"/>
          <w:position w:val="-2"/>
          <w:sz w:val="21"/>
          <w:szCs w:val="21"/>
          <w:lang w:eastAsia="zh-CN"/>
        </w:rPr>
        <w:t>】</w:t>
      </w:r>
      <w:r>
        <w:rPr>
          <w:rFonts w:hint="eastAsia" w:ascii="宋体" w:hAnsi="宋体" w:eastAsia="宋体" w:cs="宋体"/>
          <w:sz w:val="21"/>
          <w:szCs w:val="22"/>
        </w:rPr>
        <w:t xml:space="preserve">  重要的闸门、启闭机和压力钢管的钢板材料应在制造下料中留样保存，主要对钢板板材的拉伸试验（含伸长率）、弯曲试验和冲击韧性性能试验，现行常用的方法标准为GB/T 228.1、GB/T 232、GB/T 229对拉伸、弯曲和冲击性能进行了具体方法描述，在不具备条件的情况下一方面可以采用国标GB/T 39635中仪器压入法测定钢板的拉伸性能，可以查阅出厂合格证明文件和制造单位抽检试验报告。</w:t>
      </w:r>
    </w:p>
    <w:p>
      <w:pPr>
        <w:pStyle w:val="6"/>
        <w:spacing w:before="37" w:line="360" w:lineRule="auto"/>
        <w:ind w:right="79"/>
        <w:rPr>
          <w:rFonts w:hint="eastAsia" w:ascii="黑体" w:hAnsi="黑体" w:eastAsia="黑体" w:cs="宋体"/>
          <w:sz w:val="21"/>
          <w:szCs w:val="22"/>
        </w:rPr>
      </w:pPr>
      <w:r>
        <w:rPr>
          <w:rFonts w:hint="eastAsia" w:ascii="黑体" w:hAnsi="黑体" w:eastAsia="黑体" w:cs="宋体"/>
          <w:sz w:val="21"/>
          <w:szCs w:val="22"/>
        </w:rPr>
        <w:t>7.1.3</w:t>
      </w:r>
      <w:r>
        <w:rPr>
          <w:rFonts w:hint="eastAsia" w:ascii="黑体" w:hAnsi="黑体" w:eastAsia="黑体" w:cs="黑体"/>
          <w:spacing w:val="20"/>
          <w:position w:val="-2"/>
          <w:sz w:val="21"/>
          <w:szCs w:val="21"/>
          <w:lang w:eastAsia="zh-CN"/>
        </w:rPr>
        <w:t>【</w:t>
      </w:r>
      <w:r>
        <w:rPr>
          <w:rFonts w:hint="eastAsia" w:ascii="黑体" w:hAnsi="黑体" w:eastAsia="黑体" w:cs="黑体"/>
          <w:spacing w:val="20"/>
          <w:position w:val="-2"/>
          <w:sz w:val="21"/>
          <w:szCs w:val="21"/>
        </w:rPr>
        <w:t>新增</w:t>
      </w:r>
      <w:r>
        <w:rPr>
          <w:rFonts w:hint="eastAsia" w:ascii="黑体" w:hAnsi="黑体" w:eastAsia="黑体" w:cs="黑体"/>
          <w:spacing w:val="20"/>
          <w:position w:val="-2"/>
          <w:sz w:val="21"/>
          <w:szCs w:val="21"/>
          <w:lang w:eastAsia="zh-CN"/>
        </w:rPr>
        <w:t>】</w:t>
      </w:r>
      <w:r>
        <w:rPr>
          <w:rFonts w:hint="eastAsia" w:ascii="黑体" w:hAnsi="黑体" w:eastAsia="黑体" w:cs="宋体"/>
          <w:sz w:val="21"/>
          <w:szCs w:val="22"/>
        </w:rPr>
        <w:t xml:space="preserve"> </w:t>
      </w:r>
    </w:p>
    <w:p>
      <w:pPr>
        <w:pStyle w:val="6"/>
        <w:spacing w:line="360" w:lineRule="auto"/>
        <w:ind w:firstLine="420" w:firstLineChars="200"/>
        <w:rPr>
          <w:rFonts w:hint="eastAsia" w:ascii="宋体" w:hAnsi="宋体" w:eastAsia="宋体" w:cs="宋体"/>
          <w:sz w:val="21"/>
          <w:szCs w:val="22"/>
        </w:rPr>
      </w:pPr>
      <w:r>
        <w:rPr>
          <w:rFonts w:hint="eastAsia" w:ascii="黑体" w:hAnsi="黑体" w:eastAsia="黑体" w:cs="宋体"/>
          <w:sz w:val="21"/>
          <w:szCs w:val="22"/>
        </w:rPr>
        <w:t>1</w:t>
      </w:r>
      <w:r>
        <w:rPr>
          <w:rFonts w:hint="eastAsia" w:ascii="宋体" w:hAnsi="宋体" w:eastAsia="宋体" w:cs="宋体"/>
          <w:sz w:val="21"/>
          <w:szCs w:val="22"/>
        </w:rPr>
        <w:t xml:space="preserve">  铸件表面质量目视检测后配合磁粉检测和渗透检测，磁粉检测、渗透检测按照铸件特性针对性的方法标准GB/T 9444和GB/T 9443执行；</w:t>
      </w:r>
    </w:p>
    <w:p>
      <w:pPr>
        <w:pStyle w:val="6"/>
        <w:spacing w:line="360" w:lineRule="auto"/>
        <w:ind w:firstLine="420" w:firstLineChars="200"/>
        <w:rPr>
          <w:rFonts w:hint="eastAsia" w:ascii="宋体" w:hAnsi="宋体" w:eastAsia="宋体" w:cs="宋体"/>
          <w:sz w:val="21"/>
          <w:szCs w:val="22"/>
        </w:rPr>
      </w:pPr>
      <w:r>
        <w:rPr>
          <w:rFonts w:hint="eastAsia" w:ascii="黑体" w:hAnsi="黑体" w:eastAsia="黑体" w:cs="宋体"/>
          <w:sz w:val="21"/>
          <w:szCs w:val="22"/>
        </w:rPr>
        <w:t>2</w:t>
      </w:r>
      <w:r>
        <w:rPr>
          <w:rFonts w:hint="eastAsia" w:ascii="宋体" w:hAnsi="宋体" w:eastAsia="宋体" w:cs="宋体"/>
          <w:sz w:val="21"/>
          <w:szCs w:val="22"/>
        </w:rPr>
        <w:t xml:space="preserve">  锻件表面质量目视检测后配合磁粉检测和渗透检测，磁粉检测、渗透检测按照铸件特性针对性的方法标准NB/T 47013.4和NB/T 47013.5执行；</w:t>
      </w:r>
    </w:p>
    <w:p>
      <w:pPr>
        <w:pStyle w:val="6"/>
        <w:spacing w:line="360" w:lineRule="auto"/>
        <w:ind w:firstLine="420" w:firstLineChars="200"/>
        <w:rPr>
          <w:rFonts w:hint="eastAsia" w:ascii="宋体" w:hAnsi="宋体" w:eastAsia="宋体" w:cs="宋体"/>
          <w:sz w:val="21"/>
          <w:szCs w:val="22"/>
        </w:rPr>
      </w:pPr>
      <w:r>
        <w:rPr>
          <w:rFonts w:hint="eastAsia" w:ascii="黑体" w:hAnsi="黑体" w:eastAsia="黑体" w:cs="宋体"/>
          <w:sz w:val="21"/>
          <w:szCs w:val="22"/>
        </w:rPr>
        <w:t>3</w:t>
      </w:r>
      <w:r>
        <w:rPr>
          <w:rFonts w:hint="eastAsia" w:ascii="宋体" w:hAnsi="宋体" w:eastAsia="宋体" w:cs="宋体"/>
          <w:sz w:val="21"/>
          <w:szCs w:val="22"/>
        </w:rPr>
        <w:t xml:space="preserve">  铸件内部质量无损检测主要采用射线检测和超声波检测，厚大铸件一般采用γ源或X射线加速器，水利工程铸件通常采用超声波检测，行业推荐GB/T 7233.1中规定的技术方法。</w:t>
      </w:r>
    </w:p>
    <w:p>
      <w:pPr>
        <w:pStyle w:val="6"/>
        <w:spacing w:line="360" w:lineRule="auto"/>
        <w:ind w:firstLine="420" w:firstLineChars="200"/>
        <w:rPr>
          <w:rFonts w:hint="eastAsia" w:ascii="黑体" w:hAnsi="黑体" w:eastAsia="黑体" w:cs="黑体"/>
          <w:i/>
          <w:iCs/>
        </w:rPr>
      </w:pPr>
      <w:r>
        <w:rPr>
          <w:rFonts w:hint="eastAsia" w:ascii="黑体" w:hAnsi="黑体" w:eastAsia="黑体" w:cs="宋体"/>
          <w:sz w:val="21"/>
          <w:szCs w:val="22"/>
        </w:rPr>
        <w:t>4</w:t>
      </w:r>
      <w:r>
        <w:rPr>
          <w:rFonts w:hint="eastAsia" w:ascii="宋体" w:hAnsi="宋体" w:eastAsia="宋体" w:cs="宋体"/>
          <w:sz w:val="21"/>
          <w:szCs w:val="22"/>
        </w:rPr>
        <w:t xml:space="preserve">  锻件内部质量无损检测主要采用射线检测和超声波检测，厚大锻件一般采用γ源或X射线加速器，水利工程铸件通常采用超声波检测，行业推荐GB/T 6402中规定的技术方法。</w:t>
      </w:r>
    </w:p>
    <w:p>
      <w:pPr>
        <w:pStyle w:val="6"/>
        <w:spacing w:before="37" w:line="360" w:lineRule="auto"/>
        <w:ind w:right="79"/>
        <w:rPr>
          <w:rFonts w:hint="eastAsia" w:ascii="黑体" w:hAnsi="黑体" w:eastAsia="黑体" w:cs="宋体"/>
          <w:sz w:val="21"/>
          <w:szCs w:val="22"/>
        </w:rPr>
      </w:pPr>
      <w:r>
        <w:rPr>
          <w:rFonts w:hint="eastAsia" w:ascii="黑体" w:hAnsi="黑体" w:eastAsia="黑体" w:cs="宋体"/>
          <w:sz w:val="21"/>
          <w:szCs w:val="22"/>
        </w:rPr>
        <w:t>7.1.4</w:t>
      </w:r>
      <w:r>
        <w:rPr>
          <w:rFonts w:hint="eastAsia" w:ascii="黑体" w:hAnsi="黑体" w:eastAsia="黑体" w:cs="黑体"/>
          <w:spacing w:val="20"/>
          <w:position w:val="-2"/>
          <w:sz w:val="21"/>
          <w:szCs w:val="21"/>
          <w:lang w:eastAsia="zh-CN"/>
        </w:rPr>
        <w:t>【</w:t>
      </w:r>
      <w:r>
        <w:rPr>
          <w:rFonts w:hint="eastAsia" w:ascii="黑体" w:hAnsi="黑体" w:eastAsia="黑体" w:cs="黑体"/>
          <w:spacing w:val="20"/>
          <w:position w:val="-2"/>
          <w:sz w:val="21"/>
          <w:szCs w:val="21"/>
        </w:rPr>
        <w:t>新增</w:t>
      </w:r>
      <w:r>
        <w:rPr>
          <w:rFonts w:hint="eastAsia" w:ascii="黑体" w:hAnsi="黑体" w:eastAsia="黑体" w:cs="黑体"/>
          <w:spacing w:val="20"/>
          <w:position w:val="-2"/>
          <w:sz w:val="21"/>
          <w:szCs w:val="21"/>
          <w:lang w:eastAsia="zh-CN"/>
        </w:rPr>
        <w:t>】</w:t>
      </w:r>
      <w:r>
        <w:rPr>
          <w:rFonts w:hint="eastAsia" w:ascii="黑体" w:hAnsi="黑体" w:eastAsia="黑体" w:cs="宋体"/>
          <w:sz w:val="21"/>
          <w:szCs w:val="21"/>
        </w:rPr>
        <w:t xml:space="preserve"> </w:t>
      </w:r>
    </w:p>
    <w:p>
      <w:pPr>
        <w:pStyle w:val="6"/>
        <w:spacing w:line="360" w:lineRule="auto"/>
        <w:ind w:firstLine="420" w:firstLineChars="200"/>
        <w:rPr>
          <w:rFonts w:hint="eastAsia" w:ascii="宋体" w:hAnsi="宋体" w:eastAsia="宋体" w:cs="宋体"/>
          <w:sz w:val="21"/>
          <w:szCs w:val="22"/>
        </w:rPr>
      </w:pPr>
      <w:r>
        <w:rPr>
          <w:rFonts w:hint="eastAsia" w:ascii="黑体" w:hAnsi="黑体" w:eastAsia="黑体" w:cs="宋体"/>
          <w:sz w:val="21"/>
          <w:szCs w:val="22"/>
        </w:rPr>
        <w:t xml:space="preserve">2  </w:t>
      </w:r>
      <w:r>
        <w:rPr>
          <w:rFonts w:hint="eastAsia" w:ascii="宋体" w:hAnsi="宋体" w:eastAsia="宋体" w:cs="宋体"/>
          <w:sz w:val="21"/>
          <w:szCs w:val="22"/>
        </w:rPr>
        <w:t>磁粉检测检测铁磁性材料焊缝表面开口及近表面缺欠，渗透检测检测焊缝表面开口缺欠，对于闸门、启闭机和钢管的受力焊缝表面质量非常重要，在运行过程中在各种力的作用下使表面缺陷逐步扩展，最终工件破坏失效。焊缝类磁粉检测和渗透检测方法标准推荐采用GB/T 26951和GB/T 18851.1中的要求执行。</w:t>
      </w:r>
    </w:p>
    <w:p>
      <w:pPr>
        <w:pStyle w:val="6"/>
        <w:spacing w:line="360" w:lineRule="auto"/>
        <w:ind w:firstLine="420" w:firstLineChars="200"/>
        <w:rPr>
          <w:rFonts w:hint="eastAsia" w:ascii="宋体" w:hAnsi="宋体" w:eastAsia="宋体" w:cs="宋体"/>
          <w:sz w:val="21"/>
          <w:szCs w:val="22"/>
        </w:rPr>
      </w:pPr>
      <w:r>
        <w:rPr>
          <w:rFonts w:hint="eastAsia" w:ascii="黑体" w:hAnsi="黑体" w:eastAsia="黑体" w:cs="宋体"/>
          <w:sz w:val="21"/>
          <w:szCs w:val="22"/>
        </w:rPr>
        <w:t xml:space="preserve">3  </w:t>
      </w:r>
      <w:r>
        <w:rPr>
          <w:rFonts w:hint="eastAsia" w:ascii="宋体" w:hAnsi="宋体" w:eastAsia="宋体" w:cs="宋体"/>
          <w:sz w:val="21"/>
          <w:szCs w:val="22"/>
        </w:rPr>
        <w:t>焊缝内部检测在表面检测合格后进行，主要采用射线和超声波检测技术，常用的射线检测技术方波标准推荐GB/T 3323.1，超声波检测技术方法标准推荐GB/T 11345,衍射时差法和相控阵检测是近年从国外引进的超声波成像检测技术，衍射时差法（TOFD）检测技术具备高检测速度、高定量精度、高定位准确性以及能够确定缺陷尺寸；相控阵检测具备同时进行</w:t>
      </w:r>
      <w:r>
        <w:fldChar w:fldCharType="begin"/>
      </w:r>
      <w:r>
        <w:instrText xml:space="preserve"> HYPERLINK "https://www.baidu.com/s?sa=re_dqa_generate&amp;wd=B%E6%89%AB&amp;rsv_pq=af4faed80001125a&amp;oq=%E7%9B%B8%E6%8E%A7%E9%98%B5%E6%A3%80%E6%B5%8B%E6%8A%80%E6%9C%AF%E7%9A%84%E4%BC%98%E5%8A%BF&amp;rsv_t=9b111e9I9JD5uFQo7Glk+96ujMmArWjms4gv8G3x5kyZxU39Ys6MGESLXsvb/wDEvVYeRz4/a6M8&amp;tn=02003390_46_hao_pg&amp;ie=utf-8" \t "https://www.baidu.com/_blank" </w:instrText>
      </w:r>
      <w:r>
        <w:fldChar w:fldCharType="separate"/>
      </w:r>
      <w:r>
        <w:rPr>
          <w:rFonts w:hint="eastAsia" w:ascii="宋体" w:hAnsi="宋体" w:eastAsia="宋体" w:cs="宋体"/>
          <w:sz w:val="21"/>
          <w:szCs w:val="22"/>
        </w:rPr>
        <w:t>B扫</w:t>
      </w:r>
      <w:r>
        <w:rPr>
          <w:rFonts w:hint="eastAsia" w:ascii="宋体" w:hAnsi="宋体" w:eastAsia="宋体" w:cs="宋体"/>
          <w:sz w:val="21"/>
          <w:szCs w:val="22"/>
        </w:rPr>
        <w:fldChar w:fldCharType="end"/>
      </w:r>
      <w:r>
        <w:rPr>
          <w:rFonts w:hint="eastAsia" w:ascii="宋体" w:hAnsi="宋体" w:eastAsia="宋体" w:cs="宋体"/>
          <w:sz w:val="21"/>
          <w:szCs w:val="22"/>
        </w:rPr>
        <w:t>、</w:t>
      </w:r>
      <w:r>
        <w:fldChar w:fldCharType="begin"/>
      </w:r>
      <w:r>
        <w:instrText xml:space="preserve"> HYPERLINK "https://www.baidu.com/s?sa=re_dqa_generate&amp;wd=D%E6%89%AB&amp;rsv_pq=af4faed80001125a&amp;oq=%E7%9B%B8%E6%8E%A7%E9%98%B5%E6%A3%80%E6%B5%8B%E6%8A%80%E6%9C%AF%E7%9A%84%E4%BC%98%E5%8A%BF&amp;rsv_t=9b111e9I9JD5uFQo7Glk+96ujMmArWjms4gv8G3x5kyZxU39Ys6MGESLXsvb/wDEvVYeRz4/a6M8&amp;tn=02003390_46_hao_pg&amp;ie=utf-8" \t "https://www.baidu.com/_blank" </w:instrText>
      </w:r>
      <w:r>
        <w:fldChar w:fldCharType="separate"/>
      </w:r>
      <w:r>
        <w:rPr>
          <w:rFonts w:hint="eastAsia" w:ascii="宋体" w:hAnsi="宋体" w:eastAsia="宋体" w:cs="宋体"/>
          <w:sz w:val="21"/>
          <w:szCs w:val="22"/>
        </w:rPr>
        <w:t>D扫</w:t>
      </w:r>
      <w:r>
        <w:rPr>
          <w:rFonts w:hint="eastAsia" w:ascii="宋体" w:hAnsi="宋体" w:eastAsia="宋体" w:cs="宋体"/>
          <w:sz w:val="21"/>
          <w:szCs w:val="22"/>
        </w:rPr>
        <w:fldChar w:fldCharType="end"/>
      </w:r>
      <w:r>
        <w:rPr>
          <w:rFonts w:hint="eastAsia" w:ascii="宋体" w:hAnsi="宋体" w:eastAsia="宋体" w:cs="宋体"/>
          <w:sz w:val="21"/>
          <w:szCs w:val="22"/>
        </w:rPr>
        <w:t>、</w:t>
      </w:r>
      <w:r>
        <w:fldChar w:fldCharType="begin"/>
      </w:r>
      <w:r>
        <w:instrText xml:space="preserve"> HYPERLINK "https://www.baidu.com/s?sa=re_dqa_generate&amp;wd=S%E6%89%AB&amp;rsv_pq=af4faed80001125a&amp;oq=%E7%9B%B8%E6%8E%A7%E9%98%B5%E6%A3%80%E6%B5%8B%E6%8A%80%E6%9C%AF%E7%9A%84%E4%BC%98%E5%8A%BF&amp;rsv_t=9b111e9I9JD5uFQo7Glk+96ujMmArWjms4gv8G3x5kyZxU39Ys6MGESLXsvb/wDEvVYeRz4/a6M8&amp;tn=02003390_46_hao_pg&amp;ie=utf-8" \t "https://www.baidu.com/_blank" </w:instrText>
      </w:r>
      <w:r>
        <w:fldChar w:fldCharType="separate"/>
      </w:r>
      <w:r>
        <w:rPr>
          <w:rFonts w:hint="eastAsia" w:ascii="宋体" w:hAnsi="宋体" w:eastAsia="宋体" w:cs="宋体"/>
          <w:sz w:val="21"/>
          <w:szCs w:val="22"/>
        </w:rPr>
        <w:t>S扫</w:t>
      </w:r>
      <w:r>
        <w:rPr>
          <w:rFonts w:hint="eastAsia" w:ascii="宋体" w:hAnsi="宋体" w:eastAsia="宋体" w:cs="宋体"/>
          <w:sz w:val="21"/>
          <w:szCs w:val="22"/>
        </w:rPr>
        <w:fldChar w:fldCharType="end"/>
      </w:r>
      <w:r>
        <w:rPr>
          <w:rFonts w:hint="eastAsia" w:ascii="宋体" w:hAnsi="宋体" w:eastAsia="宋体" w:cs="宋体"/>
          <w:sz w:val="21"/>
          <w:szCs w:val="22"/>
        </w:rPr>
        <w:t>和</w:t>
      </w:r>
      <w:r>
        <w:fldChar w:fldCharType="begin"/>
      </w:r>
      <w:r>
        <w:instrText xml:space="preserve"> HYPERLINK "https://www.baidu.com/s?sa=re_dqa_generate&amp;wd=C%E6%89%AB&amp;rsv_pq=af4faed80001125a&amp;oq=%E7%9B%B8%E6%8E%A7%E9%98%B5%E6%A3%80%E6%B5%8B%E6%8A%80%E6%9C%AF%E7%9A%84%E4%BC%98%E5%8A%BF&amp;rsv_t=9b111e9I9JD5uFQo7Glk+96ujMmArWjms4gv8G3x5kyZxU39Ys6MGESLXsvb/wDEvVYeRz4/a6M8&amp;tn=02003390_46_hao_pg&amp;ie=utf-8" \t "https://www.baidu.com/_blank" </w:instrText>
      </w:r>
      <w:r>
        <w:fldChar w:fldCharType="separate"/>
      </w:r>
      <w:r>
        <w:rPr>
          <w:rFonts w:hint="eastAsia" w:ascii="宋体" w:hAnsi="宋体" w:eastAsia="宋体" w:cs="宋体"/>
          <w:sz w:val="21"/>
          <w:szCs w:val="22"/>
        </w:rPr>
        <w:t>C扫</w:t>
      </w:r>
      <w:r>
        <w:rPr>
          <w:rFonts w:hint="eastAsia" w:ascii="宋体" w:hAnsi="宋体" w:eastAsia="宋体" w:cs="宋体"/>
          <w:sz w:val="21"/>
          <w:szCs w:val="22"/>
        </w:rPr>
        <w:fldChar w:fldCharType="end"/>
      </w:r>
      <w:r>
        <w:rPr>
          <w:rFonts w:hint="eastAsia" w:ascii="宋体" w:hAnsi="宋体" w:eastAsia="宋体" w:cs="宋体"/>
          <w:sz w:val="21"/>
          <w:szCs w:val="22"/>
        </w:rPr>
        <w:t>，通过建模，缺陷显示非常直观，提高了检测的精度和可靠性，具有这种设备和具备这种检测能力的检测单位可采取这两种技术进行验证检测，衍射时差法推荐GB/T 41115规定的技术方法，相控阵技术方法推荐使用GB/T 40733。</w:t>
      </w:r>
    </w:p>
    <w:p>
      <w:pPr>
        <w:pStyle w:val="6"/>
        <w:spacing w:line="360" w:lineRule="auto"/>
        <w:rPr>
          <w:rFonts w:hint="eastAsia" w:ascii="黑体" w:hAnsi="黑体" w:eastAsia="黑体" w:cs="宋体"/>
          <w:sz w:val="21"/>
          <w:szCs w:val="22"/>
        </w:rPr>
      </w:pPr>
      <w:r>
        <w:rPr>
          <w:rFonts w:hint="eastAsia" w:ascii="黑体" w:hAnsi="黑体" w:eastAsia="黑体" w:cs="宋体"/>
          <w:sz w:val="21"/>
          <w:szCs w:val="22"/>
        </w:rPr>
        <w:t>7.1.5</w:t>
      </w:r>
    </w:p>
    <w:p>
      <w:pPr>
        <w:pStyle w:val="6"/>
        <w:spacing w:line="360" w:lineRule="auto"/>
        <w:ind w:firstLine="420" w:firstLineChars="200"/>
        <w:rPr>
          <w:rFonts w:hint="eastAsia" w:ascii="宋体" w:hAnsi="宋体" w:eastAsia="宋体" w:cs="宋体"/>
          <w:strike/>
          <w:sz w:val="21"/>
          <w:szCs w:val="22"/>
        </w:rPr>
      </w:pPr>
      <w:r>
        <w:rPr>
          <w:rFonts w:hint="eastAsia" w:ascii="黑体" w:hAnsi="黑体" w:eastAsia="黑体" w:cs="宋体"/>
          <w:sz w:val="21"/>
          <w:szCs w:val="22"/>
        </w:rPr>
        <w:t>1</w:t>
      </w:r>
      <w:r>
        <w:rPr>
          <w:rFonts w:hint="eastAsia" w:ascii="黑体" w:hAnsi="黑体" w:eastAsia="黑体" w:cs="黑体"/>
          <w:sz w:val="21"/>
          <w:szCs w:val="21"/>
          <w:lang w:eastAsia="zh-CN"/>
        </w:rPr>
        <w:t>【</w:t>
      </w:r>
      <w:r>
        <w:rPr>
          <w:rFonts w:hint="eastAsia" w:ascii="黑体" w:hAnsi="黑体" w:eastAsia="黑体" w:cs="黑体"/>
          <w:sz w:val="21"/>
          <w:szCs w:val="21"/>
        </w:rPr>
        <w:t>修订</w:t>
      </w:r>
      <w:r>
        <w:rPr>
          <w:rFonts w:hint="eastAsia" w:ascii="黑体" w:hAnsi="黑体" w:eastAsia="黑体" w:cs="黑体"/>
          <w:sz w:val="21"/>
          <w:szCs w:val="21"/>
          <w:lang w:eastAsia="zh-CN"/>
        </w:rPr>
        <w:t>】</w:t>
      </w:r>
      <w:r>
        <w:rPr>
          <w:rFonts w:hint="eastAsia" w:ascii="黑体" w:hAnsi="黑体" w:eastAsia="黑体" w:cs="宋体"/>
          <w:sz w:val="21"/>
          <w:szCs w:val="22"/>
        </w:rPr>
        <w:t xml:space="preserve">  </w:t>
      </w:r>
      <w:r>
        <w:rPr>
          <w:rFonts w:hint="eastAsia" w:ascii="宋体" w:hAnsi="宋体" w:eastAsia="宋体" w:cs="宋体"/>
          <w:sz w:val="21"/>
          <w:szCs w:val="22"/>
        </w:rPr>
        <w:t>金属结构防腐过程中需要进行钢板(材)的锈蚀处理的清洁度等级检验，按 GB/T 8923.1 《涂覆涂料前钢材表面处理表面清洁度的目视评定第 1部分：未涂覆过的钢材表面和全面清除 原有涂层后的钢材表面的锈蚀等级和处理等级》、GB/T 8923.2《涂覆涂料前钢材表面处理 表面清洁度的目视评定 第2部分：已涂覆过的钢材表面局部清除原有涂层后的处理等级》、GB/T 8923.3《涂覆涂料前钢材表面处理 表面清洁度的目视评定 第3部分：焊缝、边缘和其他区域的表面缺陷的处理等级》规定的标准图片与处理表面进行目视比较，从而评定该钢板(材)的锈蚀处理等级。</w:t>
      </w:r>
    </w:p>
    <w:p>
      <w:pPr>
        <w:pStyle w:val="6"/>
        <w:spacing w:line="360" w:lineRule="auto"/>
        <w:ind w:firstLine="420" w:firstLineChars="200"/>
        <w:rPr>
          <w:rFonts w:hint="eastAsia" w:ascii="宋体" w:hAnsi="宋体" w:eastAsia="宋体" w:cs="宋体"/>
          <w:sz w:val="21"/>
          <w:szCs w:val="22"/>
        </w:rPr>
      </w:pPr>
      <w:r>
        <w:rPr>
          <w:rFonts w:hint="eastAsia" w:ascii="黑体" w:hAnsi="黑体" w:eastAsia="黑体" w:cs="宋体"/>
          <w:sz w:val="21"/>
          <w:szCs w:val="22"/>
        </w:rPr>
        <w:t xml:space="preserve">2  </w:t>
      </w:r>
      <w:r>
        <w:rPr>
          <w:rFonts w:hint="eastAsia" w:ascii="宋体" w:hAnsi="宋体" w:eastAsia="宋体" w:cs="宋体"/>
          <w:sz w:val="21"/>
          <w:szCs w:val="22"/>
        </w:rPr>
        <w:t>对防腐层附着力检验结果有争议需要进行破坏性验证试验时宜采用拉开法进行测试。</w:t>
      </w:r>
    </w:p>
    <w:p>
      <w:pPr>
        <w:pStyle w:val="6"/>
        <w:spacing w:before="39" w:line="360" w:lineRule="auto"/>
        <w:ind w:right="79"/>
        <w:rPr>
          <w:rFonts w:hint="eastAsia" w:ascii="宋体" w:hAnsi="宋体" w:eastAsia="宋体" w:cs="宋体"/>
          <w:sz w:val="21"/>
          <w:szCs w:val="22"/>
        </w:rPr>
      </w:pPr>
      <w:r>
        <w:rPr>
          <w:rFonts w:hint="eastAsia" w:ascii="黑体" w:hAnsi="黑体" w:eastAsia="黑体" w:cs="宋体"/>
          <w:sz w:val="21"/>
          <w:szCs w:val="22"/>
        </w:rPr>
        <w:t>7.1.8</w:t>
      </w:r>
      <w:r>
        <w:rPr>
          <w:rFonts w:hint="eastAsia" w:ascii="黑体" w:hAnsi="黑体" w:eastAsia="黑体" w:cs="黑体"/>
          <w:sz w:val="21"/>
          <w:szCs w:val="21"/>
          <w:lang w:eastAsia="zh-CN"/>
        </w:rPr>
        <w:t>【</w:t>
      </w:r>
      <w:r>
        <w:rPr>
          <w:rFonts w:hint="eastAsia" w:ascii="黑体" w:hAnsi="黑体" w:eastAsia="黑体" w:cs="黑体"/>
          <w:sz w:val="21"/>
          <w:szCs w:val="21"/>
        </w:rPr>
        <w:t>修订</w:t>
      </w:r>
      <w:r>
        <w:rPr>
          <w:rFonts w:hint="eastAsia" w:ascii="黑体" w:hAnsi="黑体" w:eastAsia="黑体" w:cs="黑体"/>
          <w:sz w:val="21"/>
          <w:szCs w:val="21"/>
          <w:lang w:eastAsia="zh-CN"/>
        </w:rPr>
        <w:t>】</w:t>
      </w:r>
      <w:r>
        <w:rPr>
          <w:rFonts w:hint="eastAsia" w:ascii="宋体" w:hAnsi="宋体" w:eastAsia="宋体" w:cs="宋体"/>
          <w:sz w:val="21"/>
          <w:szCs w:val="22"/>
        </w:rPr>
        <w:t xml:space="preserve"> SL 635《水利水电单元工程施工质量验收评定标准—水工金属结构安装工程》对水工金属结构安装工程质量有一些规定，故在进行检测单元质量评价时也做出相应规定。</w:t>
      </w:r>
    </w:p>
    <w:p>
      <w:pPr>
        <w:pStyle w:val="3"/>
        <w:snapToGrid w:val="0"/>
        <w:spacing w:before="156" w:beforeLines="50" w:after="156" w:afterLines="50" w:line="360" w:lineRule="auto"/>
        <w:jc w:val="center"/>
        <w:rPr>
          <w:rFonts w:ascii="黑体" w:hAnsi="黑体" w:cs="黑体"/>
          <w:sz w:val="24"/>
          <w:szCs w:val="24"/>
        </w:rPr>
      </w:pPr>
      <w:bookmarkStart w:id="393" w:name="_Toc28980"/>
      <w:bookmarkStart w:id="394" w:name="_Toc193028443"/>
      <w:bookmarkStart w:id="395" w:name="_Toc12399"/>
      <w:bookmarkStart w:id="396" w:name="_Toc17839"/>
      <w:r>
        <w:rPr>
          <w:rFonts w:ascii="黑体" w:hAnsi="黑体" w:cs="黑体"/>
          <w:sz w:val="24"/>
          <w:szCs w:val="24"/>
        </w:rPr>
        <w:t>7.2  闸    门</w:t>
      </w:r>
      <w:bookmarkEnd w:id="393"/>
      <w:bookmarkEnd w:id="394"/>
      <w:bookmarkEnd w:id="395"/>
      <w:bookmarkEnd w:id="396"/>
    </w:p>
    <w:p>
      <w:pPr>
        <w:pStyle w:val="6"/>
        <w:spacing w:before="39" w:line="360" w:lineRule="auto"/>
        <w:ind w:right="79"/>
        <w:rPr>
          <w:rFonts w:hint="eastAsia" w:ascii="宋体" w:hAnsi="宋体" w:eastAsia="宋体" w:cs="宋体"/>
          <w:sz w:val="21"/>
          <w:szCs w:val="22"/>
        </w:rPr>
      </w:pPr>
      <w:r>
        <w:rPr>
          <w:rFonts w:hint="eastAsia" w:ascii="黑体" w:hAnsi="黑体" w:eastAsia="黑体" w:cs="宋体"/>
          <w:sz w:val="21"/>
          <w:szCs w:val="22"/>
        </w:rPr>
        <w:t>7.2.1</w:t>
      </w:r>
      <w:r>
        <w:rPr>
          <w:rFonts w:hint="eastAsia" w:ascii="宋体" w:hAnsi="宋体" w:eastAsia="宋体" w:cs="宋体"/>
          <w:sz w:val="21"/>
          <w:szCs w:val="22"/>
        </w:rPr>
        <w:t xml:space="preserve">  本条将平面 、弧形 、人字 、三角 、升卧等不同形式钢闸门、铸铁闸门以及拦污栅有共性的检测项目和个别特殊的检测项目均放在一起罗列，以避免重复。</w:t>
      </w:r>
    </w:p>
    <w:p>
      <w:pPr>
        <w:pStyle w:val="6"/>
        <w:spacing w:before="39" w:line="360" w:lineRule="auto"/>
        <w:ind w:right="79" w:firstLine="420" w:firstLineChars="200"/>
        <w:rPr>
          <w:rFonts w:hint="eastAsia" w:ascii="宋体" w:hAnsi="宋体" w:eastAsia="宋体" w:cs="宋体"/>
          <w:sz w:val="21"/>
          <w:szCs w:val="22"/>
        </w:rPr>
      </w:pPr>
      <w:r>
        <w:rPr>
          <w:rFonts w:hint="eastAsia" w:ascii="宋体" w:hAnsi="宋体" w:eastAsia="宋体" w:cs="宋体"/>
          <w:sz w:val="21"/>
          <w:szCs w:val="22"/>
        </w:rPr>
        <w:t>钢闸门检测项目中闸门及埋件安装质量的主要检测参数是指轨道工作表面平面度检测 、轨道间距、轨道垂直度和平行度、底槛工作表面平面度、闸门支撑行走装置安装质量、闸门止水安装质量、支铰轴孔同轴度等；铸锻件内部质量的主要检测参数是指闸门的支铰和铰轴、滚轮轴等内部质量。</w:t>
      </w:r>
    </w:p>
    <w:p>
      <w:pPr>
        <w:pStyle w:val="6"/>
        <w:spacing w:line="360" w:lineRule="auto"/>
        <w:ind w:firstLine="420" w:firstLineChars="200"/>
        <w:rPr>
          <w:rFonts w:hint="eastAsia" w:ascii="宋体" w:hAnsi="宋体" w:eastAsia="宋体" w:cs="宋体"/>
          <w:sz w:val="21"/>
          <w:szCs w:val="22"/>
        </w:rPr>
      </w:pPr>
      <w:r>
        <w:rPr>
          <w:rFonts w:hint="eastAsia" w:ascii="黑体" w:hAnsi="黑体" w:eastAsia="黑体" w:cs="宋体"/>
          <w:sz w:val="21"/>
          <w:szCs w:val="22"/>
        </w:rPr>
        <w:t>3</w:t>
      </w:r>
      <w:r>
        <w:rPr>
          <w:rFonts w:hint="eastAsia" w:ascii="宋体" w:hAnsi="宋体" w:eastAsia="宋体" w:cs="宋体"/>
          <w:sz w:val="21"/>
          <w:szCs w:val="22"/>
        </w:rPr>
        <w:t xml:space="preserve">  考虑到轨道以及底槛工作表面平面度对闸门运行和止水的重要性，故要求每孔对全部埋件进行检测。</w:t>
      </w:r>
    </w:p>
    <w:p>
      <w:pPr>
        <w:pStyle w:val="6"/>
        <w:spacing w:before="39" w:line="360" w:lineRule="auto"/>
        <w:ind w:right="79"/>
        <w:rPr>
          <w:rFonts w:hint="eastAsia" w:ascii="黑体" w:hAnsi="黑体" w:eastAsia="黑体" w:cs="宋体"/>
          <w:sz w:val="21"/>
          <w:szCs w:val="22"/>
        </w:rPr>
      </w:pPr>
      <w:r>
        <w:rPr>
          <w:rFonts w:hint="eastAsia" w:ascii="黑体" w:hAnsi="黑体" w:eastAsia="黑体" w:cs="宋体"/>
          <w:sz w:val="21"/>
          <w:szCs w:val="22"/>
        </w:rPr>
        <w:t>7.2.4</w:t>
      </w:r>
    </w:p>
    <w:p>
      <w:pPr>
        <w:pStyle w:val="6"/>
        <w:spacing w:line="360" w:lineRule="auto"/>
        <w:ind w:firstLine="420" w:firstLineChars="200"/>
        <w:rPr>
          <w:rFonts w:hint="eastAsia" w:ascii="宋体" w:hAnsi="宋体" w:eastAsia="宋体" w:cs="宋体"/>
          <w:sz w:val="21"/>
          <w:szCs w:val="22"/>
        </w:rPr>
      </w:pPr>
      <w:r>
        <w:rPr>
          <w:rFonts w:hint="eastAsia" w:ascii="黑体" w:hAnsi="黑体" w:eastAsia="黑体" w:cs="宋体"/>
          <w:sz w:val="21"/>
          <w:szCs w:val="22"/>
        </w:rPr>
        <w:t>4</w:t>
      </w:r>
      <w:r>
        <w:rPr>
          <w:rFonts w:hint="eastAsia" w:ascii="黑体" w:hAnsi="黑体" w:eastAsia="黑体" w:cs="黑体"/>
          <w:sz w:val="21"/>
          <w:szCs w:val="21"/>
          <w:lang w:eastAsia="zh-CN"/>
        </w:rPr>
        <w:t>【</w:t>
      </w:r>
      <w:r>
        <w:rPr>
          <w:rFonts w:hint="eastAsia" w:ascii="黑体" w:hAnsi="黑体" w:eastAsia="黑体" w:cs="黑体"/>
          <w:sz w:val="21"/>
          <w:szCs w:val="21"/>
        </w:rPr>
        <w:t>修订</w:t>
      </w:r>
      <w:r>
        <w:rPr>
          <w:rFonts w:hint="eastAsia" w:ascii="黑体" w:hAnsi="黑体" w:eastAsia="黑体" w:cs="黑体"/>
          <w:sz w:val="21"/>
          <w:szCs w:val="21"/>
          <w:lang w:eastAsia="zh-CN"/>
        </w:rPr>
        <w:t>】</w:t>
      </w:r>
      <w:r>
        <w:rPr>
          <w:rFonts w:hint="eastAsia" w:ascii="宋体" w:hAnsi="宋体" w:eastAsia="宋体" w:cs="宋体"/>
          <w:sz w:val="21"/>
          <w:szCs w:val="22"/>
        </w:rPr>
        <w:t xml:space="preserve">  根据 GB/T 14173对焊缝未焊透深度的规定，对一类 、二类焊缝内部质量，在按 GB/T 11345和 GB/T 29712的规定进行内部质量评定的基础上进行了适当放宽。</w:t>
      </w:r>
    </w:p>
    <w:p>
      <w:pPr>
        <w:pStyle w:val="6"/>
        <w:spacing w:before="39" w:line="360" w:lineRule="auto"/>
        <w:ind w:right="79"/>
        <w:rPr>
          <w:rFonts w:hint="eastAsia" w:ascii="黑体" w:hAnsi="黑体" w:eastAsia="黑体" w:cs="宋体"/>
          <w:sz w:val="21"/>
          <w:szCs w:val="22"/>
        </w:rPr>
      </w:pPr>
      <w:r>
        <w:rPr>
          <w:rFonts w:hint="eastAsia" w:ascii="黑体" w:hAnsi="黑体" w:eastAsia="黑体" w:cs="宋体"/>
          <w:sz w:val="21"/>
          <w:szCs w:val="22"/>
        </w:rPr>
        <w:t>7.2.5</w:t>
      </w:r>
    </w:p>
    <w:p>
      <w:pPr>
        <w:pStyle w:val="6"/>
        <w:spacing w:line="360" w:lineRule="auto"/>
        <w:ind w:firstLine="420" w:firstLineChars="200"/>
        <w:rPr>
          <w:rFonts w:hint="eastAsia" w:ascii="宋体" w:hAnsi="宋体" w:eastAsia="宋体" w:cs="宋体"/>
          <w:sz w:val="21"/>
          <w:szCs w:val="22"/>
        </w:rPr>
      </w:pPr>
      <w:r>
        <w:rPr>
          <w:rFonts w:hint="eastAsia" w:ascii="黑体" w:hAnsi="黑体" w:eastAsia="黑体" w:cs="宋体"/>
          <w:sz w:val="21"/>
          <w:szCs w:val="22"/>
        </w:rPr>
        <w:t>3</w:t>
      </w:r>
      <w:r>
        <w:rPr>
          <w:rFonts w:hint="eastAsia" w:ascii="黑体" w:hAnsi="黑体" w:eastAsia="黑体" w:cs="黑体"/>
          <w:sz w:val="21"/>
          <w:szCs w:val="21"/>
          <w:lang w:eastAsia="zh-CN"/>
        </w:rPr>
        <w:t>【</w:t>
      </w:r>
      <w:r>
        <w:rPr>
          <w:rFonts w:hint="eastAsia" w:ascii="黑体" w:hAnsi="黑体" w:eastAsia="黑体" w:cs="黑体"/>
          <w:sz w:val="21"/>
          <w:szCs w:val="21"/>
        </w:rPr>
        <w:t>修订</w:t>
      </w:r>
      <w:r>
        <w:rPr>
          <w:rFonts w:hint="eastAsia" w:ascii="黑体" w:hAnsi="黑体" w:eastAsia="黑体" w:cs="黑体"/>
          <w:sz w:val="21"/>
          <w:szCs w:val="21"/>
          <w:lang w:eastAsia="zh-CN"/>
        </w:rPr>
        <w:t>】</w:t>
      </w:r>
      <w:r>
        <w:rPr>
          <w:rFonts w:hint="eastAsia" w:ascii="宋体" w:hAnsi="宋体" w:eastAsia="宋体" w:cs="宋体"/>
          <w:sz w:val="21"/>
          <w:szCs w:val="22"/>
        </w:rPr>
        <w:t xml:space="preserve">  实际工作中应优先选用GB/T 14173，如设计选用了NB/T 35045标准，则可按设计要求选用。以下有关条款类同。</w:t>
      </w:r>
    </w:p>
    <w:p>
      <w:pPr>
        <w:pStyle w:val="6"/>
        <w:spacing w:line="360" w:lineRule="auto"/>
        <w:ind w:firstLine="420" w:firstLineChars="200"/>
        <w:rPr>
          <w:rFonts w:hint="eastAsia" w:ascii="宋体" w:hAnsi="宋体" w:eastAsia="宋体" w:cs="宋体"/>
          <w:sz w:val="21"/>
          <w:szCs w:val="22"/>
        </w:rPr>
      </w:pPr>
      <w:r>
        <w:rPr>
          <w:rFonts w:hint="eastAsia" w:ascii="黑体" w:hAnsi="黑体" w:eastAsia="黑体" w:cs="宋体"/>
          <w:sz w:val="21"/>
          <w:szCs w:val="22"/>
        </w:rPr>
        <w:t>5</w:t>
      </w:r>
      <w:r>
        <w:rPr>
          <w:rFonts w:hint="eastAsia" w:ascii="宋体" w:hAnsi="宋体" w:eastAsia="宋体" w:cs="宋体"/>
          <w:sz w:val="21"/>
          <w:szCs w:val="22"/>
        </w:rPr>
        <w:t xml:space="preserve">  闸门及埋件安装质量。在闸门及埋件安装质量检测中，诸如对支铰轴孔同轴度检测,  不排除使用其他先进的检测方法，如光电投影法等。</w:t>
      </w:r>
    </w:p>
    <w:p>
      <w:pPr>
        <w:pStyle w:val="6"/>
        <w:spacing w:line="360" w:lineRule="auto"/>
        <w:ind w:firstLine="420" w:firstLineChars="200"/>
        <w:rPr>
          <w:rFonts w:hint="eastAsia" w:ascii="宋体" w:hAnsi="宋体" w:eastAsia="宋体" w:cs="宋体"/>
          <w:sz w:val="21"/>
          <w:szCs w:val="22"/>
        </w:rPr>
      </w:pPr>
      <w:r>
        <w:rPr>
          <w:rFonts w:hint="eastAsia" w:ascii="黑体" w:hAnsi="黑体" w:eastAsia="黑体" w:cs="宋体"/>
          <w:sz w:val="21"/>
          <w:szCs w:val="22"/>
        </w:rPr>
        <w:t xml:space="preserve">6 </w:t>
      </w:r>
      <w:r>
        <w:rPr>
          <w:rFonts w:hint="eastAsia" w:ascii="宋体" w:hAnsi="宋体" w:eastAsia="宋体" w:cs="宋体"/>
          <w:sz w:val="21"/>
          <w:szCs w:val="22"/>
        </w:rPr>
        <w:t xml:space="preserve"> 启闭运行试验。主要检查吊头连接情况、滚轮滚动情况、升降有无卡阻、止水橡皮有无损伤、止水橡皮压紧程度、电气设备是否异常情况等。以灯光照射和透射、目测观察为主,结合相机拍照，必要时辅以钢直尺、电气检测仪器等仪器设备检测。</w:t>
      </w:r>
    </w:p>
    <w:p>
      <w:pPr>
        <w:pStyle w:val="3"/>
        <w:snapToGrid w:val="0"/>
        <w:spacing w:before="156" w:beforeLines="50" w:after="156" w:afterLines="50" w:line="360" w:lineRule="auto"/>
        <w:jc w:val="center"/>
        <w:rPr>
          <w:rFonts w:ascii="黑体" w:hAnsi="黑体" w:cs="黑体"/>
          <w:sz w:val="24"/>
          <w:szCs w:val="24"/>
        </w:rPr>
      </w:pPr>
      <w:bookmarkStart w:id="397" w:name="_Toc193028444"/>
      <w:bookmarkStart w:id="398" w:name="_Toc27708"/>
      <w:bookmarkStart w:id="399" w:name="_Toc26836"/>
      <w:bookmarkStart w:id="400" w:name="_Toc19188"/>
      <w:r>
        <w:rPr>
          <w:rFonts w:ascii="黑体" w:hAnsi="黑体" w:cs="黑体"/>
          <w:sz w:val="24"/>
          <w:szCs w:val="24"/>
        </w:rPr>
        <w:t>7.3   压力钢管</w:t>
      </w:r>
      <w:bookmarkEnd w:id="397"/>
      <w:bookmarkEnd w:id="398"/>
      <w:bookmarkEnd w:id="399"/>
      <w:bookmarkEnd w:id="400"/>
    </w:p>
    <w:p>
      <w:pPr>
        <w:pStyle w:val="6"/>
        <w:spacing w:before="39" w:line="360" w:lineRule="auto"/>
        <w:ind w:right="79"/>
        <w:rPr>
          <w:rFonts w:hint="eastAsia" w:ascii="宋体" w:hAnsi="宋体" w:eastAsia="宋体" w:cs="宋体"/>
          <w:sz w:val="21"/>
          <w:szCs w:val="22"/>
        </w:rPr>
      </w:pPr>
      <w:r>
        <w:rPr>
          <w:rFonts w:hint="eastAsia" w:ascii="黑体" w:hAnsi="黑体" w:eastAsia="黑体" w:cs="宋体"/>
          <w:sz w:val="21"/>
          <w:szCs w:val="22"/>
        </w:rPr>
        <w:t>7.3.1</w:t>
      </w:r>
      <w:r>
        <w:rPr>
          <w:rFonts w:hint="eastAsia" w:ascii="宋体" w:hAnsi="宋体" w:eastAsia="宋体" w:cs="宋体"/>
          <w:sz w:val="21"/>
          <w:szCs w:val="22"/>
        </w:rPr>
        <w:t xml:space="preserve">  对压力钢管而言，所有检验项目均必做。</w:t>
      </w:r>
    </w:p>
    <w:p>
      <w:pPr>
        <w:pStyle w:val="6"/>
        <w:spacing w:before="39" w:line="360" w:lineRule="auto"/>
        <w:ind w:right="79"/>
        <w:rPr>
          <w:rFonts w:hint="eastAsia" w:ascii="宋体" w:hAnsi="宋体" w:eastAsia="宋体" w:cs="宋体"/>
          <w:sz w:val="21"/>
          <w:szCs w:val="22"/>
        </w:rPr>
      </w:pPr>
      <w:r>
        <w:rPr>
          <w:rFonts w:hint="eastAsia" w:ascii="黑体" w:hAnsi="黑体" w:eastAsia="黑体" w:cs="宋体"/>
          <w:sz w:val="21"/>
          <w:szCs w:val="22"/>
        </w:rPr>
        <w:t>7.3.2</w:t>
      </w:r>
      <w:r>
        <w:rPr>
          <w:rFonts w:hint="eastAsia" w:ascii="宋体" w:hAnsi="宋体" w:eastAsia="宋体" w:cs="宋体"/>
          <w:sz w:val="21"/>
          <w:szCs w:val="22"/>
        </w:rPr>
        <w:t xml:space="preserve">  对不同类别钢管的检测单元划分，规定就是按照钢管轴线长度，每一个拼装节的长度作为一个检测单元。这样划分是为了结合施工便于检测。</w:t>
      </w:r>
    </w:p>
    <w:p>
      <w:pPr>
        <w:pStyle w:val="6"/>
        <w:spacing w:before="39" w:line="360" w:lineRule="auto"/>
        <w:ind w:right="79"/>
        <w:rPr>
          <w:rFonts w:hint="eastAsia" w:ascii="黑体" w:hAnsi="黑体" w:eastAsia="黑体" w:cs="宋体"/>
          <w:sz w:val="21"/>
          <w:szCs w:val="22"/>
        </w:rPr>
      </w:pPr>
      <w:r>
        <w:rPr>
          <w:rFonts w:hint="eastAsia" w:ascii="黑体" w:hAnsi="黑体" w:eastAsia="黑体" w:cs="宋体"/>
          <w:sz w:val="21"/>
          <w:szCs w:val="22"/>
        </w:rPr>
        <w:t>7.3.3</w:t>
      </w:r>
    </w:p>
    <w:p>
      <w:pPr>
        <w:pStyle w:val="6"/>
        <w:spacing w:line="360" w:lineRule="auto"/>
        <w:ind w:firstLine="420" w:firstLineChars="200"/>
        <w:rPr>
          <w:rFonts w:hint="eastAsia" w:ascii="宋体" w:hAnsi="宋体" w:eastAsia="宋体" w:cs="宋体"/>
          <w:color w:val="FF0000"/>
          <w:sz w:val="21"/>
          <w:szCs w:val="22"/>
        </w:rPr>
      </w:pPr>
      <w:r>
        <w:rPr>
          <w:rFonts w:hint="eastAsia" w:ascii="黑体" w:hAnsi="黑体" w:eastAsia="黑体" w:cs="宋体"/>
          <w:sz w:val="21"/>
          <w:szCs w:val="22"/>
        </w:rPr>
        <w:t>1</w:t>
      </w:r>
      <w:r>
        <w:rPr>
          <w:rFonts w:hint="eastAsia" w:ascii="黑体" w:hAnsi="黑体" w:eastAsia="黑体" w:cs="黑体"/>
          <w:spacing w:val="20"/>
          <w:position w:val="-2"/>
          <w:sz w:val="21"/>
          <w:szCs w:val="21"/>
          <w:lang w:eastAsia="zh-CN"/>
        </w:rPr>
        <w:t>【</w:t>
      </w:r>
      <w:r>
        <w:rPr>
          <w:rFonts w:hint="eastAsia" w:ascii="黑体" w:hAnsi="黑体" w:eastAsia="黑体" w:cs="黑体"/>
          <w:spacing w:val="20"/>
          <w:position w:val="-2"/>
          <w:sz w:val="21"/>
          <w:szCs w:val="21"/>
        </w:rPr>
        <w:t>新增</w:t>
      </w:r>
      <w:r>
        <w:rPr>
          <w:rFonts w:hint="eastAsia" w:ascii="黑体" w:hAnsi="黑体" w:eastAsia="黑体" w:cs="黑体"/>
          <w:spacing w:val="20"/>
          <w:position w:val="-2"/>
          <w:sz w:val="21"/>
          <w:szCs w:val="21"/>
          <w:lang w:eastAsia="zh-CN"/>
        </w:rPr>
        <w:t>】</w:t>
      </w:r>
      <w:r>
        <w:rPr>
          <w:rFonts w:hint="eastAsia" w:ascii="宋体" w:hAnsi="宋体" w:eastAsia="宋体" w:cs="宋体"/>
          <w:color w:val="FF0000"/>
          <w:sz w:val="21"/>
          <w:szCs w:val="22"/>
        </w:rPr>
        <w:t xml:space="preserve">  </w:t>
      </w:r>
      <w:r>
        <w:rPr>
          <w:rFonts w:hint="eastAsia" w:ascii="宋体" w:hAnsi="宋体" w:eastAsia="宋体" w:cs="宋体"/>
          <w:sz w:val="21"/>
          <w:szCs w:val="22"/>
        </w:rPr>
        <w:t>压力钢管水压试验是压力钢管在设计压力作用下观察其变形、渗漏等情况，以评估钢管的质量和安全性；水压试验的长度应根据设计和合同要求划定，在试验过程中通过有限元分析建立模型，对应力集中部位进行实时应力监测，确保应力值下安全许用应力值范围内；另外附加一套声发射装置监测仪器，当压力钢管受到压力作用时，如果其内部或表面存在缺陷或应力集中区域，这些区域会因为快速释放能量而产生瞬态弹性波，通过检测这些声发射信号，可以评估压力钢管的完整性、检测潜在缺陷，并监控其承压能力。</w:t>
      </w:r>
    </w:p>
    <w:p>
      <w:pPr>
        <w:ind w:firstLine="420" w:firstLineChars="200"/>
        <w:rPr>
          <w:rFonts w:hint="eastAsia" w:ascii="黑体" w:hAnsi="黑体" w:eastAsia="黑体" w:cs="黑体"/>
          <w:i/>
          <w:iCs/>
          <w:color w:val="0000FF"/>
          <w:szCs w:val="21"/>
        </w:rPr>
      </w:pPr>
      <w:r>
        <w:rPr>
          <w:rFonts w:hint="eastAsia" w:ascii="宋体" w:hAnsi="宋体" w:eastAsia="宋体" w:cs="宋体"/>
          <w:color w:val="FF0000"/>
        </w:rPr>
        <w:t xml:space="preserve">  </w:t>
      </w:r>
    </w:p>
    <w:p>
      <w:pPr>
        <w:pStyle w:val="3"/>
        <w:snapToGrid w:val="0"/>
        <w:spacing w:before="156" w:beforeLines="50" w:after="156" w:afterLines="50" w:line="360" w:lineRule="auto"/>
        <w:jc w:val="center"/>
        <w:rPr>
          <w:rFonts w:ascii="黑体" w:hAnsi="黑体" w:cs="黑体"/>
          <w:sz w:val="24"/>
          <w:szCs w:val="24"/>
        </w:rPr>
      </w:pPr>
      <w:bookmarkStart w:id="401" w:name="_Toc193028445"/>
      <w:bookmarkStart w:id="402" w:name="_Toc25366"/>
      <w:bookmarkStart w:id="403" w:name="_Toc11193"/>
      <w:bookmarkStart w:id="404" w:name="_Toc24007"/>
      <w:r>
        <w:rPr>
          <w:rFonts w:ascii="黑体" w:hAnsi="黑体" w:cs="黑体"/>
          <w:sz w:val="24"/>
          <w:szCs w:val="24"/>
        </w:rPr>
        <w:t>7.4   启 闭 机</w:t>
      </w:r>
      <w:bookmarkEnd w:id="401"/>
      <w:bookmarkEnd w:id="402"/>
      <w:bookmarkEnd w:id="403"/>
      <w:bookmarkEnd w:id="404"/>
    </w:p>
    <w:p>
      <w:pPr>
        <w:pStyle w:val="6"/>
        <w:spacing w:before="39" w:line="360" w:lineRule="auto"/>
        <w:ind w:right="79"/>
        <w:rPr>
          <w:rFonts w:hint="eastAsia" w:ascii="宋体" w:hAnsi="宋体" w:eastAsia="宋体" w:cs="宋体"/>
          <w:sz w:val="21"/>
          <w:szCs w:val="22"/>
        </w:rPr>
      </w:pPr>
      <w:r>
        <w:rPr>
          <w:rFonts w:hint="eastAsia" w:ascii="黑体" w:hAnsi="黑体" w:eastAsia="黑体" w:cs="宋体"/>
          <w:sz w:val="21"/>
          <w:szCs w:val="22"/>
        </w:rPr>
        <w:t>7.4.1</w:t>
      </w:r>
      <w:r>
        <w:rPr>
          <w:rFonts w:hint="eastAsia" w:ascii="宋体" w:hAnsi="宋体" w:eastAsia="宋体" w:cs="宋体"/>
          <w:sz w:val="21"/>
          <w:szCs w:val="22"/>
        </w:rPr>
        <w:t xml:space="preserve">  本条仅列出几种常用启闭机的检测项目，对特殊形式的启闭机可参照执行，如固定门座式启闭机可参照移动式启闭机。</w:t>
      </w:r>
    </w:p>
    <w:p>
      <w:pPr>
        <w:pStyle w:val="6"/>
        <w:spacing w:line="360" w:lineRule="auto"/>
        <w:ind w:firstLine="420" w:firstLineChars="200"/>
        <w:rPr>
          <w:rFonts w:hint="eastAsia" w:ascii="黑体" w:hAnsi="黑体" w:eastAsia="黑体" w:cs="黑体"/>
          <w:i/>
          <w:iCs/>
          <w:color w:val="0000FF"/>
          <w:szCs w:val="21"/>
        </w:rPr>
      </w:pPr>
      <w:r>
        <w:rPr>
          <w:rFonts w:hint="eastAsia" w:ascii="黑体" w:hAnsi="黑体" w:eastAsia="黑体" w:cs="宋体"/>
          <w:sz w:val="21"/>
          <w:szCs w:val="22"/>
        </w:rPr>
        <w:t>3</w:t>
      </w:r>
      <w:r>
        <w:rPr>
          <w:rFonts w:hint="eastAsia" w:ascii="黑体" w:hAnsi="黑体" w:eastAsia="黑体" w:cs="黑体"/>
          <w:sz w:val="21"/>
          <w:szCs w:val="21"/>
          <w:lang w:eastAsia="zh-CN"/>
        </w:rPr>
        <w:t>【</w:t>
      </w:r>
      <w:r>
        <w:rPr>
          <w:rFonts w:hint="eastAsia" w:ascii="黑体" w:hAnsi="黑体" w:eastAsia="黑体" w:cs="黑体"/>
          <w:sz w:val="21"/>
          <w:szCs w:val="21"/>
        </w:rPr>
        <w:t>修订</w:t>
      </w:r>
      <w:r>
        <w:rPr>
          <w:rFonts w:hint="eastAsia" w:ascii="黑体" w:hAnsi="黑体" w:eastAsia="黑体" w:cs="黑体"/>
          <w:sz w:val="21"/>
          <w:szCs w:val="21"/>
          <w:lang w:eastAsia="zh-CN"/>
        </w:rPr>
        <w:t>】</w:t>
      </w:r>
      <w:r>
        <w:rPr>
          <w:rFonts w:hint="eastAsia" w:ascii="宋体" w:hAnsi="宋体" w:eastAsia="宋体" w:cs="宋体"/>
          <w:sz w:val="21"/>
          <w:szCs w:val="22"/>
        </w:rPr>
        <w:t xml:space="preserve">  固定卷扬式启闭机要求做钢丝绳内部质量探伤超出了SL 381的规定，但是考虑到钢丝绳安全性至关重要，不能舍去。</w:t>
      </w:r>
    </w:p>
    <w:p>
      <w:pPr>
        <w:pStyle w:val="6"/>
        <w:spacing w:line="360" w:lineRule="auto"/>
        <w:ind w:firstLine="420" w:firstLineChars="200"/>
        <w:rPr>
          <w:rFonts w:hint="eastAsia" w:ascii="黑体" w:hAnsi="黑体" w:eastAsia="黑体" w:cs="宋体"/>
          <w:sz w:val="21"/>
          <w:szCs w:val="22"/>
        </w:rPr>
      </w:pPr>
      <w:r>
        <w:rPr>
          <w:rFonts w:hint="eastAsia" w:ascii="黑体" w:hAnsi="黑体" w:eastAsia="黑体" w:cs="宋体"/>
          <w:sz w:val="21"/>
          <w:szCs w:val="22"/>
        </w:rPr>
        <w:t>4</w:t>
      </w:r>
      <w:r>
        <w:rPr>
          <w:rFonts w:hint="eastAsia" w:ascii="黑体" w:hAnsi="黑体" w:eastAsia="黑体" w:cs="黑体"/>
          <w:sz w:val="21"/>
          <w:szCs w:val="21"/>
          <w:lang w:eastAsia="zh-CN"/>
        </w:rPr>
        <w:t>【</w:t>
      </w:r>
      <w:r>
        <w:rPr>
          <w:rFonts w:hint="eastAsia" w:ascii="黑体" w:hAnsi="黑体" w:eastAsia="黑体" w:cs="黑体"/>
          <w:sz w:val="21"/>
          <w:szCs w:val="21"/>
        </w:rPr>
        <w:t>修订</w:t>
      </w:r>
      <w:r>
        <w:rPr>
          <w:rFonts w:hint="eastAsia" w:ascii="黑体" w:hAnsi="黑体" w:eastAsia="黑体" w:cs="黑体"/>
          <w:sz w:val="21"/>
          <w:szCs w:val="21"/>
          <w:lang w:eastAsia="zh-CN"/>
        </w:rPr>
        <w:t>】</w:t>
      </w:r>
      <w:r>
        <w:rPr>
          <w:rFonts w:hint="eastAsia" w:ascii="宋体" w:hAnsi="宋体" w:eastAsia="宋体" w:cs="宋体"/>
          <w:sz w:val="21"/>
          <w:szCs w:val="22"/>
        </w:rPr>
        <w:t xml:space="preserve">  移动式和固定式启闭机可能包括固定卷扬式启闭机,本部分未将与固定卷扬式启闭机相同的检测项目再重复列出,在执行时可根据具体启闭机的情况决定检测与固定卷扬式启闭机相同的检测项目。</w:t>
      </w:r>
    </w:p>
    <w:p>
      <w:pPr>
        <w:pStyle w:val="6"/>
        <w:spacing w:line="360" w:lineRule="auto"/>
        <w:ind w:firstLine="420" w:firstLineChars="200"/>
        <w:rPr>
          <w:rFonts w:hint="eastAsia" w:ascii="宋体" w:hAnsi="宋体" w:eastAsia="宋体" w:cs="宋体"/>
          <w:sz w:val="21"/>
          <w:szCs w:val="22"/>
        </w:rPr>
      </w:pPr>
      <w:r>
        <w:rPr>
          <w:rFonts w:hint="eastAsia" w:ascii="黑体" w:hAnsi="黑体" w:eastAsia="黑体" w:cs="宋体"/>
          <w:sz w:val="21"/>
          <w:szCs w:val="22"/>
        </w:rPr>
        <w:t>7</w:t>
      </w:r>
      <w:r>
        <w:rPr>
          <w:rFonts w:hint="eastAsia" w:ascii="宋体" w:hAnsi="宋体" w:eastAsia="宋体" w:cs="宋体"/>
          <w:sz w:val="21"/>
          <w:szCs w:val="22"/>
        </w:rPr>
        <w:t xml:space="preserve">  液压式启闭机检测项目之所以超出 SL 381《水利水电工程启闭机制造安装及验收规范》规定要求做液压油清洁度、活塞杆镀铬层厚度,是考虑到液压油对保证液压系统运行性能至关重要，而活塞杆镀铬层是防止活塞杆锈蚀破坏的关键。液压式启闭机检测项目中安装质量的主要检测参数是指推力支座安装质量、机架和油缸铰座横向中心线与高程偏差等影响启闭运行性能的参数。</w:t>
      </w:r>
    </w:p>
    <w:p>
      <w:pPr>
        <w:pStyle w:val="6"/>
        <w:spacing w:before="39" w:line="360" w:lineRule="auto"/>
        <w:ind w:right="79"/>
        <w:rPr>
          <w:rFonts w:hint="eastAsia" w:ascii="宋体" w:hAnsi="宋体" w:eastAsia="宋体" w:cs="宋体"/>
          <w:sz w:val="21"/>
          <w:szCs w:val="22"/>
        </w:rPr>
      </w:pPr>
      <w:r>
        <w:rPr>
          <w:rFonts w:hint="eastAsia" w:ascii="黑体" w:hAnsi="黑体" w:eastAsia="黑体" w:cs="宋体"/>
          <w:sz w:val="21"/>
          <w:szCs w:val="22"/>
        </w:rPr>
        <w:t>7.4.3</w:t>
      </w:r>
      <w:r>
        <w:rPr>
          <w:rFonts w:hint="eastAsia" w:ascii="宋体" w:hAnsi="宋体" w:eastAsia="宋体" w:cs="宋体"/>
          <w:sz w:val="21"/>
          <w:szCs w:val="22"/>
        </w:rPr>
        <w:t xml:space="preserve">  液压式启闭机。关于用显微镜颗粒计数法或自动颗粒计数器取得液压油颗粒计数数据，说明如下：用显微镜计数所报告的污染等级代号,由不小于5μm和不小于15μm两个颗 粒尺寸范围的颗粒浓度代码组成，这两个代码按次序书写，相互间用一条斜线分隔。用自动颗粒计数器计数所报告的污染等级代号由三个代码组成,第一个代码按不小于 4μm(c)的颗粒数来确定，第二个代码按不小于6μm(c)的颗粒数来确定，第三个代码按不小于14μm(c)  的颗粒数来确定，这三个代码按次序书写，相互间用一条斜线分隔。</w:t>
      </w:r>
    </w:p>
    <w:p>
      <w:pPr>
        <w:pStyle w:val="6"/>
        <w:spacing w:before="39" w:line="360" w:lineRule="auto"/>
        <w:ind w:right="79"/>
        <w:rPr>
          <w:rFonts w:hint="eastAsia" w:ascii="宋体" w:hAnsi="宋体" w:eastAsia="宋体" w:cs="宋体"/>
          <w:sz w:val="21"/>
          <w:szCs w:val="22"/>
        </w:rPr>
      </w:pPr>
      <w:r>
        <w:rPr>
          <w:rFonts w:hint="eastAsia" w:ascii="黑体" w:hAnsi="黑体" w:eastAsia="黑体" w:cs="宋体"/>
          <w:sz w:val="21"/>
          <w:szCs w:val="22"/>
        </w:rPr>
        <w:t xml:space="preserve">7.4.5  </w:t>
      </w:r>
      <w:r>
        <w:rPr>
          <w:rFonts w:hint="eastAsia" w:ascii="宋体" w:hAnsi="宋体" w:eastAsia="宋体" w:cs="宋体"/>
          <w:sz w:val="21"/>
          <w:szCs w:val="22"/>
        </w:rPr>
        <w:t>各个启闭机运行试验是对安装质量好坏的直接验证，包括对安装位置定位准确性的验证，故要求按照 SL 381的规定进行检测和评价，但是其中有关负荷试验的评价可根据工程具体条件的允许进行实际评价。</w:t>
      </w:r>
    </w:p>
    <w:p>
      <w:pPr>
        <w:pStyle w:val="6"/>
        <w:spacing w:before="39" w:line="360" w:lineRule="auto"/>
        <w:ind w:right="79" w:firstLine="420" w:firstLineChars="200"/>
        <w:rPr>
          <w:rFonts w:hint="eastAsia" w:ascii="宋体" w:hAnsi="宋体" w:eastAsia="宋体" w:cs="宋体"/>
          <w:sz w:val="21"/>
          <w:szCs w:val="22"/>
        </w:rPr>
      </w:pPr>
      <w:r>
        <w:rPr>
          <w:rFonts w:hint="eastAsia" w:ascii="宋体" w:hAnsi="宋体" w:eastAsia="宋体" w:cs="宋体"/>
          <w:sz w:val="21"/>
          <w:szCs w:val="22"/>
        </w:rPr>
        <w:t>LF是指钢丝绳中的局部损伤,诸如断丝、磨损、锈蚀,疲劳或其他钢丝绳局部物理状态的退化等；LMA是指钢丝绳金属横截面积损失,即钢丝绳上特定区域中标准(质量)缺损的相对条斜线分隔。度量 ,它是通过比较检测点与钢丝绳上象征最大金属横截面积的基准点来测定的。</w:t>
      </w:r>
    </w:p>
    <w:p>
      <w:pPr>
        <w:pStyle w:val="3"/>
        <w:snapToGrid w:val="0"/>
        <w:spacing w:before="156" w:beforeLines="50" w:after="156" w:afterLines="50" w:line="360" w:lineRule="auto"/>
        <w:jc w:val="center"/>
        <w:rPr>
          <w:rFonts w:ascii="黑体" w:hAnsi="黑体" w:cs="黑体"/>
          <w:sz w:val="24"/>
          <w:szCs w:val="24"/>
        </w:rPr>
      </w:pPr>
      <w:bookmarkStart w:id="405" w:name="_Toc193028446"/>
      <w:bookmarkStart w:id="406" w:name="_Toc6494"/>
      <w:bookmarkStart w:id="407" w:name="_Toc17073"/>
      <w:bookmarkStart w:id="408" w:name="_Toc16242"/>
      <w:r>
        <w:rPr>
          <w:rFonts w:ascii="黑体" w:hAnsi="黑体" w:cs="黑体"/>
          <w:sz w:val="24"/>
          <w:szCs w:val="24"/>
        </w:rPr>
        <w:t>7.5   清 污 机</w:t>
      </w:r>
      <w:bookmarkEnd w:id="405"/>
      <w:bookmarkEnd w:id="406"/>
      <w:bookmarkEnd w:id="407"/>
      <w:bookmarkEnd w:id="408"/>
    </w:p>
    <w:p>
      <w:pPr>
        <w:pStyle w:val="6"/>
        <w:spacing w:before="39" w:line="360" w:lineRule="auto"/>
        <w:ind w:right="79"/>
        <w:rPr>
          <w:rFonts w:hint="eastAsia" w:ascii="宋体" w:hAnsi="宋体" w:eastAsia="宋体" w:cs="宋体"/>
          <w:sz w:val="21"/>
          <w:szCs w:val="22"/>
        </w:rPr>
      </w:pPr>
      <w:r>
        <w:rPr>
          <w:rFonts w:hint="eastAsia" w:ascii="黑体" w:hAnsi="黑体" w:eastAsia="黑体" w:cs="宋体"/>
          <w:sz w:val="21"/>
          <w:szCs w:val="22"/>
        </w:rPr>
        <w:t>7.5.1</w:t>
      </w:r>
      <w:r>
        <w:rPr>
          <w:rFonts w:hint="eastAsia" w:ascii="黑体" w:hAnsi="黑体" w:eastAsia="黑体" w:cs="黑体"/>
          <w:sz w:val="21"/>
          <w:szCs w:val="21"/>
          <w:lang w:eastAsia="zh-CN"/>
        </w:rPr>
        <w:t>【</w:t>
      </w:r>
      <w:r>
        <w:rPr>
          <w:rFonts w:hint="eastAsia" w:ascii="黑体" w:hAnsi="黑体" w:eastAsia="黑体" w:cs="黑体"/>
          <w:sz w:val="21"/>
          <w:szCs w:val="21"/>
        </w:rPr>
        <w:t>修订</w:t>
      </w:r>
      <w:r>
        <w:rPr>
          <w:rFonts w:hint="eastAsia" w:ascii="黑体" w:hAnsi="黑体" w:eastAsia="黑体" w:cs="黑体"/>
          <w:sz w:val="21"/>
          <w:szCs w:val="21"/>
          <w:lang w:eastAsia="zh-CN"/>
        </w:rPr>
        <w:t>】</w:t>
      </w:r>
      <w:r>
        <w:rPr>
          <w:rFonts w:hint="eastAsia" w:ascii="宋体" w:hAnsi="宋体" w:eastAsia="宋体" w:cs="宋体"/>
          <w:sz w:val="21"/>
          <w:szCs w:val="21"/>
        </w:rPr>
        <w:t xml:space="preserve"> </w:t>
      </w:r>
      <w:r>
        <w:rPr>
          <w:rFonts w:hint="eastAsia" w:ascii="宋体" w:hAnsi="宋体" w:eastAsia="宋体" w:cs="宋体"/>
          <w:sz w:val="21"/>
          <w:szCs w:val="22"/>
        </w:rPr>
        <w:t>本条仅列出两种常用清污机的检测项目，对特殊形式的清污机可参照执行。</w:t>
      </w:r>
    </w:p>
    <w:p>
      <w:pPr>
        <w:pStyle w:val="6"/>
        <w:spacing w:line="360" w:lineRule="auto"/>
        <w:ind w:firstLine="420" w:firstLineChars="200"/>
        <w:rPr>
          <w:rFonts w:hint="eastAsia" w:ascii="宋体" w:hAnsi="宋体" w:eastAsia="宋体" w:cs="宋体"/>
          <w:sz w:val="21"/>
          <w:szCs w:val="22"/>
        </w:rPr>
      </w:pPr>
      <w:r>
        <w:rPr>
          <w:rFonts w:hint="eastAsia" w:ascii="黑体" w:hAnsi="黑体" w:eastAsia="黑体" w:cs="宋体"/>
          <w:sz w:val="21"/>
          <w:szCs w:val="22"/>
        </w:rPr>
        <w:t xml:space="preserve">3 </w:t>
      </w:r>
      <w:r>
        <w:rPr>
          <w:rFonts w:hint="eastAsia" w:ascii="宋体" w:hAnsi="宋体" w:eastAsia="宋体" w:cs="宋体"/>
          <w:sz w:val="21"/>
          <w:szCs w:val="22"/>
        </w:rPr>
        <w:t xml:space="preserve"> 未将回转式清污机与耙斗式清污机相同的检测项目再重复列出,在执行时可根据具体启闭机的情况决定检测与耙斗式清污机相同的检测项目 。</w:t>
      </w:r>
    </w:p>
    <w:p>
      <w:pPr>
        <w:pStyle w:val="6"/>
        <w:spacing w:line="360" w:lineRule="auto"/>
        <w:rPr>
          <w:rFonts w:hint="eastAsia" w:ascii="宋体" w:hAnsi="宋体" w:eastAsia="宋体" w:cs="宋体"/>
          <w:sz w:val="21"/>
          <w:szCs w:val="21"/>
        </w:rPr>
      </w:pPr>
      <w:r>
        <w:rPr>
          <w:rFonts w:hint="eastAsia" w:ascii="黑体" w:hAnsi="黑体" w:eastAsia="黑体" w:cs="宋体"/>
          <w:sz w:val="21"/>
          <w:szCs w:val="21"/>
        </w:rPr>
        <w:t xml:space="preserve">7.5.4  </w:t>
      </w:r>
    </w:p>
    <w:p>
      <w:pPr>
        <w:spacing w:line="360" w:lineRule="auto"/>
        <w:ind w:firstLine="420" w:firstLineChars="200"/>
        <w:rPr>
          <w:rFonts w:hint="eastAsia" w:ascii="黑体" w:hAnsi="黑体" w:eastAsia="黑体" w:cs="黑体"/>
          <w:i/>
          <w:iCs/>
          <w:color w:val="FF0000"/>
          <w:szCs w:val="21"/>
        </w:rPr>
      </w:pPr>
      <w:r>
        <w:rPr>
          <w:rFonts w:hint="eastAsia" w:ascii="黑体" w:hAnsi="黑体" w:eastAsia="黑体" w:cs="宋体"/>
        </w:rPr>
        <w:t>1</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宋体"/>
        </w:rPr>
        <w:t xml:space="preserve"> </w:t>
      </w:r>
      <w:r>
        <w:rPr>
          <w:rFonts w:hint="eastAsia" w:ascii="宋体" w:hAnsi="宋体" w:eastAsia="宋体" w:cs="宋体"/>
          <w:color w:val="FF0000"/>
        </w:rPr>
        <w:t xml:space="preserve"> </w:t>
      </w:r>
      <w:r>
        <w:rPr>
          <w:rFonts w:hint="eastAsia" w:ascii="宋体" w:hAnsi="宋体" w:eastAsia="宋体" w:cs="宋体"/>
        </w:rPr>
        <w:t>回转式清污机与耙斗式清污机在水利水电行业的常用金属结构设备，原标准SL 382中对水利水电工程中清污机制造安装质量验收有相应的要求，2020年5月对该规范作废，推荐使用NB/T 11009标准对清污机制造安装质量进行检查验收。</w:t>
      </w:r>
    </w:p>
    <w:p>
      <w:pPr>
        <w:pStyle w:val="6"/>
        <w:spacing w:before="145" w:line="210" w:lineRule="auto"/>
        <w:ind w:left="5" w:right="77" w:hanging="5"/>
        <w:rPr>
          <w:rFonts w:hint="eastAsia" w:ascii="黑体" w:hAnsi="黑体" w:eastAsia="黑体" w:cs="黑体"/>
          <w:b/>
          <w:bCs/>
          <w:sz w:val="28"/>
          <w:szCs w:val="28"/>
        </w:rPr>
      </w:pPr>
    </w:p>
    <w:p/>
    <w:p/>
    <w:p/>
    <w:p/>
    <w:p>
      <w:r>
        <w:br w:type="page"/>
      </w:r>
    </w:p>
    <w:p>
      <w:pPr>
        <w:pStyle w:val="2"/>
        <w:rPr>
          <w:rFonts w:hint="eastAsia" w:ascii="黑体" w:hAnsi="黑体" w:eastAsia="黑体" w:cs="黑体"/>
          <w:b w:val="0"/>
          <w:bCs w:val="0"/>
          <w:sz w:val="28"/>
          <w:szCs w:val="28"/>
        </w:rPr>
      </w:pPr>
      <w:bookmarkStart w:id="409" w:name="_Toc193028447"/>
      <w:bookmarkStart w:id="410" w:name="_Toc7424"/>
      <w:bookmarkStart w:id="411" w:name="_Toc32191"/>
      <w:bookmarkStart w:id="412" w:name="_Toc3180"/>
      <w:r>
        <w:rPr>
          <w:rFonts w:hint="eastAsia" w:ascii="黑体" w:hAnsi="黑体" w:eastAsia="黑体" w:cs="黑体"/>
          <w:b w:val="0"/>
          <w:bCs w:val="0"/>
          <w:sz w:val="28"/>
          <w:szCs w:val="28"/>
        </w:rPr>
        <w:t>8   机 械 电 气</w:t>
      </w:r>
      <w:bookmarkEnd w:id="409"/>
      <w:bookmarkEnd w:id="410"/>
      <w:bookmarkEnd w:id="411"/>
      <w:bookmarkEnd w:id="412"/>
    </w:p>
    <w:p>
      <w:pPr>
        <w:pStyle w:val="3"/>
        <w:snapToGrid w:val="0"/>
        <w:spacing w:before="156" w:beforeLines="50" w:after="156" w:afterLines="50" w:line="360" w:lineRule="auto"/>
        <w:jc w:val="center"/>
        <w:rPr>
          <w:rFonts w:ascii="黑体" w:hAnsi="黑体" w:cs="黑体"/>
          <w:sz w:val="24"/>
          <w:szCs w:val="24"/>
        </w:rPr>
      </w:pPr>
      <w:bookmarkStart w:id="413" w:name="_Toc19540"/>
      <w:bookmarkStart w:id="414" w:name="_Toc28959"/>
      <w:bookmarkStart w:id="415" w:name="_Toc14983"/>
      <w:bookmarkStart w:id="416" w:name="_Toc193028448"/>
      <w:r>
        <w:rPr>
          <w:rFonts w:ascii="黑体" w:hAnsi="黑体" w:cs="黑体"/>
          <w:sz w:val="24"/>
          <w:szCs w:val="24"/>
        </w:rPr>
        <w:t>8.1   一般规定</w:t>
      </w:r>
      <w:bookmarkEnd w:id="413"/>
      <w:bookmarkEnd w:id="414"/>
      <w:bookmarkEnd w:id="415"/>
      <w:bookmarkEnd w:id="416"/>
    </w:p>
    <w:p>
      <w:pPr>
        <w:pStyle w:val="6"/>
        <w:spacing w:line="360" w:lineRule="auto"/>
        <w:ind w:right="6"/>
        <w:rPr>
          <w:rFonts w:hint="eastAsia" w:asciiTheme="minorEastAsia" w:hAnsiTheme="minorEastAsia" w:eastAsiaTheme="minorEastAsia" w:cstheme="minorEastAsia"/>
          <w:kern w:val="21"/>
          <w:sz w:val="21"/>
          <w:szCs w:val="21"/>
        </w:rPr>
      </w:pPr>
      <w:r>
        <w:rPr>
          <w:rFonts w:hint="eastAsia" w:ascii="黑体" w:hAnsi="黑体" w:eastAsia="黑体" w:cs="宋体"/>
          <w:sz w:val="21"/>
          <w:szCs w:val="22"/>
        </w:rPr>
        <w:t>8.1.1</w:t>
      </w:r>
      <w:r>
        <w:rPr>
          <w:rFonts w:hint="eastAsia" w:ascii="黑体" w:hAnsi="黑体" w:eastAsia="黑体" w:cs="黑体"/>
          <w:spacing w:val="20"/>
          <w:position w:val="-2"/>
          <w:sz w:val="21"/>
          <w:szCs w:val="21"/>
          <w:lang w:eastAsia="zh-CN"/>
        </w:rPr>
        <w:t>【</w:t>
      </w:r>
      <w:r>
        <w:rPr>
          <w:rFonts w:hint="eastAsia" w:ascii="黑体" w:hAnsi="黑体" w:eastAsia="黑体" w:cs="黑体"/>
          <w:spacing w:val="20"/>
          <w:position w:val="-2"/>
          <w:sz w:val="21"/>
          <w:szCs w:val="21"/>
        </w:rPr>
        <w:t>新增</w:t>
      </w:r>
      <w:r>
        <w:rPr>
          <w:rFonts w:hint="eastAsia" w:ascii="黑体" w:hAnsi="黑体" w:eastAsia="黑体" w:cs="黑体"/>
          <w:spacing w:val="20"/>
          <w:position w:val="-2"/>
          <w:sz w:val="21"/>
          <w:szCs w:val="21"/>
          <w:lang w:eastAsia="zh-CN"/>
        </w:rPr>
        <w:t>】</w:t>
      </w:r>
      <w:r>
        <w:rPr>
          <w:rFonts w:hint="eastAsia" w:asciiTheme="minorEastAsia" w:hAnsiTheme="minorEastAsia" w:eastAsiaTheme="minorEastAsia" w:cstheme="minorEastAsia"/>
          <w:kern w:val="21"/>
          <w:sz w:val="21"/>
          <w:szCs w:val="21"/>
        </w:rPr>
        <w:t xml:space="preserve">  水电站和泵站机电设备质量检测主要包括设备制造和安装过程中的控制性质量检测、启动试运行阶段的综合性能质量检测，以及合同规定的设备性能保证值的质量检测。对机电设备质量检测做出一般规定，分别从设备制造质量、安装质量、性能参数三个方面进行规定。</w:t>
      </w:r>
    </w:p>
    <w:p>
      <w:pPr>
        <w:pStyle w:val="6"/>
        <w:spacing w:line="360" w:lineRule="auto"/>
        <w:ind w:right="6"/>
        <w:rPr>
          <w:rFonts w:hint="eastAsia" w:asciiTheme="minorEastAsia" w:hAnsiTheme="minorEastAsia" w:eastAsiaTheme="minorEastAsia" w:cstheme="minorEastAsia"/>
          <w:kern w:val="21"/>
          <w:sz w:val="21"/>
          <w:szCs w:val="21"/>
        </w:rPr>
      </w:pPr>
      <w:r>
        <w:rPr>
          <w:rFonts w:hint="eastAsia" w:ascii="黑体" w:hAnsi="黑体" w:eastAsia="黑体" w:cs="黑体"/>
          <w:sz w:val="21"/>
          <w:szCs w:val="22"/>
        </w:rPr>
        <w:t>8.1.</w:t>
      </w:r>
      <w:r>
        <w:rPr>
          <w:rFonts w:hint="eastAsia" w:ascii="黑体" w:hAnsi="黑体" w:eastAsia="黑体" w:cs="宋体"/>
          <w:sz w:val="21"/>
          <w:szCs w:val="22"/>
        </w:rPr>
        <w:t>2</w:t>
      </w:r>
      <w:r>
        <w:rPr>
          <w:rFonts w:hint="eastAsia" w:ascii="黑体" w:hAnsi="黑体" w:eastAsia="黑体" w:cs="黑体"/>
          <w:spacing w:val="20"/>
          <w:position w:val="-2"/>
          <w:sz w:val="21"/>
          <w:szCs w:val="21"/>
          <w:lang w:eastAsia="zh-CN"/>
        </w:rPr>
        <w:t>【</w:t>
      </w:r>
      <w:r>
        <w:rPr>
          <w:rFonts w:hint="eastAsia" w:ascii="黑体" w:hAnsi="黑体" w:eastAsia="黑体" w:cs="黑体"/>
          <w:spacing w:val="20"/>
          <w:position w:val="-2"/>
          <w:sz w:val="21"/>
          <w:szCs w:val="21"/>
        </w:rPr>
        <w:t>新增</w:t>
      </w:r>
      <w:r>
        <w:rPr>
          <w:rFonts w:hint="eastAsia" w:ascii="黑体" w:hAnsi="黑体" w:eastAsia="黑体" w:cs="黑体"/>
          <w:spacing w:val="20"/>
          <w:position w:val="-2"/>
          <w:sz w:val="21"/>
          <w:szCs w:val="21"/>
          <w:lang w:eastAsia="zh-CN"/>
        </w:rPr>
        <w:t>】</w:t>
      </w:r>
      <w:r>
        <w:rPr>
          <w:rFonts w:hint="eastAsia" w:asciiTheme="minorEastAsia" w:hAnsiTheme="minorEastAsia" w:eastAsiaTheme="minorEastAsia" w:cstheme="minorEastAsia"/>
          <w:kern w:val="21"/>
          <w:sz w:val="21"/>
          <w:szCs w:val="21"/>
        </w:rPr>
        <w:t xml:space="preserve">  机电设备质量检测工作通常是在设备加工厂或水电站和泵站现场，检测工作需提前编制检测大纲或实施方案，并经有关单位审核批准方可实施。根据国家有关安全生产属地管理的原则，检测实施单位和电站/泵站管理单位需制定全保护措施。</w:t>
      </w:r>
    </w:p>
    <w:p>
      <w:pPr>
        <w:pStyle w:val="6"/>
        <w:spacing w:line="360" w:lineRule="auto"/>
        <w:ind w:right="6"/>
        <w:rPr>
          <w:rFonts w:hint="eastAsia" w:asciiTheme="minorEastAsia" w:hAnsiTheme="minorEastAsia" w:eastAsiaTheme="minorEastAsia" w:cstheme="minorEastAsia"/>
          <w:kern w:val="21"/>
          <w:sz w:val="21"/>
          <w:szCs w:val="21"/>
        </w:rPr>
      </w:pPr>
      <w:r>
        <w:rPr>
          <w:rFonts w:hint="eastAsia" w:ascii="黑体" w:hAnsi="黑体" w:eastAsia="黑体" w:cs="黑体"/>
          <w:sz w:val="21"/>
          <w:szCs w:val="22"/>
        </w:rPr>
        <w:t>8.1.5</w:t>
      </w:r>
      <w:r>
        <w:rPr>
          <w:rFonts w:hint="eastAsia" w:ascii="黑体" w:hAnsi="黑体" w:eastAsia="黑体" w:cs="黑体"/>
          <w:spacing w:val="20"/>
          <w:position w:val="-2"/>
          <w:sz w:val="21"/>
          <w:szCs w:val="21"/>
          <w:lang w:eastAsia="zh-CN"/>
        </w:rPr>
        <w:t>【</w:t>
      </w:r>
      <w:r>
        <w:rPr>
          <w:rFonts w:hint="eastAsia" w:ascii="黑体" w:hAnsi="黑体" w:eastAsia="黑体" w:cs="黑体"/>
          <w:spacing w:val="20"/>
          <w:position w:val="-2"/>
          <w:sz w:val="21"/>
          <w:szCs w:val="21"/>
        </w:rPr>
        <w:t>新增</w:t>
      </w:r>
      <w:r>
        <w:rPr>
          <w:rFonts w:hint="eastAsia" w:ascii="黑体" w:hAnsi="黑体" w:eastAsia="黑体" w:cs="黑体"/>
          <w:spacing w:val="20"/>
          <w:position w:val="-2"/>
          <w:sz w:val="21"/>
          <w:szCs w:val="21"/>
          <w:lang w:eastAsia="zh-CN"/>
        </w:rPr>
        <w:t>】</w:t>
      </w:r>
      <w:r>
        <w:rPr>
          <w:rFonts w:hint="eastAsia" w:asciiTheme="minorEastAsia" w:hAnsiTheme="minorEastAsia" w:eastAsiaTheme="minorEastAsia" w:cstheme="minorEastAsia"/>
          <w:kern w:val="21"/>
          <w:sz w:val="21"/>
          <w:szCs w:val="21"/>
        </w:rPr>
        <w:t xml:space="preserve">  电站/泵站现场情况较为复杂，需考虑现场检测工作的安全问题，明确检测人员的安全责任，确保现场设备、检测设备和人员安全。</w:t>
      </w:r>
    </w:p>
    <w:p>
      <w:pPr>
        <w:pStyle w:val="6"/>
        <w:spacing w:line="360" w:lineRule="auto"/>
        <w:ind w:right="6"/>
        <w:rPr>
          <w:rFonts w:hint="eastAsia" w:asciiTheme="minorEastAsia" w:hAnsiTheme="minorEastAsia" w:eastAsiaTheme="minorEastAsia" w:cstheme="minorEastAsia"/>
          <w:kern w:val="21"/>
          <w:sz w:val="21"/>
          <w:szCs w:val="21"/>
        </w:rPr>
      </w:pPr>
      <w:r>
        <w:rPr>
          <w:rFonts w:hint="eastAsia" w:ascii="黑体" w:hAnsi="黑体" w:eastAsia="黑体" w:cs="黑体"/>
          <w:sz w:val="21"/>
          <w:szCs w:val="22"/>
        </w:rPr>
        <w:t>8.1.6</w:t>
      </w:r>
      <w:r>
        <w:rPr>
          <w:rFonts w:hint="eastAsia" w:ascii="黑体" w:hAnsi="黑体" w:eastAsia="黑体" w:cs="黑体"/>
          <w:spacing w:val="20"/>
          <w:position w:val="-2"/>
          <w:sz w:val="21"/>
          <w:szCs w:val="21"/>
          <w:lang w:eastAsia="zh-CN"/>
        </w:rPr>
        <w:t>【</w:t>
      </w:r>
      <w:r>
        <w:rPr>
          <w:rFonts w:hint="eastAsia" w:ascii="黑体" w:hAnsi="黑体" w:eastAsia="黑体" w:cs="黑体"/>
          <w:spacing w:val="20"/>
          <w:position w:val="-2"/>
          <w:sz w:val="21"/>
          <w:szCs w:val="21"/>
        </w:rPr>
        <w:t>新增</w:t>
      </w:r>
      <w:r>
        <w:rPr>
          <w:rFonts w:hint="eastAsia" w:ascii="黑体" w:hAnsi="黑体" w:eastAsia="黑体" w:cs="黑体"/>
          <w:spacing w:val="20"/>
          <w:position w:val="-2"/>
          <w:sz w:val="21"/>
          <w:szCs w:val="21"/>
          <w:lang w:eastAsia="zh-CN"/>
        </w:rPr>
        <w:t>】</w:t>
      </w:r>
      <w:r>
        <w:rPr>
          <w:rFonts w:hint="eastAsia" w:ascii="黑体" w:hAnsi="黑体" w:eastAsia="黑体" w:cs="黑体"/>
          <w:sz w:val="21"/>
          <w:szCs w:val="22"/>
        </w:rPr>
        <w:t xml:space="preserve"> </w:t>
      </w:r>
      <w:r>
        <w:rPr>
          <w:rFonts w:hint="eastAsia" w:asciiTheme="minorEastAsia" w:hAnsiTheme="minorEastAsia" w:eastAsiaTheme="minorEastAsia" w:cstheme="minorEastAsia"/>
          <w:kern w:val="21"/>
          <w:sz w:val="21"/>
          <w:szCs w:val="21"/>
        </w:rPr>
        <w:t xml:space="preserve"> 现场检测仪器仪表可能会受周围环境的影响，比如电磁、振动、噪声等的干扰，检测过程中，需观察和判断仪器设备的工作状态，确保检测数据真实可信。</w:t>
      </w:r>
    </w:p>
    <w:p>
      <w:pPr>
        <w:pStyle w:val="3"/>
        <w:snapToGrid w:val="0"/>
        <w:spacing w:before="156" w:beforeLines="50" w:after="156" w:afterLines="50" w:line="360" w:lineRule="auto"/>
        <w:jc w:val="center"/>
        <w:rPr>
          <w:rFonts w:ascii="黑体" w:hAnsi="黑体" w:cs="黑体"/>
          <w:sz w:val="24"/>
          <w:szCs w:val="24"/>
        </w:rPr>
      </w:pPr>
      <w:bookmarkStart w:id="417" w:name="_Toc193028449"/>
      <w:bookmarkStart w:id="418" w:name="_Toc32645"/>
      <w:bookmarkStart w:id="419" w:name="_Toc31784"/>
      <w:bookmarkStart w:id="420" w:name="_Toc14155"/>
      <w:r>
        <w:rPr>
          <w:rFonts w:ascii="黑体" w:hAnsi="黑体" w:cs="黑体"/>
          <w:sz w:val="24"/>
          <w:szCs w:val="24"/>
        </w:rPr>
        <w:t>8.2  水力机械及附属设备</w:t>
      </w:r>
      <w:bookmarkEnd w:id="417"/>
      <w:bookmarkEnd w:id="418"/>
      <w:bookmarkEnd w:id="419"/>
      <w:bookmarkEnd w:id="420"/>
    </w:p>
    <w:p>
      <w:pPr>
        <w:pStyle w:val="6"/>
        <w:spacing w:before="146"/>
        <w:ind w:left="2" w:right="6" w:hanging="2"/>
        <w:rPr>
          <w:rFonts w:hint="eastAsia" w:asciiTheme="minorEastAsia" w:hAnsiTheme="minorEastAsia" w:eastAsiaTheme="minorEastAsia" w:cstheme="minorEastAsia"/>
          <w:kern w:val="21"/>
          <w:sz w:val="21"/>
          <w:szCs w:val="21"/>
        </w:rPr>
      </w:pPr>
      <w:r>
        <w:rPr>
          <w:rFonts w:hint="eastAsia" w:ascii="黑体" w:hAnsi="黑体" w:eastAsia="黑体" w:cs="黑体"/>
          <w:sz w:val="21"/>
          <w:szCs w:val="22"/>
        </w:rPr>
        <w:t xml:space="preserve">8.2.1 </w:t>
      </w:r>
      <w:r>
        <w:rPr>
          <w:rFonts w:hint="eastAsia" w:asciiTheme="minorEastAsia" w:hAnsiTheme="minorEastAsia" w:eastAsiaTheme="minorEastAsia" w:cstheme="minorEastAsia"/>
          <w:kern w:val="21"/>
          <w:sz w:val="21"/>
          <w:szCs w:val="21"/>
        </w:rPr>
        <w:t xml:space="preserve"> </w:t>
      </w:r>
    </w:p>
    <w:p>
      <w:pPr>
        <w:pStyle w:val="6"/>
        <w:spacing w:before="146" w:line="360" w:lineRule="auto"/>
        <w:ind w:left="2" w:right="6" w:firstLine="420" w:firstLineChars="200"/>
        <w:rPr>
          <w:rFonts w:hint="eastAsia" w:asciiTheme="minorEastAsia" w:hAnsiTheme="minorEastAsia" w:eastAsiaTheme="minorEastAsia" w:cstheme="minorEastAsia"/>
          <w:kern w:val="21"/>
          <w:sz w:val="21"/>
          <w:szCs w:val="21"/>
        </w:rPr>
      </w:pPr>
      <w:r>
        <w:rPr>
          <w:rFonts w:hint="eastAsia" w:ascii="黑体" w:hAnsi="黑体" w:eastAsia="黑体" w:cs="黑体"/>
          <w:sz w:val="21"/>
          <w:szCs w:val="22"/>
        </w:rPr>
        <w:t>1</w:t>
      </w:r>
      <w:r>
        <w:rPr>
          <w:rFonts w:hint="eastAsia" w:ascii="黑体" w:hAnsi="黑体" w:eastAsia="黑体" w:cs="黑体"/>
          <w:lang w:eastAsia="zh-CN"/>
        </w:rPr>
        <w:t>【</w:t>
      </w:r>
      <w:r>
        <w:rPr>
          <w:rFonts w:hint="eastAsia" w:ascii="黑体" w:hAnsi="黑体" w:eastAsia="黑体" w:cs="黑体"/>
          <w:sz w:val="21"/>
          <w:szCs w:val="21"/>
        </w:rPr>
        <w:t>修订</w:t>
      </w:r>
      <w:r>
        <w:rPr>
          <w:rFonts w:hint="eastAsia" w:ascii="黑体" w:hAnsi="黑体" w:eastAsia="黑体" w:cs="黑体"/>
          <w:sz w:val="21"/>
          <w:szCs w:val="21"/>
          <w:lang w:eastAsia="zh-CN"/>
        </w:rPr>
        <w:t>】</w:t>
      </w:r>
      <w:r>
        <w:rPr>
          <w:rFonts w:hint="eastAsia" w:ascii="黑体" w:hAnsi="黑体" w:eastAsia="黑体" w:cs="黑体"/>
          <w:sz w:val="21"/>
          <w:szCs w:val="21"/>
        </w:rPr>
        <w:t xml:space="preserve"> </w:t>
      </w:r>
      <w:r>
        <w:rPr>
          <w:rFonts w:hint="eastAsia" w:asciiTheme="minorEastAsia" w:hAnsiTheme="minorEastAsia" w:eastAsiaTheme="minorEastAsia" w:cstheme="minorEastAsia"/>
          <w:kern w:val="21"/>
          <w:sz w:val="21"/>
          <w:szCs w:val="21"/>
        </w:rPr>
        <w:t xml:space="preserve"> </w:t>
      </w:r>
      <w:r>
        <w:rPr>
          <w:rFonts w:hint="eastAsia" w:asciiTheme="minorEastAsia" w:hAnsiTheme="minorEastAsia" w:eastAsiaTheme="minorEastAsia" w:cstheme="minorEastAsia"/>
          <w:kern w:val="21"/>
          <w:sz w:val="21"/>
          <w:szCs w:val="21"/>
        </w:rPr>
        <w:t>本条由原8.1.1条拆分。水轮机质量检测包括设备制造及安装调试过程中的质量检测，以及设备投运后性能参数的质量检测，将原8.1.1条的检测项目拆分为两条，表达更为清晰。</w:t>
      </w:r>
    </w:p>
    <w:p>
      <w:pPr>
        <w:pStyle w:val="6"/>
        <w:spacing w:before="146" w:line="360" w:lineRule="auto"/>
        <w:ind w:left="2" w:right="6" w:firstLine="420" w:firstLineChars="200"/>
        <w:rPr>
          <w:rFonts w:hint="eastAsia" w:asciiTheme="minorEastAsia" w:hAnsiTheme="minorEastAsia" w:eastAsiaTheme="minorEastAsia" w:cstheme="minorEastAsia"/>
          <w:kern w:val="21"/>
          <w:sz w:val="21"/>
          <w:szCs w:val="21"/>
        </w:rPr>
      </w:pPr>
      <w:r>
        <w:rPr>
          <w:rFonts w:hint="eastAsia" w:asciiTheme="minorEastAsia" w:hAnsiTheme="minorEastAsia" w:eastAsiaTheme="minorEastAsia" w:cstheme="minorEastAsia"/>
          <w:kern w:val="21"/>
          <w:sz w:val="21"/>
          <w:szCs w:val="21"/>
        </w:rPr>
        <w:t>本条规定了水轮机/水泵水轮机制造及安装质量检测的主要项目，若上述检测涉及设备制造中的质量问题，可增加对设备制造阶段的原材料、部（构）件进行检测，如材料力学性能、焊缝质量、转轮几何尺寸和残余应力等的检测。</w:t>
      </w:r>
    </w:p>
    <w:p>
      <w:pPr>
        <w:pStyle w:val="6"/>
        <w:spacing w:before="146" w:line="360" w:lineRule="auto"/>
        <w:ind w:left="2" w:right="6" w:firstLine="420" w:firstLineChars="200"/>
        <w:rPr>
          <w:rFonts w:hint="eastAsia" w:asciiTheme="minorEastAsia" w:hAnsiTheme="minorEastAsia" w:eastAsiaTheme="minorEastAsia" w:cstheme="minorEastAsia"/>
          <w:kern w:val="21"/>
          <w:sz w:val="21"/>
          <w:szCs w:val="21"/>
        </w:rPr>
      </w:pPr>
      <w:r>
        <w:rPr>
          <w:rFonts w:hint="eastAsia" w:ascii="黑体" w:hAnsi="黑体" w:eastAsia="黑体" w:cs="黑体"/>
          <w:sz w:val="21"/>
          <w:szCs w:val="22"/>
        </w:rPr>
        <w:t>2</w:t>
      </w:r>
      <w:r>
        <w:rPr>
          <w:rFonts w:hint="eastAsia" w:ascii="黑体" w:hAnsi="黑体" w:eastAsia="黑体" w:cs="黑体"/>
          <w:sz w:val="21"/>
          <w:szCs w:val="21"/>
          <w:lang w:eastAsia="zh-CN"/>
        </w:rPr>
        <w:t>【</w:t>
      </w:r>
      <w:r>
        <w:rPr>
          <w:rFonts w:hint="eastAsia" w:ascii="黑体" w:hAnsi="黑体" w:eastAsia="黑体" w:cs="黑体"/>
          <w:sz w:val="21"/>
          <w:szCs w:val="21"/>
        </w:rPr>
        <w:t>修订</w:t>
      </w:r>
      <w:r>
        <w:rPr>
          <w:rFonts w:hint="eastAsia" w:ascii="黑体" w:hAnsi="黑体" w:eastAsia="黑体" w:cs="黑体"/>
          <w:sz w:val="21"/>
          <w:szCs w:val="21"/>
          <w:lang w:eastAsia="zh-CN"/>
        </w:rPr>
        <w:t>】</w:t>
      </w:r>
      <w:r>
        <w:rPr>
          <w:rFonts w:hint="eastAsia" w:ascii="黑体" w:hAnsi="黑体" w:eastAsia="黑体" w:cs="黑体"/>
          <w:sz w:val="21"/>
          <w:szCs w:val="22"/>
        </w:rPr>
        <w:t xml:space="preserve"> </w:t>
      </w:r>
      <w:r>
        <w:rPr>
          <w:rFonts w:hint="eastAsia" w:asciiTheme="minorEastAsia" w:hAnsiTheme="minorEastAsia" w:eastAsiaTheme="minorEastAsia" w:cstheme="minorEastAsia"/>
          <w:kern w:val="21"/>
          <w:sz w:val="21"/>
          <w:szCs w:val="21"/>
        </w:rPr>
        <w:t xml:space="preserve"> 水头/扬程、流量、出力（轴功率）、顶盖振动、水导摆度、压力脉动、转速、噪声为必检项目，必要时可增加水轮机效率和耗水率、空蚀和磨蚀、导叶漏水量检测，空蚀和磨蚀检测适用于运行年久的机组安全性检测。</w:t>
      </w:r>
    </w:p>
    <w:p>
      <w:pPr>
        <w:pStyle w:val="6"/>
        <w:spacing w:before="146" w:line="360" w:lineRule="auto"/>
        <w:ind w:left="2" w:right="6" w:firstLine="420" w:firstLineChars="200"/>
        <w:rPr>
          <w:rFonts w:hint="eastAsia" w:asciiTheme="minorEastAsia" w:hAnsiTheme="minorEastAsia" w:eastAsiaTheme="minorEastAsia" w:cstheme="minorEastAsia"/>
          <w:kern w:val="21"/>
          <w:sz w:val="21"/>
          <w:szCs w:val="21"/>
        </w:rPr>
      </w:pPr>
      <w:r>
        <w:rPr>
          <w:rFonts w:hint="eastAsia" w:ascii="黑体" w:hAnsi="黑体" w:eastAsia="黑体" w:cs="黑体"/>
          <w:sz w:val="21"/>
          <w:szCs w:val="22"/>
        </w:rPr>
        <w:t>3</w:t>
      </w:r>
      <w:r>
        <w:rPr>
          <w:rFonts w:hint="eastAsia" w:ascii="黑体" w:hAnsi="黑体" w:eastAsia="黑体" w:cs="黑体"/>
          <w:spacing w:val="20"/>
          <w:position w:val="-2"/>
          <w:sz w:val="21"/>
          <w:szCs w:val="21"/>
          <w:lang w:eastAsia="zh-CN"/>
        </w:rPr>
        <w:t>【</w:t>
      </w:r>
      <w:r>
        <w:rPr>
          <w:rFonts w:hint="eastAsia" w:ascii="黑体" w:hAnsi="黑体" w:eastAsia="黑体" w:cs="黑体"/>
          <w:spacing w:val="20"/>
          <w:position w:val="-2"/>
          <w:sz w:val="21"/>
          <w:szCs w:val="21"/>
        </w:rPr>
        <w:t>新增</w:t>
      </w:r>
      <w:r>
        <w:rPr>
          <w:rFonts w:hint="eastAsia" w:ascii="黑体" w:hAnsi="黑体" w:eastAsia="黑体" w:cs="黑体"/>
          <w:spacing w:val="20"/>
          <w:position w:val="-2"/>
          <w:sz w:val="21"/>
          <w:szCs w:val="21"/>
          <w:lang w:eastAsia="zh-CN"/>
        </w:rPr>
        <w:t>】</w:t>
      </w:r>
      <w:r>
        <w:rPr>
          <w:rFonts w:hint="eastAsia" w:ascii="黑体" w:hAnsi="黑体" w:eastAsia="黑体" w:cs="黑体"/>
          <w:sz w:val="21"/>
          <w:szCs w:val="22"/>
        </w:rPr>
        <w:t xml:space="preserve"> </w:t>
      </w:r>
      <w:r>
        <w:rPr>
          <w:rFonts w:hint="eastAsia" w:asciiTheme="minorEastAsia" w:hAnsiTheme="minorEastAsia" w:eastAsiaTheme="minorEastAsia" w:cstheme="minorEastAsia"/>
          <w:kern w:val="21"/>
          <w:sz w:val="21"/>
          <w:szCs w:val="21"/>
        </w:rPr>
        <w:t xml:space="preserve"> 本条规定了水泵制造及安装质量检测的主要项目，若上述检测涉及设备制造中的质量问题，可增加对设备制造阶段的原材料、部（构）件进行检测，如材料力学性能、焊缝质量等的检测。</w:t>
      </w:r>
    </w:p>
    <w:p>
      <w:pPr>
        <w:pStyle w:val="6"/>
        <w:spacing w:before="146" w:line="360" w:lineRule="auto"/>
        <w:ind w:left="2" w:right="6" w:firstLine="420" w:firstLineChars="200"/>
        <w:rPr>
          <w:rFonts w:hint="eastAsia" w:asciiTheme="minorEastAsia" w:hAnsiTheme="minorEastAsia" w:eastAsiaTheme="minorEastAsia" w:cstheme="minorEastAsia"/>
          <w:kern w:val="21"/>
          <w:sz w:val="21"/>
          <w:szCs w:val="21"/>
        </w:rPr>
      </w:pPr>
      <w:r>
        <w:rPr>
          <w:rFonts w:hint="eastAsia" w:ascii="黑体" w:hAnsi="黑体" w:eastAsia="黑体" w:cs="黑体"/>
          <w:sz w:val="21"/>
          <w:szCs w:val="22"/>
        </w:rPr>
        <w:t>4</w:t>
      </w:r>
      <w:r>
        <w:rPr>
          <w:rFonts w:hint="eastAsia" w:ascii="黑体" w:hAnsi="黑体" w:eastAsia="黑体" w:cs="黑体"/>
          <w:spacing w:val="20"/>
          <w:position w:val="-2"/>
          <w:sz w:val="21"/>
          <w:szCs w:val="21"/>
          <w:lang w:eastAsia="zh-CN"/>
        </w:rPr>
        <w:t>【</w:t>
      </w:r>
      <w:r>
        <w:rPr>
          <w:rFonts w:hint="eastAsia" w:ascii="黑体" w:hAnsi="黑体" w:eastAsia="黑体" w:cs="黑体"/>
          <w:spacing w:val="20"/>
          <w:position w:val="-2"/>
          <w:sz w:val="21"/>
          <w:szCs w:val="21"/>
        </w:rPr>
        <w:t>新增</w:t>
      </w:r>
      <w:r>
        <w:rPr>
          <w:rFonts w:hint="eastAsia" w:ascii="黑体" w:hAnsi="黑体" w:eastAsia="黑体" w:cs="黑体"/>
          <w:spacing w:val="20"/>
          <w:position w:val="-2"/>
          <w:sz w:val="21"/>
          <w:szCs w:val="21"/>
          <w:lang w:eastAsia="zh-CN"/>
        </w:rPr>
        <w:t>】</w:t>
      </w:r>
      <w:r>
        <w:rPr>
          <w:rFonts w:hint="eastAsia" w:ascii="黑体" w:hAnsi="黑体" w:eastAsia="黑体" w:cs="黑体"/>
          <w:sz w:val="21"/>
          <w:szCs w:val="22"/>
        </w:rPr>
        <w:t xml:space="preserve"> </w:t>
      </w:r>
      <w:r>
        <w:rPr>
          <w:rFonts w:hint="eastAsia" w:asciiTheme="minorEastAsia" w:hAnsiTheme="minorEastAsia" w:eastAsiaTheme="minorEastAsia" w:cstheme="minorEastAsia"/>
          <w:kern w:val="21"/>
          <w:sz w:val="21"/>
          <w:szCs w:val="21"/>
        </w:rPr>
        <w:t xml:space="preserve"> 水泵效率为泵输出功率除以泵轴功率，即泵机组效率乘以电机效率。水泵效率测试需测量扬程、流量、电动机输入功率、电机效率，根据水泵效率计算公式计算得到。</w:t>
      </w:r>
    </w:p>
    <w:p>
      <w:pPr>
        <w:pStyle w:val="6"/>
        <w:spacing w:before="38" w:line="360" w:lineRule="auto"/>
        <w:ind w:right="29" w:firstLine="420" w:firstLineChars="200"/>
        <w:rPr>
          <w:rFonts w:hint="eastAsia" w:asciiTheme="minorEastAsia" w:hAnsiTheme="minorEastAsia" w:eastAsiaTheme="minorEastAsia" w:cstheme="minorEastAsia"/>
          <w:kern w:val="21"/>
          <w:sz w:val="21"/>
          <w:szCs w:val="21"/>
        </w:rPr>
      </w:pPr>
      <w:r>
        <w:rPr>
          <w:rFonts w:hint="eastAsia" w:asciiTheme="minorEastAsia" w:hAnsiTheme="minorEastAsia" w:eastAsiaTheme="minorEastAsia" w:cstheme="minorEastAsia"/>
          <w:kern w:val="21"/>
          <w:sz w:val="21"/>
          <w:szCs w:val="21"/>
        </w:rPr>
        <w:t>计算扬程时，泵站水位测量以标准水准点为基础。如果泵站兴建时在进出水池附近设有固定的水准点，可直接利用；如果没有水准点，可选定一个参考点。进水池和出水池均按参考点作相对校核，施测时应按四等水准测量要求进行。</w:t>
      </w:r>
    </w:p>
    <w:p>
      <w:pPr>
        <w:pStyle w:val="6"/>
        <w:spacing w:before="146" w:line="360" w:lineRule="auto"/>
        <w:ind w:right="6" w:firstLine="420" w:firstLineChars="200"/>
        <w:rPr>
          <w:rFonts w:hint="eastAsia" w:asciiTheme="minorEastAsia" w:hAnsiTheme="minorEastAsia" w:eastAsiaTheme="minorEastAsia" w:cstheme="minorEastAsia"/>
          <w:kern w:val="21"/>
          <w:sz w:val="21"/>
          <w:szCs w:val="21"/>
        </w:rPr>
      </w:pPr>
      <w:r>
        <w:rPr>
          <w:rFonts w:hint="eastAsia" w:ascii="黑体" w:hAnsi="黑体" w:eastAsia="黑体" w:cs="黑体"/>
          <w:sz w:val="21"/>
          <w:szCs w:val="22"/>
        </w:rPr>
        <w:t xml:space="preserve">5 </w:t>
      </w:r>
      <w:r>
        <w:rPr>
          <w:rFonts w:hint="eastAsia" w:asciiTheme="minorEastAsia" w:hAnsiTheme="minorEastAsia" w:eastAsiaTheme="minorEastAsia" w:cstheme="minorEastAsia"/>
          <w:kern w:val="21"/>
          <w:sz w:val="21"/>
          <w:szCs w:val="21"/>
        </w:rPr>
        <w:t xml:space="preserve"> 调速系统动态特性包括开停机试验、增减负荷试验、甩负荷试验、空载扰动试验。</w:t>
      </w:r>
    </w:p>
    <w:p>
      <w:pPr>
        <w:pStyle w:val="6"/>
        <w:spacing w:before="146" w:line="360" w:lineRule="auto"/>
        <w:ind w:right="6" w:firstLine="420" w:firstLineChars="200"/>
        <w:rPr>
          <w:rFonts w:hint="eastAsia" w:asciiTheme="minorEastAsia" w:hAnsiTheme="minorEastAsia" w:eastAsiaTheme="minorEastAsia" w:cstheme="minorEastAsia"/>
          <w:kern w:val="21"/>
          <w:sz w:val="21"/>
          <w:szCs w:val="21"/>
        </w:rPr>
      </w:pPr>
      <w:r>
        <w:rPr>
          <w:rFonts w:hint="eastAsia" w:ascii="黑体" w:hAnsi="黑体" w:eastAsia="黑体" w:cs="黑体"/>
          <w:sz w:val="21"/>
          <w:szCs w:val="22"/>
        </w:rPr>
        <w:t>7</w:t>
      </w:r>
      <w:r>
        <w:rPr>
          <w:rFonts w:hint="eastAsia" w:ascii="黑体" w:hAnsi="黑体" w:eastAsia="黑体" w:cs="黑体"/>
          <w:spacing w:val="20"/>
          <w:position w:val="-2"/>
          <w:sz w:val="21"/>
          <w:szCs w:val="21"/>
          <w:lang w:eastAsia="zh-CN"/>
        </w:rPr>
        <w:t>【</w:t>
      </w:r>
      <w:r>
        <w:rPr>
          <w:rFonts w:hint="eastAsia" w:ascii="黑体" w:hAnsi="黑体" w:eastAsia="黑体" w:cs="黑体"/>
          <w:spacing w:val="20"/>
          <w:position w:val="-2"/>
          <w:sz w:val="21"/>
          <w:szCs w:val="21"/>
        </w:rPr>
        <w:t>新增</w:t>
      </w:r>
      <w:r>
        <w:rPr>
          <w:rFonts w:hint="eastAsia" w:ascii="黑体" w:hAnsi="黑体" w:eastAsia="黑体" w:cs="黑体"/>
          <w:spacing w:val="20"/>
          <w:position w:val="-2"/>
          <w:sz w:val="21"/>
          <w:szCs w:val="21"/>
          <w:lang w:eastAsia="zh-CN"/>
        </w:rPr>
        <w:t>】</w:t>
      </w:r>
      <w:r>
        <w:rPr>
          <w:rFonts w:hint="eastAsia" w:asciiTheme="minorEastAsia" w:hAnsiTheme="minorEastAsia" w:eastAsiaTheme="minorEastAsia" w:cstheme="minorEastAsia"/>
          <w:kern w:val="21"/>
          <w:sz w:val="21"/>
          <w:szCs w:val="21"/>
        </w:rPr>
        <w:t xml:space="preserve">  机组启动试运行试验在水轮发电机组及相关机电设备安装完工检验合格后进行。</w:t>
      </w:r>
    </w:p>
    <w:p>
      <w:pPr>
        <w:pStyle w:val="6"/>
        <w:spacing w:before="146" w:line="360" w:lineRule="auto"/>
        <w:ind w:right="6" w:firstLine="420" w:firstLineChars="200"/>
        <w:rPr>
          <w:rFonts w:hint="eastAsia" w:asciiTheme="minorEastAsia" w:hAnsiTheme="minorEastAsia" w:eastAsiaTheme="minorEastAsia" w:cstheme="minorEastAsia"/>
          <w:kern w:val="21"/>
          <w:sz w:val="21"/>
          <w:szCs w:val="21"/>
        </w:rPr>
      </w:pPr>
      <w:r>
        <w:rPr>
          <w:rFonts w:hint="eastAsia" w:asciiTheme="minorEastAsia" w:hAnsiTheme="minorEastAsia" w:eastAsiaTheme="minorEastAsia" w:cstheme="minorEastAsia"/>
          <w:kern w:val="21"/>
          <w:sz w:val="21"/>
          <w:szCs w:val="21"/>
        </w:rPr>
        <w:t>转桨式水轮机宜进行相对效率试验，以便用于修正导叶开口与叶片转角间的协联关系。其他型式水轮机，可与业主协商进行相对效率试验或绝对效率试验。</w:t>
      </w:r>
    </w:p>
    <w:p>
      <w:pPr>
        <w:pStyle w:val="6"/>
        <w:spacing w:before="38" w:line="360" w:lineRule="auto"/>
        <w:ind w:right="29" w:firstLine="420" w:firstLineChars="200"/>
        <w:rPr>
          <w:rFonts w:hint="eastAsia" w:asciiTheme="minorEastAsia" w:hAnsiTheme="minorEastAsia" w:eastAsiaTheme="minorEastAsia" w:cstheme="minorEastAsia"/>
          <w:kern w:val="21"/>
          <w:sz w:val="21"/>
          <w:szCs w:val="21"/>
        </w:rPr>
      </w:pPr>
      <w:r>
        <w:rPr>
          <w:rFonts w:hint="eastAsia" w:ascii="黑体" w:hAnsi="黑体" w:eastAsia="黑体" w:cs="黑体"/>
          <w:sz w:val="21"/>
          <w:szCs w:val="22"/>
        </w:rPr>
        <w:t>8</w:t>
      </w:r>
      <w:r>
        <w:rPr>
          <w:rFonts w:hint="eastAsia" w:ascii="黑体" w:hAnsi="黑体" w:eastAsia="黑体" w:cs="黑体"/>
          <w:lang w:eastAsia="zh-CN"/>
        </w:rPr>
        <w:t>【</w:t>
      </w:r>
      <w:r>
        <w:rPr>
          <w:rFonts w:hint="eastAsia" w:ascii="黑体" w:hAnsi="黑体" w:eastAsia="黑体" w:cs="黑体"/>
        </w:rPr>
        <w:t>修订</w:t>
      </w:r>
      <w:r>
        <w:rPr>
          <w:rFonts w:hint="eastAsia" w:ascii="黑体" w:hAnsi="黑体" w:eastAsia="黑体" w:cs="黑体"/>
          <w:lang w:eastAsia="zh-CN"/>
        </w:rPr>
        <w:t>】</w:t>
      </w:r>
      <w:r>
        <w:rPr>
          <w:rFonts w:hint="eastAsia" w:ascii="黑体" w:hAnsi="黑体" w:eastAsia="黑体" w:cs="黑体"/>
          <w:sz w:val="21"/>
          <w:szCs w:val="22"/>
        </w:rPr>
        <w:t xml:space="preserve"> </w:t>
      </w:r>
      <w:r>
        <w:rPr>
          <w:rFonts w:hint="eastAsia" w:asciiTheme="minorEastAsia" w:hAnsiTheme="minorEastAsia" w:eastAsiaTheme="minorEastAsia" w:cstheme="minorEastAsia"/>
          <w:kern w:val="21"/>
          <w:sz w:val="21"/>
          <w:szCs w:val="21"/>
        </w:rPr>
        <w:t xml:space="preserve"> 泵站机组装置效率是反映抽水设备及泵站各部分效率的综合指标，是泵站更新改造或拆除重建必须进行的测试项目。本条中所列出的前四项均是测算泵站机组装置效率的必要参数。</w:t>
      </w:r>
    </w:p>
    <w:p>
      <w:pPr>
        <w:pStyle w:val="6"/>
        <w:spacing w:before="38" w:line="360" w:lineRule="auto"/>
        <w:ind w:right="29" w:firstLine="420" w:firstLineChars="200"/>
        <w:rPr>
          <w:rFonts w:hint="eastAsia" w:asciiTheme="minorEastAsia" w:hAnsiTheme="minorEastAsia" w:eastAsiaTheme="minorEastAsia" w:cstheme="minorEastAsia"/>
          <w:kern w:val="21"/>
          <w:sz w:val="21"/>
          <w:szCs w:val="21"/>
        </w:rPr>
      </w:pPr>
      <w:r>
        <w:rPr>
          <w:rFonts w:hint="eastAsia" w:asciiTheme="minorEastAsia" w:hAnsiTheme="minorEastAsia" w:eastAsiaTheme="minorEastAsia" w:cstheme="minorEastAsia"/>
          <w:kern w:val="21"/>
          <w:sz w:val="21"/>
          <w:szCs w:val="21"/>
        </w:rPr>
        <w:t>水泵机组装置效率为泵输出功率除以电动机输入功率，需要测量的参数包括电动机输入功率、水泵流量与扬程,根据泵机组效率计算公式计算得到。</w:t>
      </w:r>
    </w:p>
    <w:p>
      <w:pPr>
        <w:pStyle w:val="6"/>
        <w:spacing w:before="146"/>
        <w:ind w:left="2" w:right="6"/>
        <w:rPr>
          <w:rFonts w:hint="eastAsia" w:ascii="黑体" w:hAnsi="黑体" w:eastAsia="黑体" w:cs="黑体"/>
          <w:sz w:val="21"/>
          <w:szCs w:val="22"/>
        </w:rPr>
      </w:pPr>
      <w:r>
        <w:rPr>
          <w:rFonts w:hint="eastAsia" w:ascii="黑体" w:hAnsi="黑体" w:eastAsia="黑体" w:cs="黑体"/>
          <w:sz w:val="21"/>
          <w:szCs w:val="22"/>
        </w:rPr>
        <w:t>8.2.4</w:t>
      </w:r>
      <w:r>
        <w:rPr>
          <w:rFonts w:hint="eastAsia" w:ascii="黑体" w:hAnsi="黑体" w:eastAsia="黑体" w:cs="黑体"/>
          <w:spacing w:val="20"/>
          <w:position w:val="-2"/>
          <w:sz w:val="21"/>
          <w:szCs w:val="21"/>
          <w:lang w:eastAsia="zh-CN"/>
        </w:rPr>
        <w:t>【</w:t>
      </w:r>
      <w:r>
        <w:rPr>
          <w:rFonts w:hint="eastAsia" w:ascii="黑体" w:hAnsi="黑体" w:eastAsia="黑体" w:cs="黑体"/>
          <w:spacing w:val="20"/>
          <w:position w:val="-2"/>
          <w:sz w:val="21"/>
          <w:szCs w:val="21"/>
        </w:rPr>
        <w:t>新增</w:t>
      </w:r>
      <w:r>
        <w:rPr>
          <w:rFonts w:hint="eastAsia" w:ascii="黑体" w:hAnsi="黑体" w:eastAsia="黑体" w:cs="黑体"/>
          <w:spacing w:val="20"/>
          <w:position w:val="-2"/>
          <w:sz w:val="21"/>
          <w:szCs w:val="21"/>
          <w:lang w:eastAsia="zh-CN"/>
        </w:rPr>
        <w:t>】</w:t>
      </w:r>
    </w:p>
    <w:p>
      <w:pPr>
        <w:pStyle w:val="6"/>
        <w:spacing w:line="360" w:lineRule="auto"/>
        <w:ind w:firstLine="420" w:firstLineChars="200"/>
        <w:rPr>
          <w:rFonts w:hint="eastAsia" w:ascii="黑体" w:hAnsi="黑体" w:eastAsia="黑体" w:cstheme="minorEastAsia"/>
          <w:kern w:val="21"/>
          <w:sz w:val="21"/>
          <w:szCs w:val="21"/>
        </w:rPr>
      </w:pPr>
      <w:r>
        <w:rPr>
          <w:rFonts w:hint="eastAsia" w:ascii="黑体" w:hAnsi="黑体" w:eastAsia="黑体" w:cstheme="minorEastAsia"/>
          <w:kern w:val="21"/>
          <w:sz w:val="21"/>
          <w:szCs w:val="21"/>
        </w:rPr>
        <w:t>1</w:t>
      </w:r>
    </w:p>
    <w:p>
      <w:pPr>
        <w:pStyle w:val="6"/>
        <w:spacing w:line="360" w:lineRule="auto"/>
        <w:ind w:left="630" w:leftChars="300" w:firstLine="200"/>
        <w:rPr>
          <w:rFonts w:hint="eastAsia" w:asciiTheme="minorEastAsia" w:hAnsiTheme="minorEastAsia" w:eastAsiaTheme="minorEastAsia" w:cstheme="minorEastAsia"/>
          <w:kern w:val="21"/>
          <w:sz w:val="21"/>
          <w:szCs w:val="21"/>
        </w:rPr>
      </w:pPr>
      <w:r>
        <w:rPr>
          <w:rFonts w:hint="eastAsia" w:ascii="黑体" w:hAnsi="黑体" w:eastAsia="黑体" w:cstheme="minorEastAsia"/>
          <w:kern w:val="21"/>
          <w:sz w:val="21"/>
          <w:szCs w:val="21"/>
        </w:rPr>
        <w:t>1)</w:t>
      </w:r>
      <w:r>
        <w:rPr>
          <w:rFonts w:hint="eastAsia" w:asciiTheme="minorEastAsia" w:hAnsiTheme="minorEastAsia" w:eastAsiaTheme="minorEastAsia" w:cstheme="minorEastAsia"/>
          <w:kern w:val="21"/>
          <w:sz w:val="21"/>
          <w:szCs w:val="21"/>
        </w:rPr>
        <w:t xml:space="preserve">  通流部件几何型线及尺寸：具体见GB/T 15613。</w:t>
      </w:r>
    </w:p>
    <w:p>
      <w:pPr>
        <w:pStyle w:val="6"/>
        <w:spacing w:line="360" w:lineRule="auto"/>
        <w:ind w:left="630" w:leftChars="300" w:firstLine="200"/>
        <w:rPr>
          <w:rFonts w:hint="eastAsia" w:asciiTheme="minorEastAsia" w:hAnsiTheme="minorEastAsia" w:eastAsiaTheme="minorEastAsia" w:cstheme="minorEastAsia"/>
          <w:kern w:val="21"/>
          <w:sz w:val="21"/>
          <w:szCs w:val="21"/>
        </w:rPr>
      </w:pPr>
      <w:r>
        <w:rPr>
          <w:rFonts w:hint="eastAsia" w:ascii="黑体" w:hAnsi="黑体" w:eastAsia="黑体" w:cstheme="minorEastAsia"/>
          <w:kern w:val="21"/>
          <w:sz w:val="21"/>
          <w:szCs w:val="21"/>
        </w:rPr>
        <w:t>5)</w:t>
      </w:r>
      <w:r>
        <w:rPr>
          <w:rFonts w:hint="eastAsia" w:asciiTheme="minorEastAsia" w:hAnsiTheme="minorEastAsia" w:eastAsiaTheme="minorEastAsia" w:cstheme="minorEastAsia"/>
          <w:kern w:val="21"/>
          <w:sz w:val="21"/>
          <w:szCs w:val="21"/>
        </w:rPr>
        <w:t xml:space="preserve">  平面度、圆度/同轴度、垂直度、中心偏差、高程、止漏环间隙：具体见SL 636。</w:t>
      </w:r>
    </w:p>
    <w:p>
      <w:pPr>
        <w:pStyle w:val="6"/>
        <w:spacing w:line="360" w:lineRule="auto"/>
        <w:ind w:left="630" w:leftChars="300" w:firstLine="200"/>
        <w:rPr>
          <w:rFonts w:hint="eastAsia" w:asciiTheme="minorEastAsia" w:hAnsiTheme="minorEastAsia" w:eastAsiaTheme="minorEastAsia" w:cstheme="minorEastAsia"/>
          <w:kern w:val="21"/>
          <w:sz w:val="21"/>
          <w:szCs w:val="21"/>
        </w:rPr>
      </w:pPr>
      <w:r>
        <w:rPr>
          <w:rFonts w:hint="eastAsia" w:ascii="黑体" w:hAnsi="黑体" w:eastAsia="黑体" w:cstheme="minorEastAsia"/>
          <w:kern w:val="21"/>
          <w:sz w:val="21"/>
          <w:szCs w:val="21"/>
        </w:rPr>
        <w:t>6)</w:t>
      </w:r>
      <w:r>
        <w:rPr>
          <w:rFonts w:hint="eastAsia" w:asciiTheme="minorEastAsia" w:hAnsiTheme="minorEastAsia" w:eastAsiaTheme="minorEastAsia" w:cstheme="minorEastAsia"/>
          <w:kern w:val="21"/>
          <w:sz w:val="21"/>
          <w:szCs w:val="21"/>
        </w:rPr>
        <w:t xml:space="preserve">  残余应力：具体见SL 499或GB/T 24179。</w:t>
      </w:r>
    </w:p>
    <w:p>
      <w:pPr>
        <w:pStyle w:val="6"/>
        <w:spacing w:line="360" w:lineRule="auto"/>
        <w:ind w:firstLine="420" w:firstLineChars="200"/>
        <w:rPr>
          <w:rFonts w:hint="eastAsia" w:ascii="黑体" w:hAnsi="黑体" w:eastAsia="黑体" w:cstheme="minorEastAsia"/>
          <w:kern w:val="21"/>
          <w:sz w:val="21"/>
          <w:szCs w:val="21"/>
        </w:rPr>
      </w:pPr>
      <w:r>
        <w:rPr>
          <w:rFonts w:hint="eastAsia" w:ascii="黑体" w:hAnsi="黑体" w:eastAsia="黑体" w:cstheme="minorEastAsia"/>
          <w:kern w:val="21"/>
          <w:sz w:val="21"/>
          <w:szCs w:val="21"/>
        </w:rPr>
        <w:t>2</w:t>
      </w:r>
    </w:p>
    <w:p>
      <w:pPr>
        <w:pStyle w:val="6"/>
        <w:spacing w:line="360" w:lineRule="auto"/>
        <w:ind w:left="630" w:leftChars="300" w:firstLine="200"/>
        <w:rPr>
          <w:rFonts w:hint="eastAsia" w:asciiTheme="minorEastAsia" w:hAnsiTheme="minorEastAsia" w:eastAsiaTheme="minorEastAsia" w:cstheme="minorEastAsia"/>
          <w:kern w:val="21"/>
          <w:sz w:val="21"/>
          <w:szCs w:val="21"/>
        </w:rPr>
      </w:pPr>
      <w:r>
        <w:rPr>
          <w:rFonts w:hint="eastAsia" w:ascii="黑体" w:hAnsi="黑体" w:eastAsia="黑体" w:cstheme="minorEastAsia"/>
          <w:kern w:val="21"/>
          <w:sz w:val="21"/>
          <w:szCs w:val="21"/>
        </w:rPr>
        <w:t>2)</w:t>
      </w:r>
      <w:r>
        <w:rPr>
          <w:rFonts w:hint="eastAsia" w:asciiTheme="minorEastAsia" w:hAnsiTheme="minorEastAsia" w:eastAsiaTheme="minorEastAsia" w:cstheme="minorEastAsia"/>
          <w:kern w:val="21"/>
          <w:sz w:val="21"/>
          <w:szCs w:val="21"/>
        </w:rPr>
        <w:t xml:space="preserve">  顶盖振动：具体见GB/T 17189。</w:t>
      </w:r>
    </w:p>
    <w:p>
      <w:pPr>
        <w:pStyle w:val="6"/>
        <w:spacing w:line="360" w:lineRule="auto"/>
        <w:ind w:left="630" w:leftChars="300" w:firstLine="200"/>
        <w:rPr>
          <w:rFonts w:hint="eastAsia" w:asciiTheme="minorEastAsia" w:hAnsiTheme="minorEastAsia" w:eastAsiaTheme="minorEastAsia" w:cstheme="minorEastAsia"/>
          <w:kern w:val="21"/>
          <w:sz w:val="21"/>
          <w:szCs w:val="21"/>
        </w:rPr>
      </w:pPr>
      <w:r>
        <w:rPr>
          <w:rFonts w:hint="eastAsia" w:ascii="黑体" w:hAnsi="黑体" w:eastAsia="黑体" w:cstheme="minorEastAsia"/>
          <w:kern w:val="21"/>
          <w:sz w:val="21"/>
          <w:szCs w:val="21"/>
        </w:rPr>
        <w:t>3)</w:t>
      </w:r>
      <w:r>
        <w:rPr>
          <w:rFonts w:hint="eastAsia" w:asciiTheme="minorEastAsia" w:hAnsiTheme="minorEastAsia" w:eastAsiaTheme="minorEastAsia" w:cstheme="minorEastAsia"/>
          <w:kern w:val="21"/>
          <w:sz w:val="21"/>
          <w:szCs w:val="21"/>
        </w:rPr>
        <w:t xml:space="preserve">  水导摆度：具体见GB/T 17189。</w:t>
      </w:r>
    </w:p>
    <w:p>
      <w:pPr>
        <w:pStyle w:val="6"/>
        <w:spacing w:line="360" w:lineRule="auto"/>
        <w:ind w:left="630" w:leftChars="300" w:firstLine="200"/>
        <w:rPr>
          <w:rFonts w:hint="eastAsia" w:asciiTheme="minorEastAsia" w:hAnsiTheme="minorEastAsia" w:eastAsiaTheme="minorEastAsia" w:cstheme="minorEastAsia"/>
          <w:kern w:val="21"/>
          <w:sz w:val="21"/>
          <w:szCs w:val="21"/>
        </w:rPr>
      </w:pPr>
      <w:r>
        <w:rPr>
          <w:rFonts w:hint="eastAsia" w:ascii="黑体" w:hAnsi="黑体" w:eastAsia="黑体" w:cstheme="minorEastAsia"/>
          <w:kern w:val="21"/>
          <w:sz w:val="21"/>
          <w:szCs w:val="21"/>
        </w:rPr>
        <w:t>4)</w:t>
      </w:r>
      <w:r>
        <w:rPr>
          <w:rFonts w:hint="eastAsia" w:asciiTheme="minorEastAsia" w:hAnsiTheme="minorEastAsia" w:eastAsiaTheme="minorEastAsia" w:cstheme="minorEastAsia"/>
          <w:kern w:val="21"/>
          <w:sz w:val="21"/>
          <w:szCs w:val="21"/>
        </w:rPr>
        <w:t xml:space="preserve">  压力脉动：具体见GB/T 17189。</w:t>
      </w:r>
    </w:p>
    <w:p>
      <w:pPr>
        <w:pStyle w:val="6"/>
        <w:spacing w:line="360" w:lineRule="auto"/>
        <w:ind w:left="1249" w:leftChars="395" w:hanging="420"/>
        <w:rPr>
          <w:rFonts w:hint="eastAsia" w:asciiTheme="minorEastAsia" w:hAnsiTheme="minorEastAsia" w:eastAsiaTheme="minorEastAsia" w:cstheme="minorEastAsia"/>
          <w:kern w:val="21"/>
          <w:sz w:val="21"/>
          <w:szCs w:val="21"/>
        </w:rPr>
      </w:pPr>
      <w:r>
        <w:rPr>
          <w:rFonts w:hint="eastAsia" w:ascii="黑体" w:hAnsi="黑体" w:eastAsia="黑体" w:cstheme="minorEastAsia"/>
          <w:kern w:val="21"/>
          <w:sz w:val="21"/>
          <w:szCs w:val="21"/>
        </w:rPr>
        <w:t>8)</w:t>
      </w:r>
      <w:r>
        <w:rPr>
          <w:rFonts w:hint="eastAsia" w:asciiTheme="minorEastAsia" w:hAnsiTheme="minorEastAsia" w:eastAsiaTheme="minorEastAsia" w:cstheme="minorEastAsia"/>
          <w:kern w:val="21"/>
          <w:sz w:val="21"/>
          <w:szCs w:val="21"/>
        </w:rPr>
        <w:t xml:space="preserve">  空蚀和磨蚀：反击式水轮机空蚀检测具体见GB/T 15469.1；水泵水轮机空蚀检测具体见GB/T 15469.2；冲击式水轮机空蚀检测具体见GB/T 19184；小型水轮机空蚀检测具体见GB/T 22140。反击式水轮机磨蚀检测应执行DL/T 444。</w:t>
      </w:r>
    </w:p>
    <w:p>
      <w:pPr>
        <w:pStyle w:val="6"/>
        <w:spacing w:line="360" w:lineRule="auto"/>
        <w:ind w:firstLine="420" w:firstLineChars="200"/>
        <w:rPr>
          <w:rFonts w:hint="eastAsia" w:ascii="黑体" w:hAnsi="黑体" w:eastAsia="黑体" w:cstheme="minorEastAsia"/>
          <w:kern w:val="21"/>
          <w:sz w:val="21"/>
          <w:szCs w:val="21"/>
        </w:rPr>
      </w:pPr>
      <w:r>
        <w:rPr>
          <w:rFonts w:hint="eastAsia" w:ascii="黑体" w:hAnsi="黑体" w:eastAsia="黑体" w:cstheme="minorEastAsia"/>
          <w:kern w:val="21"/>
          <w:sz w:val="21"/>
          <w:szCs w:val="21"/>
        </w:rPr>
        <w:t xml:space="preserve">3 </w:t>
      </w:r>
    </w:p>
    <w:p>
      <w:pPr>
        <w:pStyle w:val="6"/>
        <w:spacing w:line="360" w:lineRule="auto"/>
        <w:ind w:left="630" w:leftChars="300" w:firstLine="200"/>
        <w:rPr>
          <w:rFonts w:hint="eastAsia" w:asciiTheme="minorEastAsia" w:hAnsiTheme="minorEastAsia" w:eastAsiaTheme="minorEastAsia" w:cstheme="minorEastAsia"/>
          <w:kern w:val="21"/>
          <w:sz w:val="21"/>
          <w:szCs w:val="21"/>
        </w:rPr>
      </w:pPr>
      <w:r>
        <w:rPr>
          <w:rFonts w:hint="eastAsia" w:ascii="黑体" w:hAnsi="黑体" w:eastAsia="黑体" w:cstheme="minorEastAsia"/>
          <w:kern w:val="21"/>
          <w:sz w:val="21"/>
          <w:szCs w:val="21"/>
        </w:rPr>
        <w:t>3)</w:t>
      </w:r>
      <w:r>
        <w:rPr>
          <w:rFonts w:hint="eastAsia" w:asciiTheme="minorEastAsia" w:hAnsiTheme="minorEastAsia" w:eastAsiaTheme="minorEastAsia" w:cstheme="minorEastAsia"/>
          <w:kern w:val="21"/>
          <w:sz w:val="21"/>
          <w:szCs w:val="21"/>
        </w:rPr>
        <w:t xml:space="preserve">  振动：具体见GB/T 29531。</w:t>
      </w:r>
    </w:p>
    <w:p>
      <w:pPr>
        <w:pStyle w:val="6"/>
        <w:spacing w:line="360" w:lineRule="auto"/>
        <w:ind w:left="630" w:leftChars="300" w:firstLine="200"/>
        <w:rPr>
          <w:rFonts w:hint="eastAsia" w:asciiTheme="minorEastAsia" w:hAnsiTheme="minorEastAsia" w:eastAsiaTheme="minorEastAsia" w:cstheme="minorEastAsia"/>
          <w:kern w:val="21"/>
          <w:sz w:val="21"/>
          <w:szCs w:val="21"/>
        </w:rPr>
      </w:pPr>
      <w:r>
        <w:rPr>
          <w:rFonts w:hint="eastAsia" w:ascii="黑体" w:hAnsi="黑体" w:eastAsia="黑体" w:cstheme="minorEastAsia"/>
          <w:kern w:val="21"/>
          <w:sz w:val="21"/>
          <w:szCs w:val="21"/>
        </w:rPr>
        <w:t>5)</w:t>
      </w:r>
      <w:r>
        <w:rPr>
          <w:rFonts w:hint="eastAsia" w:asciiTheme="minorEastAsia" w:hAnsiTheme="minorEastAsia" w:eastAsiaTheme="minorEastAsia" w:cstheme="minorEastAsia"/>
          <w:kern w:val="21"/>
          <w:sz w:val="21"/>
          <w:szCs w:val="21"/>
        </w:rPr>
        <w:t xml:space="preserve">  压力脉动：具体见GB/T 17189。</w:t>
      </w:r>
    </w:p>
    <w:p>
      <w:pPr>
        <w:pStyle w:val="6"/>
        <w:spacing w:line="360" w:lineRule="auto"/>
        <w:ind w:firstLine="420" w:firstLineChars="200"/>
        <w:rPr>
          <w:rFonts w:hint="eastAsia" w:ascii="黑体" w:hAnsi="黑体" w:eastAsia="黑体" w:cstheme="minorEastAsia"/>
          <w:kern w:val="21"/>
          <w:sz w:val="21"/>
          <w:szCs w:val="21"/>
        </w:rPr>
      </w:pPr>
      <w:r>
        <w:rPr>
          <w:rFonts w:hint="eastAsia" w:ascii="黑体" w:hAnsi="黑体" w:eastAsia="黑体" w:cstheme="minorEastAsia"/>
          <w:kern w:val="21"/>
          <w:sz w:val="21"/>
          <w:szCs w:val="21"/>
        </w:rPr>
        <w:t xml:space="preserve">6 </w:t>
      </w:r>
    </w:p>
    <w:p>
      <w:pPr>
        <w:pStyle w:val="6"/>
        <w:spacing w:line="360" w:lineRule="auto"/>
        <w:ind w:left="630" w:leftChars="300" w:firstLine="200"/>
        <w:rPr>
          <w:rFonts w:hint="eastAsia" w:asciiTheme="minorEastAsia" w:hAnsiTheme="minorEastAsia" w:eastAsiaTheme="minorEastAsia" w:cstheme="minorEastAsia"/>
          <w:kern w:val="21"/>
          <w:sz w:val="21"/>
          <w:szCs w:val="21"/>
        </w:rPr>
      </w:pPr>
      <w:r>
        <w:rPr>
          <w:rFonts w:hint="eastAsia" w:ascii="黑体" w:hAnsi="黑体" w:eastAsia="黑体" w:cstheme="minorEastAsia"/>
          <w:kern w:val="21"/>
          <w:sz w:val="21"/>
          <w:szCs w:val="21"/>
        </w:rPr>
        <w:t>2)</w:t>
      </w:r>
      <w:r>
        <w:rPr>
          <w:rFonts w:hint="eastAsia" w:asciiTheme="minorEastAsia" w:hAnsiTheme="minorEastAsia" w:eastAsiaTheme="minorEastAsia" w:cstheme="minorEastAsia"/>
          <w:kern w:val="21"/>
          <w:sz w:val="21"/>
          <w:szCs w:val="21"/>
        </w:rPr>
        <w:t xml:space="preserve">  水轮机性能试验</w:t>
      </w:r>
    </w:p>
    <w:p>
      <w:pPr>
        <w:pStyle w:val="6"/>
        <w:spacing w:line="360" w:lineRule="auto"/>
        <w:ind w:left="840" w:leftChars="400" w:firstLine="200"/>
        <w:rPr>
          <w:rFonts w:hint="eastAsia" w:asciiTheme="minorEastAsia" w:hAnsiTheme="minorEastAsia" w:eastAsiaTheme="minorEastAsia" w:cstheme="minorEastAsia"/>
          <w:kern w:val="21"/>
          <w:sz w:val="21"/>
          <w:szCs w:val="21"/>
        </w:rPr>
      </w:pPr>
      <w:r>
        <w:rPr>
          <w:rFonts w:hint="eastAsia" w:ascii="黑体" w:hAnsi="黑体" w:eastAsia="黑体" w:cstheme="minorEastAsia"/>
          <w:kern w:val="21"/>
          <w:sz w:val="21"/>
          <w:szCs w:val="21"/>
        </w:rPr>
        <w:t xml:space="preserve">c） </w:t>
      </w:r>
      <w:r>
        <w:rPr>
          <w:rFonts w:hint="eastAsia" w:asciiTheme="minorEastAsia" w:hAnsiTheme="minorEastAsia" w:eastAsiaTheme="minorEastAsia" w:cstheme="minorEastAsia"/>
          <w:kern w:val="21"/>
          <w:sz w:val="21"/>
          <w:szCs w:val="21"/>
        </w:rPr>
        <w:t>振动、摆度、压力脉动：具体见GB/T 17189。</w:t>
      </w:r>
    </w:p>
    <w:p>
      <w:pPr>
        <w:pStyle w:val="6"/>
        <w:spacing w:line="360" w:lineRule="auto"/>
        <w:ind w:left="1479" w:leftChars="495" w:hanging="440"/>
        <w:rPr>
          <w:rFonts w:hint="eastAsia" w:asciiTheme="minorEastAsia" w:hAnsiTheme="minorEastAsia" w:eastAsiaTheme="minorEastAsia" w:cstheme="minorEastAsia"/>
          <w:kern w:val="21"/>
          <w:sz w:val="21"/>
          <w:szCs w:val="21"/>
        </w:rPr>
      </w:pPr>
      <w:r>
        <w:rPr>
          <w:rFonts w:hint="eastAsia" w:ascii="黑体" w:hAnsi="黑体" w:eastAsia="黑体" w:cstheme="minorEastAsia"/>
          <w:kern w:val="21"/>
          <w:sz w:val="21"/>
          <w:szCs w:val="21"/>
        </w:rPr>
        <w:t xml:space="preserve">e） </w:t>
      </w:r>
      <w:r>
        <w:rPr>
          <w:rFonts w:hint="eastAsia" w:asciiTheme="minorEastAsia" w:hAnsiTheme="minorEastAsia" w:eastAsiaTheme="minorEastAsia" w:cstheme="minorEastAsia"/>
          <w:kern w:val="21"/>
          <w:sz w:val="21"/>
          <w:szCs w:val="21"/>
        </w:rPr>
        <w:t>空蚀和磨蚀：反击式水轮机空蚀检测具体见GB/T 15469.1；水泵水轮机空蚀检测具体见GB/T 15469.2；冲击式水轮机空蚀检测具体见GB/T 19184；小型水轮机空蚀检测具体见GB/T 22140。反击式水轮机磨蚀检测应执行DL/T 444。</w:t>
      </w:r>
    </w:p>
    <w:p>
      <w:pPr>
        <w:pStyle w:val="6"/>
        <w:spacing w:line="360" w:lineRule="auto"/>
        <w:ind w:left="630" w:leftChars="300" w:firstLine="200"/>
        <w:rPr>
          <w:rFonts w:hint="eastAsia" w:asciiTheme="minorEastAsia" w:hAnsiTheme="minorEastAsia" w:eastAsiaTheme="minorEastAsia" w:cstheme="minorEastAsia"/>
          <w:kern w:val="21"/>
          <w:sz w:val="21"/>
          <w:szCs w:val="21"/>
        </w:rPr>
      </w:pPr>
      <w:r>
        <w:rPr>
          <w:rFonts w:hint="eastAsia" w:ascii="黑体" w:hAnsi="黑体" w:eastAsia="黑体" w:cstheme="minorEastAsia"/>
          <w:kern w:val="21"/>
          <w:sz w:val="21"/>
          <w:szCs w:val="21"/>
        </w:rPr>
        <w:t>3)</w:t>
      </w:r>
      <w:r>
        <w:rPr>
          <w:rFonts w:hint="eastAsia" w:asciiTheme="minorEastAsia" w:hAnsiTheme="minorEastAsia" w:eastAsiaTheme="minorEastAsia" w:cstheme="minorEastAsia"/>
          <w:kern w:val="21"/>
          <w:sz w:val="21"/>
          <w:szCs w:val="21"/>
        </w:rPr>
        <w:t xml:space="preserve">  水轮发电机性能试验</w:t>
      </w:r>
    </w:p>
    <w:p>
      <w:pPr>
        <w:pStyle w:val="6"/>
        <w:spacing w:line="360" w:lineRule="auto"/>
        <w:ind w:left="840" w:leftChars="400" w:firstLine="200"/>
        <w:rPr>
          <w:rFonts w:hint="eastAsia" w:ascii="黑体" w:hAnsi="黑体" w:eastAsia="黑体" w:cs="黑体"/>
          <w:sz w:val="21"/>
          <w:szCs w:val="22"/>
        </w:rPr>
      </w:pPr>
      <w:r>
        <w:rPr>
          <w:rFonts w:hint="eastAsia" w:ascii="黑体" w:hAnsi="黑体" w:eastAsia="黑体" w:cstheme="minorEastAsia"/>
          <w:kern w:val="21"/>
          <w:sz w:val="21"/>
          <w:szCs w:val="21"/>
        </w:rPr>
        <w:t xml:space="preserve">b） </w:t>
      </w:r>
      <w:r>
        <w:rPr>
          <w:rFonts w:hint="eastAsia" w:asciiTheme="minorEastAsia" w:hAnsiTheme="minorEastAsia" w:eastAsiaTheme="minorEastAsia" w:cstheme="minorEastAsia"/>
          <w:kern w:val="21"/>
          <w:sz w:val="21"/>
          <w:szCs w:val="21"/>
        </w:rPr>
        <w:t>发电机振动和摆度：具体见GB/T 17189。</w:t>
      </w:r>
    </w:p>
    <w:p>
      <w:pPr>
        <w:pStyle w:val="6"/>
        <w:spacing w:before="146" w:line="360" w:lineRule="auto"/>
        <w:ind w:left="2" w:right="6"/>
        <w:rPr>
          <w:rFonts w:hint="eastAsia" w:asciiTheme="minorEastAsia" w:hAnsiTheme="minorEastAsia" w:eastAsiaTheme="minorEastAsia" w:cstheme="minorEastAsia"/>
          <w:kern w:val="21"/>
          <w:sz w:val="21"/>
          <w:szCs w:val="21"/>
        </w:rPr>
      </w:pPr>
      <w:r>
        <w:rPr>
          <w:rFonts w:hint="eastAsia" w:ascii="黑体" w:hAnsi="黑体" w:eastAsia="黑体" w:cs="黑体"/>
          <w:sz w:val="21"/>
          <w:szCs w:val="22"/>
        </w:rPr>
        <w:t xml:space="preserve">8.2.5 </w:t>
      </w:r>
      <w:r>
        <w:rPr>
          <w:rFonts w:hint="eastAsia" w:asciiTheme="minorEastAsia" w:hAnsiTheme="minorEastAsia" w:eastAsiaTheme="minorEastAsia" w:cstheme="minorEastAsia"/>
          <w:kern w:val="21"/>
          <w:sz w:val="21"/>
          <w:szCs w:val="21"/>
        </w:rPr>
        <w:t xml:space="preserve"> 水轮机及发电机振动评价标准引用不同，水轮机振动评价标准按GB/T 15468《水轮机基本技术条件》执行，发电机振动评价标准按 GB/T 8564《水轮发电机组安装技术规范》执行，因为前者针对水轮机振动的规定较全面且与后者无矛盾，所以分别引用。</w:t>
      </w:r>
    </w:p>
    <w:p>
      <w:pPr>
        <w:pStyle w:val="6"/>
        <w:spacing w:line="360" w:lineRule="auto"/>
        <w:ind w:firstLine="420" w:firstLineChars="200"/>
        <w:rPr>
          <w:rFonts w:hint="eastAsia" w:asciiTheme="minorEastAsia" w:hAnsiTheme="minorEastAsia" w:eastAsiaTheme="minorEastAsia" w:cstheme="minorEastAsia"/>
          <w:kern w:val="21"/>
          <w:sz w:val="21"/>
          <w:szCs w:val="21"/>
        </w:rPr>
      </w:pPr>
      <w:r>
        <w:rPr>
          <w:rFonts w:hint="eastAsia" w:asciiTheme="minorEastAsia" w:hAnsiTheme="minorEastAsia" w:eastAsiaTheme="minorEastAsia" w:cstheme="minorEastAsia"/>
          <w:kern w:val="21"/>
          <w:sz w:val="21"/>
          <w:szCs w:val="21"/>
        </w:rPr>
        <w:t>压力脉动检测需通过测定各部位在不同水头、不同负荷下的压力脉动值分析水轮机稳定运行情况。甩全部或部分负荷时，除检测各测点的压力脉动情况外，还应检测蜗壳进口压力的最大值、压力上升率及尾水锥管的真空度，蜗壳进口压力最大值与压力上升率及尾水锥管真空度应满足设计要求。</w:t>
      </w:r>
    </w:p>
    <w:p>
      <w:pPr>
        <w:pStyle w:val="6"/>
        <w:spacing w:line="360" w:lineRule="auto"/>
        <w:ind w:firstLine="420" w:firstLineChars="200"/>
        <w:rPr>
          <w:rFonts w:hint="eastAsia" w:asciiTheme="minorEastAsia" w:hAnsiTheme="minorEastAsia" w:eastAsiaTheme="minorEastAsia" w:cstheme="minorEastAsia"/>
          <w:kern w:val="21"/>
          <w:sz w:val="21"/>
          <w:szCs w:val="21"/>
        </w:rPr>
      </w:pPr>
      <w:r>
        <w:rPr>
          <w:rFonts w:hint="eastAsia" w:asciiTheme="minorEastAsia" w:hAnsiTheme="minorEastAsia" w:eastAsiaTheme="minorEastAsia" w:cstheme="minorEastAsia"/>
          <w:kern w:val="21"/>
          <w:sz w:val="21"/>
          <w:szCs w:val="21"/>
        </w:rPr>
        <w:t>甩全部或部分负荷时，水轮机转速上升率β应满足调节保证设计值的要求。对于小型水电机组，可参照SL 524第3.2.10条的有关规定执行：机组额定功率甩全部负荷时，最大转速上升率β不应超过50%，机组容量占电力系统容量比重小时，机组额定功率甩全部负荷时，最大转速上升率β不应超过60%，超过时应按GB 50071《小型水力发电站设计规范》要求进行论证或按设计要求执行，但不宜超过70%。机组过速试验时，应检测导叶关闭时动作转速及机组的最高转速，动作转速与最高转速应符合设计要求。</w:t>
      </w:r>
    </w:p>
    <w:p>
      <w:pPr>
        <w:pStyle w:val="6"/>
        <w:spacing w:line="360" w:lineRule="auto"/>
        <w:ind w:firstLine="420" w:firstLineChars="200"/>
        <w:rPr>
          <w:rFonts w:hint="eastAsia" w:asciiTheme="minorEastAsia" w:hAnsiTheme="minorEastAsia" w:eastAsiaTheme="minorEastAsia" w:cstheme="minorEastAsia"/>
          <w:kern w:val="21"/>
          <w:sz w:val="21"/>
          <w:szCs w:val="21"/>
        </w:rPr>
      </w:pPr>
      <w:r>
        <w:rPr>
          <w:rFonts w:hint="eastAsia" w:asciiTheme="minorEastAsia" w:hAnsiTheme="minorEastAsia" w:eastAsiaTheme="minorEastAsia" w:cstheme="minorEastAsia"/>
          <w:kern w:val="21"/>
          <w:sz w:val="21"/>
          <w:szCs w:val="21"/>
        </w:rPr>
        <w:t>空蚀和磨蚀采用最大深度、磨蚀面积和剥落体积三指标来衡量。</w:t>
      </w:r>
    </w:p>
    <w:p>
      <w:pPr>
        <w:pStyle w:val="6"/>
        <w:spacing w:line="360" w:lineRule="auto"/>
        <w:ind w:firstLine="420" w:firstLineChars="200"/>
        <w:rPr>
          <w:rFonts w:hint="eastAsia" w:asciiTheme="minorEastAsia" w:hAnsiTheme="minorEastAsia" w:eastAsiaTheme="minorEastAsia" w:cstheme="minorEastAsia"/>
          <w:kern w:val="21"/>
          <w:sz w:val="21"/>
          <w:szCs w:val="21"/>
        </w:rPr>
      </w:pPr>
      <w:r>
        <w:rPr>
          <w:rFonts w:hint="eastAsia" w:asciiTheme="minorEastAsia" w:hAnsiTheme="minorEastAsia" w:eastAsiaTheme="minorEastAsia" w:cstheme="minorEastAsia"/>
          <w:kern w:val="21"/>
          <w:sz w:val="21"/>
          <w:szCs w:val="21"/>
        </w:rPr>
        <w:t>转轮残余应力一般需检测叶片进水边上冠处与叶片出水边下环处的焊缝中心、溶合线和热影响区、其他地方检测根据需要而定。转轮残余应力检测常采用盲孔法或压痕法。</w:t>
      </w:r>
    </w:p>
    <w:p>
      <w:pPr>
        <w:widowControl/>
        <w:tabs>
          <w:tab w:val="left" w:pos="1933"/>
        </w:tabs>
        <w:kinsoku w:val="0"/>
        <w:autoSpaceDE w:val="0"/>
        <w:autoSpaceDN w:val="0"/>
        <w:adjustRightInd w:val="0"/>
        <w:snapToGrid w:val="0"/>
        <w:spacing w:line="360" w:lineRule="auto"/>
        <w:ind w:left="5" w:right="77" w:firstLine="630" w:firstLineChars="300"/>
        <w:textAlignment w:val="baseline"/>
        <w:rPr>
          <w:rFonts w:hint="eastAsia" w:ascii="黑体" w:hAnsi="黑体" w:eastAsia="黑体"/>
          <w:szCs w:val="21"/>
        </w:rPr>
      </w:pPr>
      <w:r>
        <w:rPr>
          <w:rFonts w:hint="eastAsia" w:ascii="黑体" w:hAnsi="黑体" w:eastAsia="黑体" w:cs="微软雅黑"/>
          <w:snapToGrid w:val="0"/>
          <w:color w:val="000000"/>
          <w:kern w:val="0"/>
          <w:szCs w:val="21"/>
        </w:rPr>
        <w:t>1</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微软雅黑"/>
          <w:snapToGrid w:val="0"/>
          <w:color w:val="000000"/>
          <w:kern w:val="0"/>
          <w:szCs w:val="21"/>
        </w:rPr>
        <w:t xml:space="preserve">  </w:t>
      </w:r>
      <w:r>
        <w:rPr>
          <w:rFonts w:hint="eastAsia" w:asciiTheme="minorEastAsia" w:hAnsiTheme="minorEastAsia" w:cstheme="minorEastAsia"/>
          <w:snapToGrid w:val="0"/>
          <w:color w:val="000000"/>
          <w:kern w:val="0"/>
          <w:szCs w:val="21"/>
        </w:rPr>
        <w:t>水轮机/水泵水轮机</w:t>
      </w:r>
    </w:p>
    <w:p>
      <w:pPr>
        <w:widowControl/>
        <w:kinsoku w:val="0"/>
        <w:autoSpaceDE w:val="0"/>
        <w:autoSpaceDN w:val="0"/>
        <w:adjustRightInd w:val="0"/>
        <w:snapToGrid w:val="0"/>
        <w:spacing w:line="360" w:lineRule="auto"/>
        <w:ind w:left="836" w:leftChars="398"/>
        <w:textAlignment w:val="baseline"/>
        <w:rPr>
          <w:rFonts w:hint="eastAsia" w:ascii="微软雅黑" w:hAnsi="微软雅黑" w:eastAsia="微软雅黑" w:cs="微软雅黑"/>
          <w:snapToGrid w:val="0"/>
          <w:color w:val="000000"/>
          <w:kern w:val="0"/>
          <w:sz w:val="19"/>
          <w:szCs w:val="19"/>
        </w:rPr>
      </w:pPr>
      <w:r>
        <w:rPr>
          <w:rFonts w:hint="eastAsia" w:ascii="黑体" w:hAnsi="黑体" w:eastAsia="黑体" w:cs="微软雅黑"/>
          <w:snapToGrid w:val="0"/>
          <w:color w:val="000000"/>
          <w:kern w:val="0"/>
          <w:szCs w:val="21"/>
        </w:rPr>
        <w:t>6)</w:t>
      </w:r>
      <w:r>
        <w:rPr>
          <w:rFonts w:ascii="微软雅黑" w:hAnsi="微软雅黑" w:eastAsia="微软雅黑" w:cs="微软雅黑"/>
          <w:snapToGrid w:val="0"/>
          <w:color w:val="000000"/>
          <w:kern w:val="0"/>
          <w:sz w:val="19"/>
          <w:szCs w:val="19"/>
        </w:rPr>
        <w:t xml:space="preserve">  </w:t>
      </w:r>
      <w:r>
        <w:rPr>
          <w:rFonts w:hint="eastAsia" w:asciiTheme="minorEastAsia" w:hAnsiTheme="minorEastAsia" w:cstheme="minorEastAsia"/>
          <w:kern w:val="21"/>
          <w:szCs w:val="21"/>
        </w:rPr>
        <w:t>转速：具体见SL 511。</w:t>
      </w:r>
    </w:p>
    <w:p>
      <w:pPr>
        <w:widowControl/>
        <w:kinsoku w:val="0"/>
        <w:autoSpaceDE w:val="0"/>
        <w:autoSpaceDN w:val="0"/>
        <w:adjustRightInd w:val="0"/>
        <w:snapToGrid w:val="0"/>
        <w:spacing w:before="26" w:line="360" w:lineRule="auto"/>
        <w:ind w:left="1242" w:leftChars="399" w:right="78" w:rightChars="37" w:hanging="404"/>
        <w:textAlignment w:val="baseline"/>
        <w:rPr>
          <w:rFonts w:hint="eastAsia" w:asciiTheme="minorEastAsia" w:hAnsiTheme="minorEastAsia" w:cstheme="minorEastAsia"/>
          <w:kern w:val="21"/>
          <w:szCs w:val="21"/>
        </w:rPr>
      </w:pPr>
      <w:r>
        <w:rPr>
          <w:rFonts w:hint="eastAsia" w:ascii="黑体" w:hAnsi="黑体" w:eastAsia="黑体" w:cs="微软雅黑"/>
          <w:snapToGrid w:val="0"/>
          <w:color w:val="000000"/>
          <w:kern w:val="0"/>
          <w:szCs w:val="21"/>
        </w:rPr>
        <w:t xml:space="preserve">7) </w:t>
      </w:r>
      <w:r>
        <w:rPr>
          <w:rFonts w:hint="eastAsia" w:ascii="微软雅黑" w:hAnsi="微软雅黑" w:eastAsia="微软雅黑" w:cs="微软雅黑"/>
          <w:snapToGrid w:val="0"/>
          <w:color w:val="000000"/>
          <w:kern w:val="0"/>
          <w:sz w:val="19"/>
          <w:szCs w:val="19"/>
        </w:rPr>
        <w:t xml:space="preserve"> </w:t>
      </w:r>
      <w:r>
        <w:rPr>
          <w:rFonts w:hint="eastAsia" w:asciiTheme="minorEastAsia" w:hAnsiTheme="minorEastAsia" w:cstheme="minorEastAsia"/>
          <w:kern w:val="21"/>
          <w:szCs w:val="21"/>
        </w:rPr>
        <w:t>空蚀和磨蚀：反击式水轮机空蚀检测具体见GB/T 15469.1；水泵水轮机空蚀检测具体见GB/T 15469.2；冲击式水轮机空蚀检测具体见GB/T 19184；小型水轮机空蚀检测具体见GB/T 22140。反击式水轮机磨蚀检测应执行DL/T 444。</w:t>
      </w:r>
    </w:p>
    <w:p>
      <w:pPr>
        <w:widowControl/>
        <w:kinsoku w:val="0"/>
        <w:autoSpaceDE w:val="0"/>
        <w:autoSpaceDN w:val="0"/>
        <w:adjustRightInd w:val="0"/>
        <w:snapToGrid w:val="0"/>
        <w:spacing w:line="360" w:lineRule="auto"/>
        <w:ind w:left="5" w:right="77" w:firstLine="630" w:firstLineChars="300"/>
        <w:textAlignment w:val="baseline"/>
        <w:rPr>
          <w:rFonts w:hint="eastAsia" w:asciiTheme="minorEastAsia" w:hAnsiTheme="minorEastAsia" w:cstheme="minorEastAsia"/>
          <w:kern w:val="21"/>
          <w:szCs w:val="21"/>
        </w:rPr>
      </w:pPr>
      <w:r>
        <w:rPr>
          <w:rFonts w:hint="eastAsia" w:ascii="黑体" w:hAnsi="黑体" w:eastAsia="黑体" w:cs="微软雅黑"/>
          <w:snapToGrid w:val="0"/>
          <w:color w:val="000000"/>
          <w:kern w:val="0"/>
          <w:szCs w:val="21"/>
        </w:rPr>
        <w:t>2</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微软雅黑"/>
          <w:snapToGrid w:val="0"/>
          <w:color w:val="000000"/>
          <w:kern w:val="0"/>
          <w:szCs w:val="21"/>
        </w:rPr>
        <w:t xml:space="preserve">  </w:t>
      </w:r>
      <w:r>
        <w:rPr>
          <w:rFonts w:hint="eastAsia" w:asciiTheme="minorEastAsia" w:hAnsiTheme="minorEastAsia" w:cstheme="minorEastAsia"/>
          <w:kern w:val="21"/>
          <w:szCs w:val="21"/>
        </w:rPr>
        <w:t>水泵</w:t>
      </w:r>
    </w:p>
    <w:p>
      <w:pPr>
        <w:widowControl/>
        <w:kinsoku w:val="0"/>
        <w:autoSpaceDE w:val="0"/>
        <w:autoSpaceDN w:val="0"/>
        <w:adjustRightInd w:val="0"/>
        <w:snapToGrid w:val="0"/>
        <w:spacing w:line="360" w:lineRule="auto"/>
        <w:ind w:left="433" w:leftChars="206" w:firstLine="413"/>
        <w:textAlignment w:val="baseline"/>
        <w:rPr>
          <w:rFonts w:hint="eastAsia" w:ascii="微软雅黑" w:hAnsi="微软雅黑" w:eastAsia="微软雅黑" w:cs="微软雅黑"/>
          <w:snapToGrid w:val="0"/>
          <w:color w:val="000000"/>
          <w:kern w:val="0"/>
          <w:sz w:val="19"/>
          <w:szCs w:val="19"/>
        </w:rPr>
      </w:pPr>
      <w:r>
        <w:rPr>
          <w:rFonts w:hint="eastAsia" w:ascii="黑体" w:hAnsi="黑体" w:eastAsia="黑体" w:cs="微软雅黑"/>
          <w:snapToGrid w:val="0"/>
          <w:color w:val="000000"/>
          <w:kern w:val="0"/>
          <w:szCs w:val="21"/>
        </w:rPr>
        <w:t xml:space="preserve">3)  </w:t>
      </w:r>
      <w:r>
        <w:rPr>
          <w:rFonts w:hint="eastAsia" w:asciiTheme="minorEastAsia" w:hAnsiTheme="minorEastAsia" w:cstheme="minorEastAsia"/>
          <w:kern w:val="21"/>
          <w:szCs w:val="21"/>
        </w:rPr>
        <w:t>振动：具体见GB/T 29531。</w:t>
      </w:r>
    </w:p>
    <w:p>
      <w:pPr>
        <w:widowControl/>
        <w:kinsoku w:val="0"/>
        <w:autoSpaceDE w:val="0"/>
        <w:autoSpaceDN w:val="0"/>
        <w:adjustRightInd w:val="0"/>
        <w:snapToGrid w:val="0"/>
        <w:spacing w:line="360" w:lineRule="auto"/>
        <w:ind w:left="433" w:leftChars="206" w:firstLine="413"/>
        <w:textAlignment w:val="baseline"/>
        <w:rPr>
          <w:rFonts w:hint="eastAsia" w:asciiTheme="minorEastAsia" w:hAnsiTheme="minorEastAsia" w:cstheme="minorEastAsia"/>
          <w:kern w:val="21"/>
          <w:szCs w:val="21"/>
        </w:rPr>
      </w:pPr>
      <w:r>
        <w:rPr>
          <w:rFonts w:hint="eastAsia" w:ascii="黑体" w:hAnsi="黑体" w:eastAsia="黑体" w:cs="微软雅黑"/>
          <w:snapToGrid w:val="0"/>
          <w:color w:val="000000"/>
          <w:kern w:val="0"/>
          <w:szCs w:val="21"/>
        </w:rPr>
        <w:t xml:space="preserve">4) </w:t>
      </w:r>
      <w:r>
        <w:rPr>
          <w:rFonts w:ascii="微软雅黑" w:hAnsi="微软雅黑" w:eastAsia="微软雅黑" w:cs="微软雅黑"/>
          <w:snapToGrid w:val="0"/>
          <w:color w:val="000000"/>
          <w:kern w:val="0"/>
          <w:sz w:val="19"/>
          <w:szCs w:val="19"/>
        </w:rPr>
        <w:t xml:space="preserve"> </w:t>
      </w:r>
      <w:r>
        <w:rPr>
          <w:rFonts w:hint="eastAsia" w:asciiTheme="minorEastAsia" w:hAnsiTheme="minorEastAsia" w:cstheme="minorEastAsia"/>
          <w:kern w:val="21"/>
          <w:szCs w:val="21"/>
        </w:rPr>
        <w:t>噪声：具体见GB/T 29529。</w:t>
      </w:r>
    </w:p>
    <w:p>
      <w:pPr>
        <w:widowControl/>
        <w:kinsoku w:val="0"/>
        <w:autoSpaceDE w:val="0"/>
        <w:autoSpaceDN w:val="0"/>
        <w:adjustRightInd w:val="0"/>
        <w:snapToGrid w:val="0"/>
        <w:spacing w:line="360" w:lineRule="auto"/>
        <w:ind w:left="433" w:leftChars="206" w:firstLine="413"/>
        <w:textAlignment w:val="baseline"/>
        <w:rPr>
          <w:rFonts w:hint="eastAsia" w:asciiTheme="minorEastAsia" w:hAnsiTheme="minorEastAsia" w:cstheme="minorEastAsia"/>
          <w:kern w:val="21"/>
          <w:szCs w:val="21"/>
        </w:rPr>
      </w:pPr>
      <w:r>
        <w:rPr>
          <w:rFonts w:hint="eastAsia" w:ascii="黑体" w:hAnsi="黑体" w:eastAsia="黑体" w:cs="微软雅黑"/>
          <w:snapToGrid w:val="0"/>
          <w:color w:val="000000"/>
          <w:kern w:val="0"/>
          <w:szCs w:val="21"/>
        </w:rPr>
        <w:t xml:space="preserve">6) </w:t>
      </w:r>
      <w:r>
        <w:rPr>
          <w:rFonts w:hint="eastAsia" w:ascii="微软雅黑" w:hAnsi="微软雅黑" w:eastAsia="微软雅黑" w:cs="微软雅黑"/>
          <w:snapToGrid w:val="0"/>
          <w:color w:val="000000"/>
          <w:kern w:val="0"/>
          <w:sz w:val="19"/>
          <w:szCs w:val="19"/>
        </w:rPr>
        <w:t xml:space="preserve"> </w:t>
      </w:r>
      <w:r>
        <w:rPr>
          <w:rFonts w:hint="eastAsia" w:asciiTheme="minorEastAsia" w:hAnsiTheme="minorEastAsia" w:cstheme="minorEastAsia"/>
          <w:kern w:val="21"/>
          <w:szCs w:val="21"/>
        </w:rPr>
        <w:t>空蚀和磨蚀：具体见GB/T 15469.2。</w:t>
      </w:r>
    </w:p>
    <w:p>
      <w:pPr>
        <w:widowControl/>
        <w:kinsoku w:val="0"/>
        <w:autoSpaceDE w:val="0"/>
        <w:autoSpaceDN w:val="0"/>
        <w:adjustRightInd w:val="0"/>
        <w:snapToGrid w:val="0"/>
        <w:spacing w:line="360" w:lineRule="auto"/>
        <w:ind w:left="433" w:leftChars="206" w:firstLine="413"/>
        <w:textAlignment w:val="baseline"/>
      </w:pPr>
      <w:r>
        <w:rPr>
          <w:rFonts w:hint="eastAsia" w:ascii="黑体" w:hAnsi="黑体" w:eastAsia="黑体" w:cs="微软雅黑"/>
          <w:snapToGrid w:val="0"/>
          <w:color w:val="000000"/>
          <w:kern w:val="0"/>
          <w:szCs w:val="21"/>
        </w:rPr>
        <w:t xml:space="preserve">5 </w:t>
      </w:r>
      <w:r>
        <w:t xml:space="preserve"> </w:t>
      </w:r>
    </w:p>
    <w:p>
      <w:pPr>
        <w:widowControl/>
        <w:kinsoku w:val="0"/>
        <w:autoSpaceDE w:val="0"/>
        <w:autoSpaceDN w:val="0"/>
        <w:adjustRightInd w:val="0"/>
        <w:snapToGrid w:val="0"/>
        <w:spacing w:line="360" w:lineRule="auto"/>
        <w:ind w:left="433" w:leftChars="206" w:firstLine="413"/>
        <w:textAlignment w:val="baseline"/>
        <w:rPr>
          <w:rFonts w:hint="eastAsia" w:ascii="黑体" w:hAnsi="黑体" w:eastAsia="黑体" w:cs="微软雅黑"/>
          <w:snapToGrid w:val="0"/>
          <w:color w:val="000000"/>
          <w:kern w:val="0"/>
          <w:szCs w:val="21"/>
        </w:rPr>
      </w:pPr>
      <w:r>
        <w:rPr>
          <w:rFonts w:hint="eastAsia" w:ascii="黑体" w:hAnsi="黑体" w:eastAsia="黑体" w:cs="微软雅黑"/>
          <w:snapToGrid w:val="0"/>
          <w:color w:val="000000"/>
          <w:kern w:val="0"/>
          <w:szCs w:val="21"/>
        </w:rPr>
        <w:t xml:space="preserve">2)  </w:t>
      </w:r>
    </w:p>
    <w:p>
      <w:pPr>
        <w:widowControl/>
        <w:kinsoku w:val="0"/>
        <w:autoSpaceDE w:val="0"/>
        <w:autoSpaceDN w:val="0"/>
        <w:adjustRightInd w:val="0"/>
        <w:snapToGrid w:val="0"/>
        <w:spacing w:line="360" w:lineRule="auto"/>
        <w:ind w:left="1671" w:leftChars="602" w:hanging="407"/>
        <w:textAlignment w:val="baseline"/>
        <w:rPr>
          <w:rFonts w:hint="eastAsia" w:asciiTheme="minorEastAsia" w:hAnsiTheme="minorEastAsia" w:cstheme="minorEastAsia"/>
          <w:kern w:val="21"/>
          <w:szCs w:val="21"/>
        </w:rPr>
      </w:pPr>
      <w:r>
        <w:rPr>
          <w:rFonts w:hint="eastAsia" w:ascii="黑体" w:hAnsi="黑体" w:eastAsia="黑体" w:cs="微软雅黑"/>
          <w:snapToGrid w:val="0"/>
          <w:color w:val="000000"/>
          <w:kern w:val="0"/>
          <w:szCs w:val="21"/>
        </w:rPr>
        <w:t xml:space="preserve">c） </w:t>
      </w:r>
      <w:r>
        <w:rPr>
          <w:rFonts w:hint="eastAsia" w:asciiTheme="minorEastAsia" w:hAnsiTheme="minorEastAsia" w:cstheme="minorEastAsia"/>
          <w:kern w:val="21"/>
          <w:szCs w:val="21"/>
        </w:rPr>
        <w:t>空蚀和磨蚀：反击式水轮机空蚀检测具体见GB/T 15469.1；水泵水轮机空蚀检测具体见GB/T 15469.2；冲击式水轮机空蚀检测具体见GB/T 19184；反击式水轮机磨蚀检测应执行DL/T 444。</w:t>
      </w:r>
    </w:p>
    <w:p>
      <w:pPr>
        <w:widowControl/>
        <w:kinsoku w:val="0"/>
        <w:autoSpaceDE w:val="0"/>
        <w:autoSpaceDN w:val="0"/>
        <w:adjustRightInd w:val="0"/>
        <w:snapToGrid w:val="0"/>
        <w:spacing w:line="360" w:lineRule="auto"/>
        <w:ind w:left="433" w:leftChars="206" w:firstLine="413"/>
        <w:textAlignment w:val="baseline"/>
        <w:rPr>
          <w:rFonts w:hint="eastAsia" w:ascii="微软雅黑" w:hAnsi="微软雅黑" w:eastAsia="微软雅黑" w:cs="微软雅黑"/>
          <w:snapToGrid w:val="0"/>
          <w:color w:val="000000"/>
          <w:kern w:val="0"/>
          <w:sz w:val="19"/>
          <w:szCs w:val="19"/>
        </w:rPr>
      </w:pPr>
      <w:r>
        <w:rPr>
          <w:rFonts w:hint="eastAsia" w:ascii="黑体" w:hAnsi="黑体" w:eastAsia="黑体" w:cs="微软雅黑"/>
          <w:snapToGrid w:val="0"/>
          <w:color w:val="000000"/>
          <w:kern w:val="0"/>
          <w:szCs w:val="21"/>
        </w:rPr>
        <w:t xml:space="preserve">3) </w:t>
      </w:r>
      <w:r>
        <w:rPr>
          <w:rFonts w:ascii="微软雅黑" w:hAnsi="微软雅黑" w:eastAsia="微软雅黑" w:cs="微软雅黑"/>
          <w:snapToGrid w:val="0"/>
          <w:color w:val="000000"/>
          <w:kern w:val="0"/>
          <w:sz w:val="19"/>
          <w:szCs w:val="19"/>
        </w:rPr>
        <w:t xml:space="preserve">  </w:t>
      </w:r>
    </w:p>
    <w:p>
      <w:pPr>
        <w:widowControl/>
        <w:kinsoku w:val="0"/>
        <w:autoSpaceDE w:val="0"/>
        <w:autoSpaceDN w:val="0"/>
        <w:adjustRightInd w:val="0"/>
        <w:snapToGrid w:val="0"/>
        <w:spacing w:line="360" w:lineRule="auto"/>
        <w:ind w:left="853" w:leftChars="406" w:firstLine="413"/>
        <w:textAlignment w:val="baseline"/>
        <w:rPr>
          <w:rFonts w:hint="eastAsia" w:asciiTheme="minorEastAsia" w:hAnsiTheme="minorEastAsia" w:cstheme="minorEastAsia"/>
          <w:kern w:val="21"/>
          <w:szCs w:val="21"/>
        </w:rPr>
      </w:pPr>
      <w:r>
        <w:rPr>
          <w:rFonts w:hint="eastAsia" w:ascii="黑体" w:hAnsi="黑体" w:eastAsia="黑体" w:cs="微软雅黑"/>
          <w:snapToGrid w:val="0"/>
          <w:color w:val="000000"/>
          <w:kern w:val="0"/>
          <w:szCs w:val="21"/>
        </w:rPr>
        <w:t xml:space="preserve">b） </w:t>
      </w:r>
      <w:r>
        <w:rPr>
          <w:rFonts w:hint="eastAsia" w:asciiTheme="minorEastAsia" w:hAnsiTheme="minorEastAsia" w:cstheme="minorEastAsia"/>
          <w:kern w:val="21"/>
          <w:szCs w:val="21"/>
        </w:rPr>
        <w:t>发电机振动和摆度：具体见SL 321。</w:t>
      </w:r>
    </w:p>
    <w:p>
      <w:pPr>
        <w:widowControl/>
        <w:kinsoku w:val="0"/>
        <w:autoSpaceDE w:val="0"/>
        <w:autoSpaceDN w:val="0"/>
        <w:adjustRightInd w:val="0"/>
        <w:snapToGrid w:val="0"/>
        <w:spacing w:line="360" w:lineRule="auto"/>
        <w:ind w:left="853" w:leftChars="406" w:firstLine="413"/>
        <w:textAlignment w:val="baseline"/>
        <w:rPr>
          <w:rFonts w:hint="eastAsia" w:asciiTheme="minorEastAsia" w:hAnsiTheme="minorEastAsia" w:cstheme="minorEastAsia"/>
          <w:kern w:val="21"/>
          <w:szCs w:val="21"/>
        </w:rPr>
      </w:pPr>
      <w:r>
        <w:rPr>
          <w:rFonts w:hint="eastAsia" w:ascii="黑体" w:hAnsi="黑体" w:eastAsia="黑体" w:cs="微软雅黑"/>
          <w:snapToGrid w:val="0"/>
          <w:color w:val="000000"/>
          <w:kern w:val="0"/>
          <w:szCs w:val="21"/>
        </w:rPr>
        <w:t xml:space="preserve">c） </w:t>
      </w:r>
      <w:r>
        <w:rPr>
          <w:rFonts w:hint="eastAsia" w:asciiTheme="minorEastAsia" w:hAnsiTheme="minorEastAsia" w:cstheme="minorEastAsia"/>
          <w:kern w:val="21"/>
          <w:szCs w:val="21"/>
        </w:rPr>
        <w:t>绕组温升：具体见SL 321。</w:t>
      </w:r>
    </w:p>
    <w:p>
      <w:pPr>
        <w:widowControl/>
        <w:kinsoku w:val="0"/>
        <w:autoSpaceDE w:val="0"/>
        <w:autoSpaceDN w:val="0"/>
        <w:adjustRightInd w:val="0"/>
        <w:snapToGrid w:val="0"/>
        <w:spacing w:line="360" w:lineRule="auto"/>
        <w:ind w:left="853" w:leftChars="406" w:firstLine="413"/>
        <w:textAlignment w:val="baseline"/>
        <w:rPr>
          <w:rFonts w:hint="eastAsia" w:asciiTheme="minorEastAsia" w:hAnsiTheme="minorEastAsia" w:cstheme="minorEastAsia"/>
          <w:kern w:val="21"/>
          <w:szCs w:val="21"/>
        </w:rPr>
      </w:pPr>
      <w:r>
        <w:rPr>
          <w:rFonts w:hint="eastAsia" w:ascii="黑体" w:hAnsi="黑体" w:eastAsia="黑体" w:cs="微软雅黑"/>
          <w:snapToGrid w:val="0"/>
          <w:color w:val="000000"/>
          <w:kern w:val="0"/>
          <w:szCs w:val="21"/>
        </w:rPr>
        <w:t xml:space="preserve">e） </w:t>
      </w:r>
      <w:r>
        <w:rPr>
          <w:rFonts w:hint="eastAsia" w:asciiTheme="minorEastAsia" w:hAnsiTheme="minorEastAsia" w:cstheme="minorEastAsia"/>
          <w:kern w:val="21"/>
          <w:szCs w:val="21"/>
        </w:rPr>
        <w:t>电压波形全谐波畸变因数：具体见SL 321。</w:t>
      </w:r>
    </w:p>
    <w:p>
      <w:pPr>
        <w:pStyle w:val="6"/>
        <w:spacing w:before="146"/>
        <w:ind w:left="2" w:right="6" w:firstLine="420" w:firstLineChars="200"/>
        <w:rPr>
          <w:rFonts w:hint="eastAsia" w:asciiTheme="minorEastAsia" w:hAnsiTheme="minorEastAsia" w:eastAsiaTheme="minorEastAsia" w:cstheme="minorEastAsia"/>
          <w:kern w:val="21"/>
          <w:sz w:val="21"/>
          <w:szCs w:val="21"/>
        </w:rPr>
      </w:pPr>
    </w:p>
    <w:p>
      <w:pPr>
        <w:pStyle w:val="3"/>
        <w:snapToGrid w:val="0"/>
        <w:spacing w:before="156" w:beforeLines="50" w:after="156" w:afterLines="50" w:line="360" w:lineRule="auto"/>
        <w:jc w:val="center"/>
        <w:rPr>
          <w:rFonts w:ascii="黑体" w:hAnsi="黑体" w:cs="黑体"/>
          <w:sz w:val="24"/>
          <w:szCs w:val="24"/>
        </w:rPr>
      </w:pPr>
      <w:bookmarkStart w:id="421" w:name="_Toc6015"/>
      <w:bookmarkStart w:id="422" w:name="_Toc193028450"/>
      <w:bookmarkStart w:id="423" w:name="_Toc22722"/>
      <w:bookmarkStart w:id="424" w:name="_Toc12042"/>
      <w:r>
        <w:rPr>
          <w:rFonts w:ascii="黑体" w:hAnsi="黑体" w:cs="黑体"/>
          <w:sz w:val="24"/>
          <w:szCs w:val="24"/>
        </w:rPr>
        <w:t>8.3  电机及附属设备</w:t>
      </w:r>
      <w:bookmarkEnd w:id="421"/>
      <w:bookmarkEnd w:id="422"/>
      <w:bookmarkEnd w:id="423"/>
      <w:bookmarkEnd w:id="424"/>
    </w:p>
    <w:p>
      <w:pPr>
        <w:pStyle w:val="6"/>
        <w:spacing w:before="145" w:line="360" w:lineRule="auto"/>
        <w:ind w:left="2" w:right="74"/>
        <w:rPr>
          <w:rFonts w:hint="eastAsia" w:asciiTheme="minorEastAsia" w:hAnsiTheme="minorEastAsia" w:eastAsiaTheme="minorEastAsia" w:cstheme="minorEastAsia"/>
          <w:kern w:val="21"/>
          <w:sz w:val="21"/>
          <w:szCs w:val="21"/>
        </w:rPr>
      </w:pPr>
      <w:r>
        <w:rPr>
          <w:rFonts w:hint="eastAsia" w:ascii="黑体" w:hAnsi="黑体" w:eastAsia="黑体" w:cs="黑体"/>
          <w:sz w:val="21"/>
          <w:szCs w:val="22"/>
        </w:rPr>
        <w:t>8.3.1</w:t>
      </w:r>
      <w:r>
        <w:rPr>
          <w:rFonts w:hint="eastAsia" w:asciiTheme="minorEastAsia" w:hAnsiTheme="minorEastAsia" w:eastAsiaTheme="minorEastAsia" w:cstheme="minorEastAsia"/>
          <w:kern w:val="21"/>
          <w:sz w:val="21"/>
          <w:szCs w:val="21"/>
        </w:rPr>
        <w:t xml:space="preserve">  本节从机械和电气两方面规定了电机及附属设备的检测内容。对于涉及交接验收试验和启动调试试验的内容应在交接验收和启动调试时实施，对于性能试验部分可以在机组投运后择机进行。</w:t>
      </w:r>
    </w:p>
    <w:p>
      <w:pPr>
        <w:pStyle w:val="6"/>
        <w:spacing w:before="55" w:line="360" w:lineRule="auto"/>
        <w:ind w:left="416"/>
        <w:rPr>
          <w:rFonts w:hint="eastAsia" w:asciiTheme="minorEastAsia" w:hAnsiTheme="minorEastAsia" w:eastAsiaTheme="minorEastAsia" w:cstheme="minorEastAsia"/>
          <w:kern w:val="21"/>
          <w:sz w:val="21"/>
          <w:szCs w:val="21"/>
        </w:rPr>
      </w:pPr>
      <w:r>
        <w:rPr>
          <w:rFonts w:hint="eastAsia" w:ascii="黑体" w:hAnsi="黑体" w:eastAsia="黑体" w:cs="黑体"/>
          <w:sz w:val="21"/>
          <w:szCs w:val="22"/>
        </w:rPr>
        <w:t xml:space="preserve">2 </w:t>
      </w:r>
      <w:r>
        <w:rPr>
          <w:rFonts w:hint="eastAsia" w:asciiTheme="minorEastAsia" w:hAnsiTheme="minorEastAsia" w:eastAsiaTheme="minorEastAsia" w:cstheme="minorEastAsia"/>
          <w:kern w:val="21"/>
          <w:sz w:val="21"/>
          <w:szCs w:val="21"/>
        </w:rPr>
        <w:t xml:space="preserve">  发电机在额定运行工况下，检测轴承温度。</w:t>
      </w:r>
    </w:p>
    <w:p>
      <w:pPr>
        <w:pStyle w:val="6"/>
        <w:spacing w:before="17" w:line="360" w:lineRule="auto"/>
        <w:ind w:left="4" w:right="74" w:firstLine="413"/>
        <w:rPr>
          <w:rFonts w:hint="eastAsia" w:asciiTheme="minorEastAsia" w:hAnsiTheme="minorEastAsia" w:eastAsiaTheme="minorEastAsia" w:cstheme="minorEastAsia"/>
          <w:kern w:val="21"/>
          <w:sz w:val="21"/>
          <w:szCs w:val="21"/>
        </w:rPr>
      </w:pPr>
      <w:r>
        <w:rPr>
          <w:rFonts w:hint="eastAsia" w:ascii="黑体" w:hAnsi="黑体" w:eastAsia="黑体" w:cs="黑体"/>
          <w:sz w:val="21"/>
          <w:szCs w:val="22"/>
        </w:rPr>
        <w:t xml:space="preserve">3 </w:t>
      </w:r>
      <w:r>
        <w:rPr>
          <w:rFonts w:hint="eastAsia" w:asciiTheme="minorEastAsia" w:hAnsiTheme="minorEastAsia" w:eastAsiaTheme="minorEastAsia" w:cstheme="minorEastAsia"/>
          <w:kern w:val="21"/>
          <w:sz w:val="21"/>
          <w:szCs w:val="21"/>
        </w:rPr>
        <w:t xml:space="preserve">  发电机/发电电动机绝缘电阻包括定子绕组、转子绕组、测温元件、轴承的绝缘电阻。直流电阻包括定子绕组、转子绕组的直流电阻。交流耐压试验包括定子绕组、转子绕组的交流耐压试验。GB 50150规定对应容量200MW及以上机组应测量极化指数、极化指数不应小于2.0。为使发电机顺利并列，在启动试验前应用相序表对发电机的相序进行确定。水轮发电机应测量轴对机座的电压，分别在空载额定电压时及带负荷后测定。通常在业主和厂家的合同中包含有电机阻抗参数和时间参数，因此本标准第8.2.3条中规定了采用三相突然短路法确定发电机部分阻抗参数与时间参数。三相突然短路可在机端电压0.1～0.4倍电压下进行。该电压下的三相突然短路试验非用来校核电机机械设计。</w:t>
      </w:r>
    </w:p>
    <w:p>
      <w:pPr>
        <w:pStyle w:val="6"/>
        <w:spacing w:before="17" w:line="360" w:lineRule="auto"/>
        <w:ind w:left="4" w:right="74" w:firstLine="413"/>
        <w:rPr>
          <w:rFonts w:hint="eastAsia" w:asciiTheme="minorEastAsia" w:hAnsiTheme="minorEastAsia" w:eastAsiaTheme="minorEastAsia" w:cstheme="minorEastAsia"/>
          <w:kern w:val="21"/>
          <w:sz w:val="21"/>
          <w:szCs w:val="21"/>
        </w:rPr>
      </w:pPr>
      <w:r>
        <w:rPr>
          <w:rFonts w:hint="eastAsia" w:ascii="黑体" w:hAnsi="黑体" w:eastAsia="黑体" w:cs="黑体"/>
          <w:sz w:val="21"/>
          <w:szCs w:val="22"/>
        </w:rPr>
        <w:t>4</w:t>
      </w:r>
      <w:r>
        <w:rPr>
          <w:rFonts w:hint="eastAsia" w:ascii="黑体" w:hAnsi="黑体" w:eastAsia="黑体" w:cs="黑体"/>
          <w:spacing w:val="20"/>
          <w:position w:val="-2"/>
          <w:sz w:val="21"/>
          <w:szCs w:val="21"/>
          <w:lang w:eastAsia="zh-CN"/>
        </w:rPr>
        <w:t>【</w:t>
      </w:r>
      <w:r>
        <w:rPr>
          <w:rFonts w:hint="eastAsia" w:ascii="黑体" w:hAnsi="黑体" w:eastAsia="黑体" w:cs="黑体"/>
          <w:spacing w:val="20"/>
          <w:position w:val="-2"/>
          <w:sz w:val="21"/>
          <w:szCs w:val="21"/>
        </w:rPr>
        <w:t>新增</w:t>
      </w:r>
      <w:r>
        <w:rPr>
          <w:rFonts w:hint="eastAsia" w:ascii="黑体" w:hAnsi="黑体" w:eastAsia="黑体" w:cs="黑体"/>
          <w:spacing w:val="20"/>
          <w:position w:val="-2"/>
          <w:sz w:val="21"/>
          <w:szCs w:val="21"/>
          <w:lang w:eastAsia="zh-CN"/>
        </w:rPr>
        <w:t>】</w:t>
      </w:r>
      <w:r>
        <w:rPr>
          <w:rFonts w:hint="eastAsia" w:asciiTheme="minorEastAsia" w:hAnsiTheme="minorEastAsia" w:eastAsiaTheme="minorEastAsia" w:cstheme="minorEastAsia"/>
          <w:kern w:val="21"/>
          <w:sz w:val="21"/>
          <w:szCs w:val="21"/>
        </w:rPr>
        <w:t xml:space="preserve">  根据36号令规定的检测参数以及SL 317对泵站电动机的安装要求，进一步细化明确泵站主电动机安装质量检测参数。</w:t>
      </w:r>
    </w:p>
    <w:p>
      <w:pPr>
        <w:pStyle w:val="6"/>
        <w:spacing w:before="17" w:line="360" w:lineRule="auto"/>
        <w:ind w:right="74"/>
        <w:rPr>
          <w:rFonts w:hint="eastAsia" w:ascii="黑体" w:hAnsi="黑体" w:eastAsia="黑体" w:cs="黑体"/>
          <w:sz w:val="21"/>
          <w:szCs w:val="22"/>
        </w:rPr>
      </w:pPr>
      <w:r>
        <w:rPr>
          <w:rFonts w:hint="eastAsia" w:ascii="黑体" w:hAnsi="黑体" w:eastAsia="黑体" w:cs="黑体"/>
          <w:sz w:val="21"/>
          <w:szCs w:val="22"/>
        </w:rPr>
        <w:t>8.3.4</w:t>
      </w:r>
      <w:r>
        <w:rPr>
          <w:rFonts w:hint="eastAsia" w:ascii="黑体" w:hAnsi="黑体" w:eastAsia="黑体" w:cs="黑体"/>
          <w:spacing w:val="20"/>
          <w:position w:val="-2"/>
          <w:sz w:val="21"/>
          <w:szCs w:val="21"/>
          <w:lang w:eastAsia="zh-CN"/>
        </w:rPr>
        <w:t>【</w:t>
      </w:r>
      <w:r>
        <w:rPr>
          <w:rFonts w:hint="eastAsia" w:ascii="黑体" w:hAnsi="黑体" w:eastAsia="黑体" w:cs="黑体"/>
          <w:spacing w:val="20"/>
          <w:position w:val="-2"/>
          <w:sz w:val="21"/>
          <w:szCs w:val="21"/>
        </w:rPr>
        <w:t>新增</w:t>
      </w:r>
      <w:r>
        <w:rPr>
          <w:rFonts w:hint="eastAsia" w:ascii="黑体" w:hAnsi="黑体" w:eastAsia="黑体" w:cs="黑体"/>
          <w:spacing w:val="20"/>
          <w:position w:val="-2"/>
          <w:sz w:val="21"/>
          <w:szCs w:val="21"/>
          <w:lang w:eastAsia="zh-CN"/>
        </w:rPr>
        <w:t>】</w:t>
      </w:r>
    </w:p>
    <w:p>
      <w:pPr>
        <w:widowControl/>
        <w:kinsoku w:val="0"/>
        <w:autoSpaceDE w:val="0"/>
        <w:autoSpaceDN w:val="0"/>
        <w:adjustRightInd w:val="0"/>
        <w:snapToGrid w:val="0"/>
        <w:spacing w:line="360" w:lineRule="auto"/>
        <w:ind w:firstLine="420" w:firstLineChars="200"/>
        <w:jc w:val="left"/>
        <w:textAlignment w:val="baseline"/>
        <w:rPr>
          <w:rFonts w:hint="eastAsia" w:ascii="黑体" w:hAnsi="黑体" w:eastAsia="黑体" w:cs="微软雅黑"/>
          <w:snapToGrid w:val="0"/>
          <w:color w:val="000000"/>
          <w:kern w:val="0"/>
          <w:position w:val="-2"/>
          <w:szCs w:val="21"/>
        </w:rPr>
      </w:pPr>
      <w:r>
        <w:rPr>
          <w:rFonts w:hint="eastAsia" w:ascii="黑体" w:hAnsi="黑体" w:eastAsia="黑体" w:cs="微软雅黑"/>
          <w:snapToGrid w:val="0"/>
          <w:color w:val="000000"/>
          <w:kern w:val="0"/>
          <w:position w:val="-2"/>
          <w:szCs w:val="21"/>
        </w:rPr>
        <w:t xml:space="preserve">1   </w:t>
      </w:r>
    </w:p>
    <w:p>
      <w:pPr>
        <w:widowControl/>
        <w:numPr>
          <w:ilvl w:val="0"/>
          <w:numId w:val="26"/>
        </w:numPr>
        <w:kinsoku w:val="0"/>
        <w:autoSpaceDE w:val="0"/>
        <w:autoSpaceDN w:val="0"/>
        <w:adjustRightInd w:val="0"/>
        <w:snapToGrid w:val="0"/>
        <w:spacing w:before="30" w:line="360" w:lineRule="auto"/>
        <w:ind w:firstLine="840" w:firstLineChars="400"/>
        <w:textAlignment w:val="baseline"/>
        <w:rPr>
          <w:rFonts w:hint="eastAsia" w:cs="微软雅黑" w:asciiTheme="minorEastAsia" w:hAnsiTheme="minorEastAsia"/>
          <w:snapToGrid w:val="0"/>
          <w:color w:val="000000"/>
          <w:kern w:val="0"/>
          <w:szCs w:val="21"/>
        </w:rPr>
      </w:pPr>
      <w:r>
        <w:rPr>
          <w:rFonts w:hint="eastAsia" w:asciiTheme="minorEastAsia" w:hAnsiTheme="minorEastAsia" w:cstheme="minorEastAsia"/>
          <w:kern w:val="21"/>
          <w:szCs w:val="21"/>
        </w:rPr>
        <w:t>发电机/发电电动机振动和摆度：具体见GB/T 17189。</w:t>
      </w:r>
    </w:p>
    <w:p>
      <w:pPr>
        <w:widowControl/>
        <w:numPr>
          <w:ilvl w:val="0"/>
          <w:numId w:val="26"/>
        </w:numPr>
        <w:kinsoku w:val="0"/>
        <w:autoSpaceDE w:val="0"/>
        <w:autoSpaceDN w:val="0"/>
        <w:adjustRightInd w:val="0"/>
        <w:snapToGrid w:val="0"/>
        <w:spacing w:before="27" w:line="360" w:lineRule="auto"/>
        <w:ind w:firstLine="840" w:firstLineChars="400"/>
        <w:textAlignment w:val="baseline"/>
        <w:rPr>
          <w:rFonts w:hint="eastAsia" w:cs="微软雅黑" w:asciiTheme="minorEastAsia" w:hAnsiTheme="minorEastAsia"/>
          <w:snapToGrid w:val="0"/>
          <w:color w:val="000000"/>
          <w:kern w:val="0"/>
          <w:szCs w:val="21"/>
        </w:rPr>
      </w:pPr>
      <w:r>
        <w:rPr>
          <w:rFonts w:hint="eastAsia" w:cs="微软雅黑" w:asciiTheme="minorEastAsia" w:hAnsiTheme="minorEastAsia"/>
          <w:snapToGrid w:val="0"/>
          <w:color w:val="000000"/>
          <w:kern w:val="0"/>
          <w:szCs w:val="21"/>
        </w:rPr>
        <w:t>绝缘电阻：具体见DL/T 474.1。</w:t>
      </w:r>
    </w:p>
    <w:p>
      <w:pPr>
        <w:widowControl/>
        <w:kinsoku w:val="0"/>
        <w:autoSpaceDE w:val="0"/>
        <w:autoSpaceDN w:val="0"/>
        <w:adjustRightInd w:val="0"/>
        <w:snapToGrid w:val="0"/>
        <w:spacing w:before="28" w:line="360" w:lineRule="auto"/>
        <w:ind w:left="1056" w:leftChars="400" w:right="78" w:rightChars="37" w:hanging="216" w:hangingChars="103"/>
        <w:textAlignment w:val="baseline"/>
        <w:rPr>
          <w:rFonts w:hint="eastAsia" w:cs="微软雅黑" w:asciiTheme="minorEastAsia" w:hAnsiTheme="minorEastAsia"/>
          <w:snapToGrid w:val="0"/>
          <w:color w:val="000000"/>
          <w:kern w:val="0"/>
          <w:szCs w:val="21"/>
        </w:rPr>
      </w:pPr>
      <w:r>
        <w:rPr>
          <w:rFonts w:ascii="黑体" w:hAnsi="黑体" w:eastAsia="黑体" w:cs="黑体"/>
          <w:snapToGrid w:val="0"/>
          <w:color w:val="000000"/>
          <w:kern w:val="0"/>
          <w:szCs w:val="21"/>
        </w:rPr>
        <w:t>9)</w:t>
      </w:r>
      <w:r>
        <w:rPr>
          <w:rFonts w:hint="eastAsia" w:cs="微软雅黑" w:asciiTheme="minorEastAsia" w:hAnsiTheme="minorEastAsia"/>
          <w:snapToGrid w:val="0"/>
          <w:color w:val="000000"/>
          <w:kern w:val="0"/>
          <w:szCs w:val="21"/>
        </w:rPr>
        <w:t xml:space="preserve"> 定子绕组吸收比或极化指数：具体见DL/T 474.1。</w:t>
      </w:r>
    </w:p>
    <w:p>
      <w:pPr>
        <w:widowControl/>
        <w:kinsoku w:val="0"/>
        <w:autoSpaceDE w:val="0"/>
        <w:autoSpaceDN w:val="0"/>
        <w:adjustRightInd w:val="0"/>
        <w:snapToGrid w:val="0"/>
        <w:spacing w:line="360" w:lineRule="auto"/>
        <w:ind w:firstLine="420" w:firstLineChars="200"/>
        <w:jc w:val="left"/>
        <w:textAlignment w:val="baseline"/>
        <w:rPr>
          <w:rFonts w:hint="eastAsia" w:ascii="黑体" w:hAnsi="黑体" w:eastAsia="黑体" w:cs="微软雅黑"/>
          <w:snapToGrid w:val="0"/>
          <w:color w:val="000000"/>
          <w:kern w:val="0"/>
          <w:position w:val="-2"/>
          <w:szCs w:val="21"/>
        </w:rPr>
      </w:pPr>
      <w:r>
        <w:rPr>
          <w:rFonts w:hint="eastAsia" w:ascii="黑体" w:hAnsi="黑体" w:eastAsia="黑体" w:cs="微软雅黑"/>
          <w:snapToGrid w:val="0"/>
          <w:color w:val="000000"/>
          <w:kern w:val="0"/>
          <w:position w:val="-2"/>
          <w:szCs w:val="21"/>
        </w:rPr>
        <w:t xml:space="preserve">2   </w:t>
      </w:r>
    </w:p>
    <w:p>
      <w:pPr>
        <w:widowControl/>
        <w:kinsoku w:val="0"/>
        <w:autoSpaceDE w:val="0"/>
        <w:autoSpaceDN w:val="0"/>
        <w:adjustRightInd w:val="0"/>
        <w:snapToGrid w:val="0"/>
        <w:spacing w:before="19" w:line="360" w:lineRule="auto"/>
        <w:ind w:firstLine="855" w:firstLineChars="450"/>
        <w:jc w:val="left"/>
        <w:textAlignment w:val="baseline"/>
        <w:rPr>
          <w:rFonts w:hint="eastAsia" w:ascii="微软雅黑" w:hAnsi="微软雅黑" w:eastAsia="微软雅黑" w:cs="微软雅黑"/>
          <w:snapToGrid w:val="0"/>
          <w:color w:val="000000"/>
          <w:kern w:val="0"/>
          <w:sz w:val="19"/>
          <w:szCs w:val="19"/>
        </w:rPr>
      </w:pPr>
      <w:r>
        <w:rPr>
          <w:rFonts w:ascii="微软雅黑" w:hAnsi="微软雅黑" w:eastAsia="微软雅黑" w:cs="微软雅黑"/>
          <w:snapToGrid w:val="0"/>
          <w:color w:val="000000"/>
          <w:kern w:val="0"/>
          <w:sz w:val="19"/>
          <w:szCs w:val="19"/>
        </w:rPr>
        <w:t xml:space="preserve">1)  </w:t>
      </w:r>
    </w:p>
    <w:p>
      <w:pPr>
        <w:widowControl/>
        <w:kinsoku w:val="0"/>
        <w:autoSpaceDE w:val="0"/>
        <w:autoSpaceDN w:val="0"/>
        <w:adjustRightInd w:val="0"/>
        <w:snapToGrid w:val="0"/>
        <w:spacing w:before="18" w:line="360" w:lineRule="auto"/>
        <w:ind w:left="735" w:leftChars="350" w:firstLine="420" w:firstLineChars="200"/>
        <w:textAlignment w:val="baseline"/>
        <w:rPr>
          <w:rFonts w:hint="eastAsia" w:asciiTheme="minorEastAsia" w:hAnsiTheme="minorEastAsia" w:cstheme="minorEastAsia"/>
          <w:kern w:val="21"/>
          <w:szCs w:val="21"/>
        </w:rPr>
      </w:pPr>
      <w:r>
        <w:rPr>
          <w:rFonts w:hint="eastAsia" w:ascii="黑体" w:hAnsi="黑体" w:eastAsia="黑体" w:cs="微软雅黑"/>
          <w:snapToGrid w:val="0"/>
          <w:color w:val="000000"/>
          <w:kern w:val="0"/>
          <w:position w:val="-2"/>
          <w:szCs w:val="21"/>
        </w:rPr>
        <w:t>b)</w:t>
      </w:r>
      <w:r>
        <w:rPr>
          <w:rFonts w:hint="eastAsia" w:asciiTheme="minorEastAsia" w:hAnsiTheme="minorEastAsia" w:cstheme="minorEastAsia"/>
          <w:kern w:val="21"/>
          <w:szCs w:val="21"/>
        </w:rPr>
        <w:t>振动：具体见GB 10068。</w:t>
      </w:r>
    </w:p>
    <w:p>
      <w:pPr>
        <w:pStyle w:val="6"/>
        <w:spacing w:before="17" w:line="360" w:lineRule="auto"/>
        <w:ind w:right="74"/>
        <w:rPr>
          <w:rFonts w:hint="eastAsia" w:ascii="黑体" w:hAnsi="黑体" w:eastAsia="黑体" w:cs="黑体"/>
          <w:sz w:val="21"/>
          <w:szCs w:val="22"/>
        </w:rPr>
      </w:pPr>
      <w:r>
        <w:rPr>
          <w:rFonts w:hint="eastAsia" w:ascii="黑体" w:hAnsi="黑体" w:eastAsia="黑体" w:cs="黑体"/>
          <w:sz w:val="21"/>
          <w:szCs w:val="22"/>
        </w:rPr>
        <w:t>8.3.5</w:t>
      </w:r>
      <w:r>
        <w:rPr>
          <w:rFonts w:hint="eastAsia" w:ascii="黑体" w:hAnsi="黑体" w:eastAsia="黑体" w:cs="黑体"/>
          <w:spacing w:val="20"/>
          <w:position w:val="-2"/>
          <w:sz w:val="21"/>
          <w:szCs w:val="21"/>
          <w:lang w:eastAsia="zh-CN"/>
        </w:rPr>
        <w:t>【</w:t>
      </w:r>
      <w:r>
        <w:rPr>
          <w:rFonts w:hint="eastAsia" w:ascii="黑体" w:hAnsi="黑体" w:eastAsia="黑体" w:cs="黑体"/>
          <w:spacing w:val="20"/>
          <w:position w:val="-2"/>
          <w:sz w:val="21"/>
          <w:szCs w:val="21"/>
        </w:rPr>
        <w:t>新增</w:t>
      </w:r>
      <w:r>
        <w:rPr>
          <w:rFonts w:hint="eastAsia" w:ascii="黑体" w:hAnsi="黑体" w:eastAsia="黑体" w:cs="黑体"/>
          <w:spacing w:val="20"/>
          <w:position w:val="-2"/>
          <w:sz w:val="21"/>
          <w:szCs w:val="21"/>
          <w:lang w:eastAsia="zh-CN"/>
        </w:rPr>
        <w:t>】</w:t>
      </w:r>
    </w:p>
    <w:p>
      <w:pPr>
        <w:widowControl/>
        <w:kinsoku w:val="0"/>
        <w:autoSpaceDE w:val="0"/>
        <w:autoSpaceDN w:val="0"/>
        <w:adjustRightInd w:val="0"/>
        <w:snapToGrid w:val="0"/>
        <w:spacing w:line="360" w:lineRule="auto"/>
        <w:ind w:firstLine="420" w:firstLineChars="200"/>
        <w:jc w:val="left"/>
        <w:textAlignment w:val="baseline"/>
        <w:rPr>
          <w:rFonts w:hint="eastAsia" w:ascii="黑体" w:hAnsi="黑体" w:eastAsia="黑体" w:cs="微软雅黑"/>
          <w:snapToGrid w:val="0"/>
          <w:color w:val="000000"/>
          <w:kern w:val="0"/>
          <w:position w:val="-2"/>
          <w:szCs w:val="21"/>
        </w:rPr>
      </w:pPr>
      <w:r>
        <w:rPr>
          <w:rFonts w:hint="eastAsia" w:ascii="黑体" w:hAnsi="黑体" w:eastAsia="黑体" w:cs="微软雅黑"/>
          <w:snapToGrid w:val="0"/>
          <w:color w:val="000000"/>
          <w:kern w:val="0"/>
          <w:position w:val="-2"/>
          <w:szCs w:val="21"/>
        </w:rPr>
        <w:t>1</w:t>
      </w:r>
    </w:p>
    <w:p>
      <w:pPr>
        <w:widowControl/>
        <w:kinsoku w:val="0"/>
        <w:autoSpaceDE w:val="0"/>
        <w:autoSpaceDN w:val="0"/>
        <w:adjustRightInd w:val="0"/>
        <w:snapToGrid w:val="0"/>
        <w:spacing w:before="37" w:line="360" w:lineRule="auto"/>
        <w:ind w:left="846" w:leftChars="403"/>
        <w:jc w:val="left"/>
        <w:textAlignment w:val="baseline"/>
        <w:rPr>
          <w:rFonts w:hint="eastAsia" w:asciiTheme="minorEastAsia" w:hAnsiTheme="minorEastAsia" w:cstheme="minorEastAsia"/>
          <w:kern w:val="21"/>
          <w:szCs w:val="21"/>
        </w:rPr>
      </w:pPr>
      <w:r>
        <w:rPr>
          <w:rFonts w:hint="eastAsia" w:ascii="黑体" w:hAnsi="黑体" w:eastAsia="黑体" w:cs="微软雅黑"/>
          <w:snapToGrid w:val="0"/>
          <w:color w:val="000000"/>
          <w:kern w:val="0"/>
          <w:position w:val="-2"/>
          <w:szCs w:val="21"/>
        </w:rPr>
        <w:t xml:space="preserve">2) </w:t>
      </w:r>
      <w:r>
        <w:rPr>
          <w:rFonts w:hint="eastAsia" w:asciiTheme="minorEastAsia" w:hAnsiTheme="minorEastAsia" w:cstheme="minorEastAsia"/>
          <w:kern w:val="21"/>
          <w:szCs w:val="21"/>
        </w:rPr>
        <w:t>振动和摆度：具体见SL 321和GB/T 8564。</w:t>
      </w:r>
    </w:p>
    <w:p>
      <w:pPr>
        <w:widowControl/>
        <w:kinsoku w:val="0"/>
        <w:autoSpaceDE w:val="0"/>
        <w:autoSpaceDN w:val="0"/>
        <w:adjustRightInd w:val="0"/>
        <w:snapToGrid w:val="0"/>
        <w:spacing w:line="360" w:lineRule="auto"/>
        <w:ind w:left="846" w:leftChars="403"/>
        <w:jc w:val="left"/>
        <w:textAlignment w:val="baseline"/>
        <w:rPr>
          <w:rFonts w:hint="eastAsia" w:asciiTheme="minorEastAsia" w:hAnsiTheme="minorEastAsia" w:cstheme="minorEastAsia"/>
          <w:kern w:val="21"/>
          <w:szCs w:val="21"/>
        </w:rPr>
      </w:pPr>
      <w:r>
        <w:rPr>
          <w:rFonts w:hint="eastAsia" w:ascii="黑体" w:hAnsi="黑体" w:eastAsia="黑体" w:cs="微软雅黑"/>
          <w:snapToGrid w:val="0"/>
          <w:color w:val="000000"/>
          <w:kern w:val="0"/>
          <w:position w:val="-2"/>
          <w:szCs w:val="21"/>
        </w:rPr>
        <w:t>3)</w:t>
      </w:r>
      <w:r>
        <w:rPr>
          <w:rFonts w:hint="eastAsia" w:asciiTheme="minorEastAsia" w:hAnsiTheme="minorEastAsia" w:cstheme="minorEastAsia"/>
          <w:kern w:val="21"/>
          <w:szCs w:val="21"/>
        </w:rPr>
        <w:t xml:space="preserve"> 轴承温度、绝缘电阻、直流电阻、交流耐压试验、定子绕组直流耐压试验、定子绕组泄漏电流、定子绕组吸收比或极化数、相序、短时过电流试验、温升试验、电压波形畸变率、电话谐波因数：具体见SL 321。</w:t>
      </w:r>
    </w:p>
    <w:p>
      <w:pPr>
        <w:widowControl/>
        <w:kinsoku w:val="0"/>
        <w:autoSpaceDE w:val="0"/>
        <w:autoSpaceDN w:val="0"/>
        <w:adjustRightInd w:val="0"/>
        <w:snapToGrid w:val="0"/>
        <w:spacing w:before="15" w:line="360" w:lineRule="auto"/>
        <w:ind w:left="846" w:leftChars="403"/>
        <w:jc w:val="left"/>
        <w:textAlignment w:val="baseline"/>
        <w:rPr>
          <w:rFonts w:hint="eastAsia" w:asciiTheme="minorEastAsia" w:hAnsiTheme="minorEastAsia" w:cstheme="minorEastAsia"/>
          <w:kern w:val="21"/>
          <w:szCs w:val="21"/>
        </w:rPr>
      </w:pPr>
      <w:r>
        <w:rPr>
          <w:rFonts w:hint="eastAsia" w:ascii="黑体" w:hAnsi="黑体" w:eastAsia="黑体" w:cs="微软雅黑"/>
          <w:snapToGrid w:val="0"/>
          <w:color w:val="000000"/>
          <w:kern w:val="0"/>
          <w:position w:val="-2"/>
          <w:szCs w:val="21"/>
        </w:rPr>
        <w:t>4)</w:t>
      </w:r>
      <w:r>
        <w:rPr>
          <w:rFonts w:hint="eastAsia" w:asciiTheme="minorEastAsia" w:hAnsiTheme="minorEastAsia" w:cstheme="minorEastAsia"/>
          <w:kern w:val="21"/>
          <w:szCs w:val="21"/>
        </w:rPr>
        <w:t xml:space="preserve"> 噪声：具体见SL 321。</w:t>
      </w:r>
    </w:p>
    <w:p>
      <w:pPr>
        <w:widowControl/>
        <w:kinsoku w:val="0"/>
        <w:autoSpaceDE w:val="0"/>
        <w:autoSpaceDN w:val="0"/>
        <w:adjustRightInd w:val="0"/>
        <w:snapToGrid w:val="0"/>
        <w:spacing w:before="15" w:line="360" w:lineRule="auto"/>
        <w:ind w:left="1056" w:leftChars="400" w:hanging="216" w:hangingChars="103"/>
        <w:jc w:val="left"/>
        <w:textAlignment w:val="baseline"/>
        <w:rPr>
          <w:rFonts w:hint="eastAsia" w:asciiTheme="minorEastAsia" w:hAnsiTheme="minorEastAsia" w:cstheme="minorEastAsia"/>
          <w:kern w:val="21"/>
          <w:szCs w:val="21"/>
        </w:rPr>
      </w:pPr>
      <w:r>
        <w:rPr>
          <w:rFonts w:hint="eastAsia" w:ascii="黑体" w:hAnsi="黑体" w:eastAsia="黑体" w:cs="微软雅黑"/>
          <w:snapToGrid w:val="0"/>
          <w:color w:val="000000"/>
          <w:kern w:val="0"/>
          <w:position w:val="-2"/>
          <w:szCs w:val="21"/>
        </w:rPr>
        <w:t>8)</w:t>
      </w:r>
      <w:r>
        <w:rPr>
          <w:rFonts w:hint="eastAsia" w:asciiTheme="minorEastAsia" w:hAnsiTheme="minorEastAsia" w:cstheme="minorEastAsia"/>
          <w:kern w:val="21"/>
          <w:szCs w:val="21"/>
        </w:rPr>
        <w:t xml:space="preserve"> 空载特性、三相稳态短路特性：具体见DL/T 596。</w:t>
      </w:r>
    </w:p>
    <w:p>
      <w:pPr>
        <w:widowControl/>
        <w:kinsoku w:val="0"/>
        <w:autoSpaceDE w:val="0"/>
        <w:autoSpaceDN w:val="0"/>
        <w:adjustRightInd w:val="0"/>
        <w:snapToGrid w:val="0"/>
        <w:spacing w:line="360" w:lineRule="auto"/>
        <w:ind w:firstLine="420" w:firstLineChars="200"/>
        <w:jc w:val="left"/>
        <w:textAlignment w:val="baseline"/>
        <w:rPr>
          <w:rFonts w:hint="eastAsia" w:ascii="微软雅黑" w:hAnsi="微软雅黑" w:eastAsia="微软雅黑" w:cs="微软雅黑"/>
          <w:snapToGrid w:val="0"/>
          <w:color w:val="000000"/>
          <w:kern w:val="0"/>
          <w:position w:val="-2"/>
          <w:sz w:val="19"/>
          <w:szCs w:val="19"/>
        </w:rPr>
      </w:pPr>
      <w:r>
        <w:rPr>
          <w:rFonts w:hint="eastAsia" w:ascii="黑体" w:hAnsi="黑体" w:eastAsia="黑体" w:cs="微软雅黑"/>
          <w:snapToGrid w:val="0"/>
          <w:color w:val="000000"/>
          <w:kern w:val="0"/>
          <w:position w:val="-2"/>
          <w:szCs w:val="21"/>
        </w:rPr>
        <w:t xml:space="preserve">2  </w:t>
      </w:r>
      <w:r>
        <w:rPr>
          <w:rFonts w:ascii="微软雅黑" w:hAnsi="微软雅黑" w:eastAsia="微软雅黑" w:cs="微软雅黑"/>
          <w:snapToGrid w:val="0"/>
          <w:color w:val="000000"/>
          <w:kern w:val="0"/>
          <w:position w:val="-2"/>
          <w:sz w:val="19"/>
          <w:szCs w:val="19"/>
        </w:rPr>
        <w:t xml:space="preserve"> </w:t>
      </w:r>
    </w:p>
    <w:p>
      <w:pPr>
        <w:widowControl/>
        <w:kinsoku w:val="0"/>
        <w:autoSpaceDE w:val="0"/>
        <w:autoSpaceDN w:val="0"/>
        <w:adjustRightInd w:val="0"/>
        <w:snapToGrid w:val="0"/>
        <w:spacing w:before="38" w:line="360" w:lineRule="auto"/>
        <w:ind w:left="846" w:leftChars="403"/>
        <w:jc w:val="left"/>
        <w:textAlignment w:val="baseline"/>
        <w:rPr>
          <w:rFonts w:hint="eastAsia" w:asciiTheme="minorEastAsia" w:hAnsiTheme="minorEastAsia" w:cstheme="minorEastAsia"/>
          <w:kern w:val="21"/>
          <w:szCs w:val="21"/>
        </w:rPr>
      </w:pPr>
      <w:r>
        <w:rPr>
          <w:rFonts w:hint="eastAsia" w:ascii="黑体" w:hAnsi="黑体" w:eastAsia="黑体" w:cs="微软雅黑"/>
          <w:snapToGrid w:val="0"/>
          <w:color w:val="000000"/>
          <w:kern w:val="0"/>
          <w:position w:val="-2"/>
          <w:szCs w:val="21"/>
        </w:rPr>
        <w:t>1)</w:t>
      </w:r>
      <w:r>
        <w:rPr>
          <w:rFonts w:hint="eastAsia" w:asciiTheme="minorEastAsia" w:hAnsiTheme="minorEastAsia" w:cstheme="minorEastAsia"/>
          <w:kern w:val="21"/>
          <w:szCs w:val="21"/>
        </w:rPr>
        <w:t xml:space="preserve"> 振动：具体见GB 10068。</w:t>
      </w:r>
    </w:p>
    <w:p>
      <w:pPr>
        <w:widowControl/>
        <w:kinsoku w:val="0"/>
        <w:autoSpaceDE w:val="0"/>
        <w:autoSpaceDN w:val="0"/>
        <w:adjustRightInd w:val="0"/>
        <w:snapToGrid w:val="0"/>
        <w:spacing w:before="38" w:line="360" w:lineRule="auto"/>
        <w:ind w:left="846" w:leftChars="403"/>
        <w:jc w:val="left"/>
        <w:textAlignment w:val="baseline"/>
      </w:pPr>
      <w:r>
        <w:rPr>
          <w:rFonts w:hint="eastAsia" w:ascii="黑体" w:hAnsi="黑体" w:eastAsia="黑体" w:cs="微软雅黑"/>
          <w:snapToGrid w:val="0"/>
          <w:color w:val="000000"/>
          <w:kern w:val="0"/>
          <w:position w:val="-2"/>
          <w:szCs w:val="21"/>
        </w:rPr>
        <w:t>3)</w:t>
      </w:r>
      <w:r>
        <w:rPr>
          <w:rFonts w:hint="eastAsia"/>
        </w:rPr>
        <w:t xml:space="preserve"> </w:t>
      </w:r>
      <w:r>
        <w:rPr>
          <w:rFonts w:hint="eastAsia" w:asciiTheme="minorEastAsia" w:hAnsiTheme="minorEastAsia" w:cstheme="minorEastAsia"/>
          <w:kern w:val="21"/>
          <w:szCs w:val="21"/>
        </w:rPr>
        <w:t>电气部分检测项目：具体见SL 317。</w:t>
      </w:r>
    </w:p>
    <w:p>
      <w:pPr>
        <w:pStyle w:val="3"/>
        <w:snapToGrid w:val="0"/>
        <w:spacing w:before="156" w:beforeLines="50" w:after="156" w:afterLines="50" w:line="360" w:lineRule="auto"/>
        <w:jc w:val="center"/>
        <w:rPr>
          <w:rFonts w:ascii="黑体" w:hAnsi="黑体" w:cs="黑体"/>
          <w:sz w:val="24"/>
          <w:szCs w:val="24"/>
        </w:rPr>
      </w:pPr>
      <w:bookmarkStart w:id="425" w:name="_Toc193028451"/>
      <w:bookmarkStart w:id="426" w:name="_Toc9659"/>
      <w:bookmarkStart w:id="427" w:name="_Toc8109"/>
      <w:bookmarkStart w:id="428" w:name="_Toc3159"/>
      <w:r>
        <w:rPr>
          <w:rFonts w:ascii="黑体" w:hAnsi="黑体" w:cs="黑体"/>
          <w:sz w:val="24"/>
          <w:szCs w:val="24"/>
        </w:rPr>
        <w:t>8.4   高压电气设备</w:t>
      </w:r>
      <w:bookmarkEnd w:id="425"/>
      <w:bookmarkEnd w:id="426"/>
      <w:bookmarkEnd w:id="427"/>
      <w:bookmarkEnd w:id="428"/>
    </w:p>
    <w:p>
      <w:pPr>
        <w:pStyle w:val="6"/>
        <w:spacing w:before="143"/>
        <w:rPr>
          <w:rFonts w:hint="eastAsia" w:asciiTheme="minorEastAsia" w:hAnsiTheme="minorEastAsia" w:eastAsiaTheme="minorEastAsia" w:cstheme="minorEastAsia"/>
          <w:kern w:val="21"/>
          <w:sz w:val="21"/>
          <w:szCs w:val="21"/>
        </w:rPr>
      </w:pPr>
      <w:r>
        <w:rPr>
          <w:rFonts w:hint="eastAsia" w:ascii="黑体" w:hAnsi="黑体" w:eastAsia="黑体" w:cs="黑体"/>
          <w:sz w:val="21"/>
          <w:szCs w:val="22"/>
        </w:rPr>
        <w:t xml:space="preserve">8.5.1 </w:t>
      </w:r>
      <w:r>
        <w:rPr>
          <w:rFonts w:hint="eastAsia" w:asciiTheme="minorEastAsia" w:hAnsiTheme="minorEastAsia" w:eastAsiaTheme="minorEastAsia" w:cstheme="minorEastAsia"/>
          <w:kern w:val="21"/>
          <w:sz w:val="21"/>
          <w:szCs w:val="21"/>
        </w:rPr>
        <w:t xml:space="preserve"> </w:t>
      </w:r>
    </w:p>
    <w:p>
      <w:pPr>
        <w:pStyle w:val="6"/>
        <w:spacing w:before="143"/>
        <w:rPr>
          <w:rFonts w:hint="eastAsia" w:asciiTheme="minorEastAsia" w:hAnsiTheme="minorEastAsia" w:eastAsiaTheme="minorEastAsia" w:cstheme="minorEastAsia"/>
          <w:kern w:val="21"/>
          <w:sz w:val="21"/>
          <w:szCs w:val="21"/>
        </w:rPr>
      </w:pPr>
      <w:r>
        <w:rPr>
          <w:rFonts w:hint="eastAsia" w:asciiTheme="minorEastAsia" w:hAnsiTheme="minorEastAsia" w:eastAsiaTheme="minorEastAsia" w:cstheme="minorEastAsia"/>
          <w:kern w:val="21"/>
          <w:sz w:val="21"/>
          <w:szCs w:val="21"/>
        </w:rPr>
        <w:t xml:space="preserve">  </w:t>
      </w:r>
      <w:r>
        <w:rPr>
          <w:rFonts w:hint="eastAsia" w:ascii="黑体" w:hAnsi="黑体" w:eastAsia="黑体" w:cs="黑体"/>
          <w:sz w:val="21"/>
          <w:szCs w:val="22"/>
        </w:rPr>
        <w:t xml:space="preserve">  1</w:t>
      </w:r>
      <w:r>
        <w:rPr>
          <w:rFonts w:hint="eastAsia" w:ascii="黑体" w:hAnsi="黑体" w:eastAsia="黑体" w:cs="黑体"/>
          <w:spacing w:val="20"/>
          <w:position w:val="-2"/>
          <w:sz w:val="21"/>
          <w:szCs w:val="21"/>
          <w:lang w:eastAsia="zh-CN"/>
        </w:rPr>
        <w:t>【</w:t>
      </w:r>
      <w:r>
        <w:rPr>
          <w:rFonts w:hint="eastAsia" w:ascii="黑体" w:hAnsi="黑体" w:eastAsia="黑体" w:cs="黑体"/>
          <w:spacing w:val="20"/>
          <w:position w:val="-2"/>
          <w:sz w:val="21"/>
          <w:szCs w:val="21"/>
        </w:rPr>
        <w:t>新增</w:t>
      </w:r>
      <w:r>
        <w:rPr>
          <w:rFonts w:hint="eastAsia" w:ascii="黑体" w:hAnsi="黑体" w:eastAsia="黑体" w:cs="黑体"/>
          <w:spacing w:val="20"/>
          <w:position w:val="-2"/>
          <w:sz w:val="21"/>
          <w:szCs w:val="21"/>
          <w:lang w:eastAsia="zh-CN"/>
        </w:rPr>
        <w:t>】</w:t>
      </w:r>
      <w:r>
        <w:rPr>
          <w:rFonts w:hint="eastAsia" w:asciiTheme="minorEastAsia" w:hAnsiTheme="minorEastAsia" w:eastAsiaTheme="minorEastAsia" w:cstheme="minorEastAsia"/>
          <w:kern w:val="21"/>
          <w:sz w:val="21"/>
          <w:szCs w:val="21"/>
        </w:rPr>
        <w:t xml:space="preserve"> </w:t>
      </w:r>
      <w:r>
        <w:rPr>
          <w:rFonts w:hint="eastAsia" w:asciiTheme="minorEastAsia" w:hAnsiTheme="minorEastAsia" w:eastAsiaTheme="minorEastAsia" w:cstheme="minorEastAsia"/>
          <w:kern w:val="21"/>
          <w:sz w:val="21"/>
          <w:szCs w:val="21"/>
        </w:rPr>
        <w:t xml:space="preserve">  本条新增。电力变压器为主要的高压电气设备，检测项目根据GB 50150、DL/T 596等相关标准确定。</w:t>
      </w:r>
    </w:p>
    <w:p>
      <w:pPr>
        <w:pStyle w:val="3"/>
        <w:snapToGrid w:val="0"/>
        <w:spacing w:before="156" w:beforeLines="50" w:after="156" w:afterLines="50" w:line="360" w:lineRule="auto"/>
        <w:jc w:val="center"/>
        <w:rPr>
          <w:rFonts w:ascii="黑体" w:hAnsi="黑体" w:cs="黑体"/>
          <w:sz w:val="24"/>
          <w:szCs w:val="24"/>
        </w:rPr>
      </w:pPr>
      <w:bookmarkStart w:id="429" w:name="_Toc8218"/>
      <w:bookmarkStart w:id="430" w:name="_Toc193028452"/>
      <w:bookmarkStart w:id="431" w:name="_Toc9385"/>
      <w:bookmarkStart w:id="432" w:name="_Toc24934"/>
      <w:r>
        <w:rPr>
          <w:rFonts w:ascii="黑体" w:hAnsi="黑体" w:cs="黑体"/>
          <w:sz w:val="24"/>
          <w:szCs w:val="24"/>
        </w:rPr>
        <w:t>8.5   电气二次设备</w:t>
      </w:r>
      <w:bookmarkEnd w:id="429"/>
      <w:bookmarkEnd w:id="430"/>
      <w:bookmarkEnd w:id="431"/>
      <w:bookmarkEnd w:id="432"/>
    </w:p>
    <w:p>
      <w:pPr>
        <w:widowControl/>
        <w:kinsoku w:val="0"/>
        <w:autoSpaceDE w:val="0"/>
        <w:autoSpaceDN w:val="0"/>
        <w:adjustRightInd w:val="0"/>
        <w:snapToGrid w:val="0"/>
        <w:spacing w:before="144"/>
        <w:jc w:val="left"/>
        <w:textAlignment w:val="baseline"/>
        <w:rPr>
          <w:rFonts w:hint="eastAsia" w:asciiTheme="minorEastAsia" w:hAnsiTheme="minorEastAsia" w:cstheme="minorEastAsia"/>
          <w:snapToGrid w:val="0"/>
          <w:color w:val="000000"/>
          <w:kern w:val="21"/>
          <w:szCs w:val="21"/>
        </w:rPr>
      </w:pPr>
      <w:r>
        <w:rPr>
          <w:rFonts w:hint="eastAsia" w:ascii="黑体" w:hAnsi="黑体" w:eastAsia="黑体" w:cs="黑体"/>
        </w:rPr>
        <w:t>8.5.1</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Theme="minorEastAsia" w:hAnsiTheme="minorEastAsia" w:cstheme="minorEastAsia"/>
          <w:snapToGrid w:val="0"/>
          <w:color w:val="000000"/>
          <w:kern w:val="21"/>
          <w:szCs w:val="21"/>
        </w:rPr>
        <w:t xml:space="preserve"> </w:t>
      </w:r>
    </w:p>
    <w:p>
      <w:pPr>
        <w:pStyle w:val="6"/>
        <w:spacing w:line="360" w:lineRule="auto"/>
        <w:ind w:firstLine="420" w:firstLineChars="200"/>
        <w:rPr>
          <w:rFonts w:hint="eastAsia" w:asciiTheme="minorEastAsia" w:hAnsiTheme="minorEastAsia" w:eastAsiaTheme="minorEastAsia" w:cstheme="minorEastAsia"/>
          <w:kern w:val="21"/>
          <w:sz w:val="21"/>
          <w:szCs w:val="21"/>
        </w:rPr>
      </w:pPr>
      <w:r>
        <w:rPr>
          <w:rFonts w:hint="eastAsia" w:ascii="黑体" w:hAnsi="黑体" w:eastAsia="黑体" w:cs="黑体"/>
          <w:sz w:val="21"/>
          <w:szCs w:val="22"/>
        </w:rPr>
        <w:t>3～4</w:t>
      </w:r>
      <w:r>
        <w:rPr>
          <w:rFonts w:hint="eastAsia" w:asciiTheme="minorEastAsia" w:hAnsiTheme="minorEastAsia" w:eastAsiaTheme="minorEastAsia" w:cstheme="minorEastAsia"/>
          <w:kern w:val="21"/>
          <w:sz w:val="21"/>
          <w:szCs w:val="21"/>
        </w:rPr>
        <w:t xml:space="preserve">   删除原标准8.12.1中直流系统、辅机设备控制系统、视频监视系统和通信系统。直流系统、辅机设备控制系统、视频监视系统和通信系统检测项目现场开展较少。</w:t>
      </w:r>
    </w:p>
    <w:p/>
    <w:p/>
    <w:p/>
    <w:p/>
    <w:p>
      <w:pPr>
        <w:pStyle w:val="2"/>
        <w:rPr>
          <w:rFonts w:hint="eastAsia" w:ascii="黑体" w:hAnsi="黑体" w:eastAsia="黑体" w:cs="黑体"/>
          <w:b w:val="0"/>
          <w:bCs w:val="0"/>
          <w:sz w:val="28"/>
          <w:szCs w:val="28"/>
        </w:rPr>
      </w:pPr>
      <w:bookmarkStart w:id="433" w:name="_Toc193028453"/>
      <w:bookmarkStart w:id="434" w:name="_Toc21714"/>
      <w:bookmarkStart w:id="435" w:name="_Toc25233"/>
      <w:bookmarkStart w:id="436" w:name="_Toc30721"/>
      <w:r>
        <w:rPr>
          <w:rFonts w:hint="eastAsia" w:ascii="黑体" w:hAnsi="黑体" w:eastAsia="黑体" w:cs="黑体"/>
          <w:b w:val="0"/>
          <w:bCs w:val="0"/>
          <w:sz w:val="28"/>
          <w:szCs w:val="28"/>
        </w:rPr>
        <w:t>9  外观测量</w:t>
      </w:r>
      <w:bookmarkEnd w:id="433"/>
      <w:bookmarkEnd w:id="434"/>
      <w:bookmarkEnd w:id="435"/>
      <w:bookmarkEnd w:id="436"/>
    </w:p>
    <w:p>
      <w:pPr>
        <w:pStyle w:val="3"/>
        <w:snapToGrid w:val="0"/>
        <w:spacing w:before="156" w:beforeLines="50" w:after="156" w:afterLines="50" w:line="360" w:lineRule="auto"/>
        <w:jc w:val="center"/>
        <w:rPr>
          <w:rFonts w:ascii="黑体" w:hAnsi="黑体" w:cs="黑体"/>
          <w:sz w:val="24"/>
          <w:szCs w:val="24"/>
        </w:rPr>
      </w:pPr>
      <w:bookmarkStart w:id="437" w:name="_Toc32751"/>
      <w:bookmarkStart w:id="438" w:name="_Toc193028454"/>
      <w:bookmarkStart w:id="439" w:name="_Toc11962"/>
      <w:bookmarkStart w:id="440" w:name="_Toc13366"/>
      <w:r>
        <w:rPr>
          <w:rFonts w:ascii="黑体" w:hAnsi="黑体" w:cs="黑体"/>
          <w:sz w:val="24"/>
          <w:szCs w:val="24"/>
        </w:rPr>
        <w:t>9.2  检测项目及测区布置和数量</w:t>
      </w:r>
      <w:bookmarkEnd w:id="437"/>
      <w:bookmarkEnd w:id="438"/>
      <w:bookmarkEnd w:id="439"/>
      <w:bookmarkEnd w:id="440"/>
    </w:p>
    <w:p>
      <w:pPr>
        <w:tabs>
          <w:tab w:val="center" w:pos="4153"/>
        </w:tabs>
        <w:spacing w:line="360" w:lineRule="auto"/>
        <w:rPr>
          <w:rFonts w:hint="eastAsia" w:ascii="宋体" w:hAnsi="宋体" w:eastAsia="宋体" w:cs="宋体"/>
        </w:rPr>
      </w:pPr>
      <w:r>
        <w:rPr>
          <w:rFonts w:hint="eastAsia" w:ascii="黑体" w:hAnsi="黑体" w:eastAsia="黑体" w:cs="黑体"/>
          <w:spacing w:val="20"/>
          <w:position w:val="-2"/>
          <w:szCs w:val="21"/>
        </w:rPr>
        <w:t xml:space="preserve">9.2.1  </w:t>
      </w:r>
      <w:r>
        <w:rPr>
          <w:rFonts w:hint="eastAsia" w:ascii="宋体" w:hAnsi="宋体" w:eastAsia="宋体" w:cs="宋体"/>
        </w:rPr>
        <w:t>几何尺寸中的高度，在一些建筑物也称为厚度或深度。</w:t>
      </w:r>
    </w:p>
    <w:p>
      <w:pPr>
        <w:tabs>
          <w:tab w:val="center" w:pos="4153"/>
        </w:tabs>
        <w:spacing w:line="360" w:lineRule="auto"/>
        <w:rPr>
          <w:rFonts w:hint="eastAsia" w:ascii="宋体" w:hAnsi="宋体" w:eastAsia="宋体" w:cs="宋体"/>
        </w:rPr>
      </w:pPr>
      <w:r>
        <w:rPr>
          <w:rFonts w:hint="eastAsia" w:ascii="黑体" w:hAnsi="黑体" w:eastAsia="黑体" w:cs="黑体"/>
          <w:spacing w:val="20"/>
          <w:position w:val="-2"/>
          <w:szCs w:val="21"/>
        </w:rPr>
        <w:t>9.2.2</w:t>
      </w:r>
      <w:r>
        <w:rPr>
          <w:rFonts w:hint="eastAsia" w:ascii="黑体" w:hAnsi="黑体" w:eastAsia="黑体" w:cs="黑体"/>
          <w:lang w:eastAsia="zh-CN"/>
        </w:rPr>
        <w:t>【</w:t>
      </w:r>
      <w:r>
        <w:rPr>
          <w:rFonts w:hint="eastAsia" w:ascii="黑体" w:hAnsi="黑体" w:eastAsia="黑体" w:cs="黑体"/>
        </w:rPr>
        <w:t>修订</w:t>
      </w:r>
      <w:r>
        <w:rPr>
          <w:rFonts w:hint="eastAsia" w:ascii="黑体" w:hAnsi="黑体" w:eastAsia="黑体" w:cs="黑体"/>
          <w:lang w:eastAsia="zh-CN"/>
        </w:rPr>
        <w:t>】</w:t>
      </w:r>
      <w:r>
        <w:rPr>
          <w:rFonts w:hint="eastAsia" w:ascii="黑体" w:hAnsi="黑体" w:eastAsia="黑体" w:cs="黑体"/>
          <w:spacing w:val="20"/>
          <w:position w:val="-2"/>
          <w:szCs w:val="21"/>
        </w:rPr>
        <w:t xml:space="preserve">  </w:t>
      </w:r>
      <w:r>
        <w:rPr>
          <w:rFonts w:hint="eastAsia" w:ascii="宋体" w:hAnsi="宋体" w:eastAsia="宋体" w:cs="宋体"/>
        </w:rPr>
        <w:t>挡水建筑物指土坝、混凝土重力坝、拱坝、土石坝（沥青混凝土心墙土石坝、混凝土面板堆石坝）、碾压混凝土坝。</w:t>
      </w:r>
    </w:p>
    <w:p>
      <w:pPr>
        <w:tabs>
          <w:tab w:val="center" w:pos="4153"/>
        </w:tabs>
        <w:spacing w:line="360" w:lineRule="auto"/>
        <w:rPr>
          <w:rFonts w:hint="eastAsia" w:ascii="宋体" w:hAnsi="宋体" w:eastAsia="宋体" w:cs="宋体"/>
        </w:rPr>
      </w:pPr>
      <w:r>
        <w:rPr>
          <w:rFonts w:hint="eastAsia" w:ascii="黑体" w:hAnsi="黑体" w:eastAsia="黑体" w:cs="黑体"/>
          <w:spacing w:val="20"/>
          <w:position w:val="-2"/>
          <w:szCs w:val="21"/>
        </w:rPr>
        <w:t>9.2.4</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 xml:space="preserve">  </w:t>
      </w:r>
      <w:r>
        <w:rPr>
          <w:rFonts w:hint="eastAsia" w:ascii="宋体" w:hAnsi="宋体" w:eastAsia="宋体" w:cs="宋体"/>
        </w:rPr>
        <w:t>毛石护坡、干（浆）砌石护坡、混凝土预制块护坡工程验收平整度检测每2000m堤长至少检测3个点。</w:t>
      </w:r>
    </w:p>
    <w:p>
      <w:pPr>
        <w:tabs>
          <w:tab w:val="center" w:pos="4153"/>
        </w:tabs>
        <w:spacing w:line="360" w:lineRule="auto"/>
        <w:rPr>
          <w:rFonts w:hint="eastAsia" w:ascii="宋体" w:hAnsi="宋体" w:eastAsia="宋体" w:cs="宋体"/>
        </w:rPr>
      </w:pPr>
      <w:r>
        <w:rPr>
          <w:rFonts w:hint="eastAsia" w:ascii="黑体" w:hAnsi="黑体" w:eastAsia="黑体" w:cs="黑体"/>
          <w:spacing w:val="20"/>
          <w:position w:val="-2"/>
          <w:szCs w:val="21"/>
        </w:rPr>
        <w:t xml:space="preserve">9.2.6  </w:t>
      </w:r>
      <w:r>
        <w:rPr>
          <w:rFonts w:hint="eastAsia" w:ascii="宋体" w:hAnsi="宋体" w:eastAsia="宋体" w:cs="宋体"/>
        </w:rPr>
        <w:t>隧洞如已投入运行通水或隧洞直径、高度小于2m，测点只宜布置在进出口。</w:t>
      </w:r>
    </w:p>
    <w:p>
      <w:pPr>
        <w:pStyle w:val="3"/>
        <w:snapToGrid w:val="0"/>
        <w:spacing w:before="156" w:beforeLines="50" w:after="156" w:afterLines="50" w:line="360" w:lineRule="auto"/>
        <w:jc w:val="center"/>
        <w:rPr>
          <w:rFonts w:ascii="黑体" w:hAnsi="黑体" w:cs="黑体"/>
          <w:sz w:val="24"/>
          <w:szCs w:val="24"/>
        </w:rPr>
      </w:pPr>
      <w:bookmarkStart w:id="441" w:name="_Toc5883"/>
      <w:bookmarkStart w:id="442" w:name="_Toc1422"/>
      <w:bookmarkStart w:id="443" w:name="_Toc193028455"/>
      <w:bookmarkStart w:id="444" w:name="_Toc22197"/>
      <w:r>
        <w:rPr>
          <w:rFonts w:ascii="黑体" w:hAnsi="黑体" w:cs="黑体"/>
          <w:sz w:val="24"/>
          <w:szCs w:val="24"/>
        </w:rPr>
        <w:t>9.3  检测方法</w:t>
      </w:r>
      <w:bookmarkEnd w:id="441"/>
      <w:bookmarkEnd w:id="442"/>
      <w:bookmarkEnd w:id="443"/>
      <w:bookmarkEnd w:id="444"/>
    </w:p>
    <w:p>
      <w:pPr>
        <w:tabs>
          <w:tab w:val="center" w:pos="4153"/>
        </w:tabs>
        <w:spacing w:line="360" w:lineRule="auto"/>
        <w:rPr>
          <w:rFonts w:hint="eastAsia" w:ascii="宋体" w:hAnsi="宋体" w:eastAsia="宋体" w:cs="宋体"/>
        </w:rPr>
      </w:pPr>
      <w:r>
        <w:rPr>
          <w:rFonts w:hint="eastAsia" w:ascii="黑体" w:hAnsi="黑体" w:eastAsia="黑体" w:cs="黑体"/>
          <w:spacing w:val="20"/>
          <w:position w:val="-2"/>
          <w:szCs w:val="21"/>
        </w:rPr>
        <w:t xml:space="preserve">9.3.4  </w:t>
      </w:r>
      <w:r>
        <w:rPr>
          <w:rFonts w:hint="eastAsia" w:ascii="宋体" w:hAnsi="宋体" w:eastAsia="宋体" w:cs="宋体"/>
        </w:rPr>
        <w:t>当测量人员安全能有保证的情况下可使用坡度仪进行测量，例如：测量渠道边坡、坝下游护坡等。在不能保证测量人员安全的情况下应使用全站仪及配套棱镜、觇牌测量坡度，例如：混凝土面板堆石坝上游坡度、溢洪道泄洪陡坡度的测量等。</w:t>
      </w:r>
    </w:p>
    <w:p>
      <w:pPr>
        <w:pStyle w:val="3"/>
        <w:snapToGrid w:val="0"/>
        <w:spacing w:before="156" w:beforeLines="50" w:after="156" w:afterLines="50" w:line="360" w:lineRule="auto"/>
        <w:jc w:val="center"/>
        <w:rPr>
          <w:rFonts w:ascii="黑体" w:hAnsi="黑体" w:cs="黑体"/>
          <w:sz w:val="24"/>
          <w:szCs w:val="24"/>
        </w:rPr>
      </w:pPr>
      <w:bookmarkStart w:id="445" w:name="_Toc19092"/>
      <w:bookmarkStart w:id="446" w:name="_Toc193028456"/>
      <w:bookmarkStart w:id="447" w:name="_Toc26394"/>
      <w:bookmarkStart w:id="448" w:name="_Toc1805"/>
      <w:r>
        <w:rPr>
          <w:rFonts w:ascii="黑体" w:hAnsi="黑体" w:cs="黑体"/>
          <w:sz w:val="24"/>
          <w:szCs w:val="24"/>
        </w:rPr>
        <w:t>9.4  结果评价</w:t>
      </w:r>
      <w:bookmarkEnd w:id="445"/>
      <w:bookmarkEnd w:id="446"/>
      <w:bookmarkEnd w:id="447"/>
      <w:bookmarkEnd w:id="448"/>
    </w:p>
    <w:p>
      <w:pPr>
        <w:tabs>
          <w:tab w:val="center" w:pos="4153"/>
        </w:tabs>
        <w:spacing w:line="360" w:lineRule="auto"/>
        <w:rPr>
          <w:rFonts w:hint="eastAsia" w:ascii="宋体" w:hAnsi="宋体" w:eastAsia="宋体" w:cs="宋体"/>
        </w:rPr>
      </w:pPr>
      <w:r>
        <w:rPr>
          <w:rFonts w:hint="eastAsia" w:ascii="黑体" w:hAnsi="黑体" w:eastAsia="黑体" w:cs="黑体"/>
          <w:spacing w:val="20"/>
          <w:position w:val="-2"/>
          <w:szCs w:val="21"/>
        </w:rPr>
        <w:t>9.4.5</w:t>
      </w:r>
      <w:r>
        <w:rPr>
          <w:rFonts w:hint="eastAsia" w:ascii="黑体" w:hAnsi="黑体" w:eastAsia="黑体" w:cs="黑体"/>
          <w:lang w:eastAsia="zh-CN"/>
        </w:rPr>
        <w:t>【</w:t>
      </w:r>
      <w:r>
        <w:rPr>
          <w:rFonts w:hint="eastAsia" w:ascii="黑体" w:hAnsi="黑体" w:eastAsia="黑体" w:cs="黑体"/>
        </w:rPr>
        <w:t>修订</w:t>
      </w:r>
      <w:r>
        <w:rPr>
          <w:rFonts w:hint="eastAsia" w:ascii="黑体" w:hAnsi="黑体" w:eastAsia="黑体" w:cs="黑体"/>
          <w:lang w:eastAsia="zh-CN"/>
        </w:rPr>
        <w:t>】</w:t>
      </w:r>
      <w:r>
        <w:rPr>
          <w:rFonts w:hint="eastAsia" w:ascii="宋体" w:hAnsi="宋体" w:eastAsia="宋体" w:cs="宋体"/>
        </w:rPr>
        <w:t xml:space="preserve">  土建类 SL/T 631.1～631.4《水利水电单元工程施工质量验收评定标准一土石方、混凝土、地基处理与基础、堤防工程》规定合格等级为应有 80%及以上的检验点合格，且不合格点不能集中。</w:t>
      </w:r>
    </w:p>
    <w:p>
      <w:pPr>
        <w:tabs>
          <w:tab w:val="center" w:pos="4153"/>
        </w:tabs>
        <w:spacing w:line="360" w:lineRule="auto"/>
        <w:ind w:firstLine="420" w:firstLineChars="200"/>
        <w:rPr>
          <w:rFonts w:hint="eastAsia" w:ascii="宋体" w:hAnsi="宋体" w:eastAsia="宋体" w:cs="宋体"/>
        </w:rPr>
      </w:pPr>
      <w:r>
        <w:rPr>
          <w:rFonts w:hint="eastAsia" w:ascii="宋体" w:hAnsi="宋体" w:eastAsia="宋体" w:cs="宋体"/>
        </w:rPr>
        <w:t>若一次检测不能达到标准要求，可按总测点的2倍数量复测；若仍不能达到标准要求，判为不合格。是参照SL/T223“工程中出现检验不合格的项目时，按以下规定进行处理：原材料、中间产品一次抽样检验不合格时，应及时对同一取样批次另取两倍数量进行检验，如仍不合格，则该批次原材料或中间产品不合格，不得使用”的规定提出的。</w:t>
      </w:r>
    </w:p>
    <w:p>
      <w:pPr>
        <w:rPr>
          <w:rFonts w:hint="eastAsia" w:ascii="宋体" w:hAnsi="宋体" w:eastAsia="宋体" w:cs="宋体"/>
        </w:rPr>
      </w:pPr>
    </w:p>
    <w:p>
      <w:pPr>
        <w:rPr>
          <w:rFonts w:hint="eastAsia" w:ascii="宋体" w:hAnsi="宋体" w:eastAsia="宋体" w:cs="宋体"/>
        </w:rPr>
      </w:pPr>
    </w:p>
    <w:p>
      <w:pPr>
        <w:rPr>
          <w:rFonts w:hint="eastAsia" w:ascii="宋体" w:hAnsi="宋体" w:eastAsia="宋体" w:cs="宋体"/>
        </w:rPr>
      </w:pPr>
    </w:p>
    <w:p>
      <w:pPr>
        <w:rPr>
          <w:rFonts w:hint="eastAsia" w:ascii="宋体" w:hAnsi="宋体" w:eastAsia="宋体" w:cs="宋体"/>
        </w:rPr>
      </w:pPr>
    </w:p>
    <w:p>
      <w:pPr>
        <w:rPr>
          <w:rFonts w:hint="eastAsia" w:ascii="宋体" w:hAnsi="宋体" w:eastAsia="宋体" w:cs="宋体"/>
        </w:rPr>
      </w:pPr>
    </w:p>
    <w:p>
      <w:pPr>
        <w:rPr>
          <w:rFonts w:hint="eastAsia" w:ascii="宋体" w:hAnsi="宋体" w:eastAsia="宋体" w:cs="宋体"/>
        </w:rPr>
      </w:pPr>
    </w:p>
    <w:p>
      <w:pPr>
        <w:rPr>
          <w:rFonts w:hint="eastAsia" w:ascii="宋体" w:hAnsi="宋体" w:eastAsia="宋体" w:cs="宋体"/>
        </w:rPr>
      </w:pPr>
    </w:p>
    <w:p>
      <w:pPr>
        <w:rPr>
          <w:rFonts w:hint="eastAsia" w:ascii="宋体" w:hAnsi="宋体" w:eastAsia="宋体" w:cs="宋体"/>
        </w:rPr>
      </w:pPr>
    </w:p>
    <w:p>
      <w:pPr>
        <w:rPr>
          <w:rFonts w:hint="eastAsia" w:ascii="宋体" w:hAnsi="宋体" w:eastAsia="宋体" w:cs="宋体"/>
        </w:rPr>
      </w:pPr>
    </w:p>
    <w:p>
      <w:pPr>
        <w:rPr>
          <w:rFonts w:hint="eastAsia" w:ascii="宋体" w:hAnsi="宋体" w:eastAsia="宋体" w:cs="宋体"/>
        </w:rPr>
      </w:pPr>
    </w:p>
    <w:p>
      <w:pPr>
        <w:rPr>
          <w:rFonts w:hint="eastAsia" w:ascii="宋体" w:hAnsi="宋体" w:eastAsia="宋体" w:cs="宋体"/>
        </w:rPr>
      </w:pPr>
    </w:p>
    <w:p>
      <w:pPr>
        <w:pStyle w:val="2"/>
        <w:rPr>
          <w:rFonts w:hint="eastAsia" w:ascii="宋体" w:hAnsi="宋体" w:eastAsia="宋体" w:cs="宋体"/>
        </w:rPr>
      </w:pPr>
      <w:bookmarkStart w:id="449" w:name="_Toc23466"/>
      <w:bookmarkStart w:id="450" w:name="_Toc21531"/>
      <w:r>
        <w:rPr>
          <w:rFonts w:ascii="黑体" w:hAnsi="黑体" w:eastAsia="黑体" w:cs="黑体"/>
          <w:b w:val="0"/>
          <w:bCs w:val="0"/>
          <w:sz w:val="28"/>
          <w:szCs w:val="28"/>
        </w:rPr>
        <w:t>10</w:t>
      </w:r>
      <w:r>
        <w:rPr>
          <w:rFonts w:hint="eastAsia" w:ascii="黑体" w:hAnsi="黑体" w:eastAsia="黑体" w:cs="黑体"/>
          <w:b w:val="0"/>
          <w:bCs w:val="0"/>
          <w:sz w:val="28"/>
          <w:szCs w:val="28"/>
        </w:rPr>
        <w:t xml:space="preserve">   信息化系统</w:t>
      </w:r>
      <w:bookmarkEnd w:id="449"/>
      <w:bookmarkEnd w:id="450"/>
    </w:p>
    <w:p>
      <w:pPr>
        <w:pStyle w:val="3"/>
        <w:snapToGrid w:val="0"/>
        <w:spacing w:before="156" w:beforeLines="50" w:after="156" w:afterLines="50" w:line="360" w:lineRule="auto"/>
        <w:jc w:val="center"/>
        <w:rPr>
          <w:rFonts w:ascii="黑体" w:hAnsi="黑体" w:cs="黑体"/>
          <w:sz w:val="24"/>
          <w:szCs w:val="24"/>
        </w:rPr>
      </w:pPr>
      <w:bookmarkStart w:id="451" w:name="_Toc8485"/>
      <w:bookmarkStart w:id="452" w:name="_Toc3553"/>
      <w:r>
        <w:rPr>
          <w:rFonts w:ascii="黑体" w:hAnsi="黑体" w:cs="黑体"/>
          <w:sz w:val="24"/>
          <w:szCs w:val="24"/>
        </w:rPr>
        <w:t xml:space="preserve">10.1 </w:t>
      </w:r>
      <w:r>
        <w:rPr>
          <w:rFonts w:hint="default" w:ascii="黑体" w:hAnsi="黑体" w:cs="黑体"/>
          <w:sz w:val="24"/>
          <w:szCs w:val="24"/>
        </w:rPr>
        <w:t xml:space="preserve">  </w:t>
      </w:r>
      <w:r>
        <w:rPr>
          <w:rFonts w:ascii="黑体" w:hAnsi="黑体" w:cs="黑体"/>
          <w:sz w:val="24"/>
          <w:szCs w:val="24"/>
        </w:rPr>
        <w:t>一般规定</w:t>
      </w:r>
      <w:bookmarkEnd w:id="451"/>
      <w:bookmarkEnd w:id="452"/>
    </w:p>
    <w:p>
      <w:pPr>
        <w:tabs>
          <w:tab w:val="center" w:pos="4153"/>
        </w:tabs>
        <w:spacing w:line="360" w:lineRule="auto"/>
        <w:rPr>
          <w:rFonts w:hint="eastAsia" w:asciiTheme="minorEastAsia" w:hAnsiTheme="minorEastAsia" w:cstheme="minorEastAsia"/>
          <w:kern w:val="21"/>
          <w:szCs w:val="21"/>
        </w:rPr>
      </w:pPr>
      <w:r>
        <w:rPr>
          <w:rFonts w:hint="eastAsia" w:ascii="黑体" w:hAnsi="黑体" w:eastAsia="黑体" w:cs="黑体"/>
          <w:spacing w:val="20"/>
          <w:position w:val="-2"/>
          <w:szCs w:val="21"/>
        </w:rPr>
        <w:t>10.1.3</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 xml:space="preserve"> </w:t>
      </w:r>
      <w:r>
        <w:rPr>
          <w:rFonts w:hint="eastAsia" w:asciiTheme="minorEastAsia" w:hAnsiTheme="minorEastAsia" w:cstheme="minorEastAsia"/>
          <w:kern w:val="21"/>
          <w:szCs w:val="21"/>
        </w:rPr>
        <w:t>方案编制需基于设计文件、合同条款及相关标准，重点明确以下内容：</w:t>
      </w:r>
    </w:p>
    <w:p>
      <w:pPr>
        <w:tabs>
          <w:tab w:val="center" w:pos="4153"/>
        </w:tabs>
        <w:spacing w:line="360" w:lineRule="auto"/>
        <w:rPr>
          <w:rFonts w:hint="eastAsia" w:asciiTheme="minorEastAsia" w:hAnsiTheme="minorEastAsia" w:cstheme="minorEastAsia"/>
          <w:kern w:val="21"/>
          <w:szCs w:val="21"/>
        </w:rPr>
      </w:pPr>
      <w:r>
        <w:rPr>
          <w:rFonts w:hint="eastAsia" w:asciiTheme="minorEastAsia" w:hAnsiTheme="minorEastAsia" w:cstheme="minorEastAsia"/>
          <w:kern w:val="21"/>
          <w:szCs w:val="21"/>
        </w:rPr>
        <w:t>建设内容：明确系统功能模块及技术架构。</w:t>
      </w:r>
    </w:p>
    <w:p>
      <w:pPr>
        <w:tabs>
          <w:tab w:val="center" w:pos="4153"/>
        </w:tabs>
        <w:spacing w:line="360" w:lineRule="auto"/>
        <w:rPr>
          <w:rFonts w:hint="eastAsia" w:asciiTheme="minorEastAsia" w:hAnsiTheme="minorEastAsia" w:cstheme="minorEastAsia"/>
          <w:kern w:val="21"/>
          <w:szCs w:val="21"/>
        </w:rPr>
      </w:pPr>
      <w:r>
        <w:rPr>
          <w:rFonts w:hint="eastAsia" w:asciiTheme="minorEastAsia" w:hAnsiTheme="minorEastAsia" w:cstheme="minorEastAsia"/>
          <w:kern w:val="21"/>
          <w:szCs w:val="21"/>
        </w:rPr>
        <w:t>约束性要求：包括技术规范、安全等级、兼容性等限制条件。</w:t>
      </w:r>
    </w:p>
    <w:p>
      <w:pPr>
        <w:tabs>
          <w:tab w:val="center" w:pos="4153"/>
        </w:tabs>
        <w:spacing w:line="360" w:lineRule="auto"/>
        <w:rPr>
          <w:rFonts w:hint="eastAsia" w:asciiTheme="minorEastAsia" w:hAnsiTheme="minorEastAsia" w:cstheme="minorEastAsia"/>
          <w:kern w:val="21"/>
          <w:szCs w:val="21"/>
        </w:rPr>
      </w:pPr>
      <w:r>
        <w:rPr>
          <w:rFonts w:hint="eastAsia" w:asciiTheme="minorEastAsia" w:hAnsiTheme="minorEastAsia" w:cstheme="minorEastAsia"/>
          <w:kern w:val="21"/>
          <w:szCs w:val="21"/>
        </w:rPr>
        <w:t>功能验证：覆盖核心业务流程（如预警、决策分析）。</w:t>
      </w:r>
    </w:p>
    <w:p>
      <w:pPr>
        <w:tabs>
          <w:tab w:val="center" w:pos="4153"/>
        </w:tabs>
        <w:spacing w:line="360" w:lineRule="auto"/>
        <w:rPr>
          <w:rFonts w:hint="eastAsia" w:asciiTheme="minorEastAsia" w:hAnsiTheme="minorEastAsia" w:cstheme="minorEastAsia"/>
          <w:kern w:val="21"/>
          <w:szCs w:val="21"/>
        </w:rPr>
      </w:pPr>
      <w:r>
        <w:rPr>
          <w:rFonts w:hint="eastAsia" w:asciiTheme="minorEastAsia" w:hAnsiTheme="minorEastAsia" w:cstheme="minorEastAsia"/>
          <w:kern w:val="21"/>
          <w:szCs w:val="21"/>
        </w:rPr>
        <w:t>关键技术难点：如多源数据融合、实时性保障、系统容灾等。</w:t>
      </w:r>
    </w:p>
    <w:p>
      <w:pPr>
        <w:tabs>
          <w:tab w:val="center" w:pos="4153"/>
        </w:tabs>
        <w:spacing w:line="360" w:lineRule="auto"/>
        <w:rPr>
          <w:rFonts w:hint="eastAsia" w:asciiTheme="minorEastAsia" w:hAnsiTheme="minorEastAsia" w:cstheme="minorEastAsia"/>
          <w:kern w:val="21"/>
          <w:szCs w:val="21"/>
        </w:rPr>
      </w:pPr>
      <w:r>
        <w:rPr>
          <w:rFonts w:hint="eastAsia" w:ascii="黑体" w:hAnsi="黑体" w:eastAsia="黑体" w:cs="黑体"/>
          <w:spacing w:val="20"/>
          <w:position w:val="-2"/>
          <w:szCs w:val="21"/>
        </w:rPr>
        <w:t>10.1.4</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 xml:space="preserve"> </w:t>
      </w:r>
      <w:r>
        <w:rPr>
          <w:rFonts w:hint="eastAsia" w:asciiTheme="minorEastAsia" w:hAnsiTheme="minorEastAsia" w:cstheme="minorEastAsia"/>
          <w:kern w:val="21"/>
          <w:szCs w:val="21"/>
        </w:rPr>
        <w:t>重点验证子系统互操作性（如数据接口一致性）及整体功能完整性，确保满足设计需求。</w:t>
      </w:r>
    </w:p>
    <w:p>
      <w:pPr>
        <w:tabs>
          <w:tab w:val="center" w:pos="4153"/>
        </w:tabs>
        <w:spacing w:line="360" w:lineRule="auto"/>
        <w:rPr>
          <w:rFonts w:hint="eastAsia" w:asciiTheme="minorEastAsia" w:hAnsiTheme="minorEastAsia" w:cstheme="minorEastAsia"/>
          <w:kern w:val="21"/>
          <w:szCs w:val="21"/>
        </w:rPr>
      </w:pPr>
      <w:r>
        <w:rPr>
          <w:rFonts w:hint="eastAsia" w:ascii="黑体" w:hAnsi="黑体" w:eastAsia="黑体" w:cs="黑体"/>
          <w:spacing w:val="20"/>
          <w:position w:val="-2"/>
          <w:szCs w:val="21"/>
        </w:rPr>
        <w:t>10.1.5</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 xml:space="preserve"> </w:t>
      </w:r>
      <w:r>
        <w:rPr>
          <w:rFonts w:hint="eastAsia" w:asciiTheme="minorEastAsia" w:hAnsiTheme="minorEastAsia" w:cstheme="minorEastAsia"/>
          <w:kern w:val="21"/>
          <w:szCs w:val="21"/>
        </w:rPr>
        <w:t>参照《水利水电工程网络系统设计规范》（SL434），检查网络设备性能、拓扑结构及安全防护。</w:t>
      </w:r>
    </w:p>
    <w:p>
      <w:pPr>
        <w:tabs>
          <w:tab w:val="center" w:pos="4153"/>
        </w:tabs>
        <w:spacing w:line="360" w:lineRule="auto"/>
        <w:rPr>
          <w:rFonts w:hint="eastAsia" w:asciiTheme="minorEastAsia" w:hAnsiTheme="minorEastAsia" w:cstheme="minorEastAsia"/>
          <w:kern w:val="21"/>
          <w:szCs w:val="21"/>
        </w:rPr>
      </w:pPr>
      <w:r>
        <w:rPr>
          <w:rFonts w:hint="eastAsia" w:ascii="黑体" w:hAnsi="黑体" w:eastAsia="黑体" w:cs="黑体"/>
          <w:spacing w:val="20"/>
          <w:position w:val="-2"/>
          <w:szCs w:val="21"/>
        </w:rPr>
        <w:t>10.1.6</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 xml:space="preserve"> </w:t>
      </w:r>
      <w:r>
        <w:rPr>
          <w:rFonts w:hint="eastAsia" w:asciiTheme="minorEastAsia" w:hAnsiTheme="minorEastAsia" w:cstheme="minorEastAsia"/>
          <w:kern w:val="21"/>
          <w:szCs w:val="21"/>
        </w:rPr>
        <w:t>涉密部分需按国家保密法规（如《涉密信息系统分级保护技术要求》）进行专项检测，通过后方可验收。</w:t>
      </w:r>
    </w:p>
    <w:p>
      <w:pPr>
        <w:tabs>
          <w:tab w:val="center" w:pos="4153"/>
        </w:tabs>
        <w:spacing w:line="360" w:lineRule="auto"/>
        <w:rPr>
          <w:rFonts w:hint="eastAsia" w:asciiTheme="minorEastAsia" w:hAnsiTheme="minorEastAsia" w:cstheme="minorEastAsia"/>
          <w:kern w:val="21"/>
          <w:szCs w:val="21"/>
        </w:rPr>
      </w:pPr>
      <w:r>
        <w:rPr>
          <w:rFonts w:hint="eastAsia" w:ascii="黑体" w:hAnsi="黑体" w:eastAsia="黑体" w:cs="黑体"/>
          <w:spacing w:val="20"/>
          <w:position w:val="-2"/>
          <w:szCs w:val="21"/>
        </w:rPr>
        <w:t>10.1.7</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 xml:space="preserve"> </w:t>
      </w:r>
      <w:r>
        <w:rPr>
          <w:rFonts w:hint="eastAsia" w:asciiTheme="minorEastAsia" w:hAnsiTheme="minorEastAsia" w:cstheme="minorEastAsia"/>
          <w:kern w:val="21"/>
          <w:szCs w:val="21"/>
        </w:rPr>
        <w:t>关键功能、性能及安全指标（如等级保护测评）须由行政部门认可的第三方机构实施，确保客观性和权威性。</w:t>
      </w:r>
    </w:p>
    <w:p>
      <w:pPr>
        <w:tabs>
          <w:tab w:val="center" w:pos="4153"/>
        </w:tabs>
        <w:spacing w:line="360" w:lineRule="auto"/>
        <w:rPr>
          <w:rFonts w:hint="eastAsia" w:ascii="黑体" w:hAnsi="黑体" w:eastAsia="黑体" w:cs="黑体"/>
          <w:spacing w:val="20"/>
          <w:position w:val="-2"/>
          <w:szCs w:val="21"/>
        </w:rPr>
      </w:pPr>
    </w:p>
    <w:p>
      <w:pPr>
        <w:pStyle w:val="3"/>
        <w:snapToGrid w:val="0"/>
        <w:spacing w:before="156" w:beforeLines="50" w:after="156" w:afterLines="50" w:line="360" w:lineRule="auto"/>
        <w:jc w:val="center"/>
        <w:rPr>
          <w:rFonts w:ascii="黑体" w:hAnsi="黑体" w:cs="黑体"/>
          <w:sz w:val="24"/>
          <w:szCs w:val="24"/>
        </w:rPr>
      </w:pPr>
      <w:bookmarkStart w:id="453" w:name="_Toc3118"/>
      <w:bookmarkStart w:id="454" w:name="_Toc12637"/>
      <w:r>
        <w:rPr>
          <w:rFonts w:ascii="黑体" w:hAnsi="黑体" w:cs="黑体"/>
          <w:sz w:val="24"/>
          <w:szCs w:val="24"/>
        </w:rPr>
        <w:t xml:space="preserve">10.2 </w:t>
      </w:r>
      <w:r>
        <w:rPr>
          <w:rFonts w:hint="default" w:ascii="黑体" w:hAnsi="黑体" w:cs="黑体"/>
          <w:sz w:val="24"/>
          <w:szCs w:val="24"/>
        </w:rPr>
        <w:t xml:space="preserve">  </w:t>
      </w:r>
      <w:r>
        <w:rPr>
          <w:rFonts w:ascii="黑体" w:hAnsi="黑体" w:cs="黑体"/>
          <w:sz w:val="24"/>
          <w:szCs w:val="24"/>
        </w:rPr>
        <w:t>感知系统</w:t>
      </w:r>
      <w:bookmarkEnd w:id="453"/>
      <w:bookmarkEnd w:id="454"/>
    </w:p>
    <w:p>
      <w:pPr>
        <w:tabs>
          <w:tab w:val="center" w:pos="4153"/>
        </w:tabs>
        <w:spacing w:line="360" w:lineRule="auto"/>
        <w:rPr>
          <w:rFonts w:hint="eastAsia" w:asciiTheme="minorEastAsia" w:hAnsiTheme="minorEastAsia" w:cstheme="minorEastAsia"/>
          <w:kern w:val="21"/>
          <w:szCs w:val="21"/>
        </w:rPr>
      </w:pPr>
      <w:r>
        <w:rPr>
          <w:rFonts w:hint="eastAsia" w:ascii="黑体" w:hAnsi="黑体" w:eastAsia="黑体" w:cs="黑体"/>
          <w:spacing w:val="20"/>
          <w:position w:val="-2"/>
          <w:szCs w:val="21"/>
        </w:rPr>
        <w:t>10.2.3</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 xml:space="preserve"> </w:t>
      </w:r>
    </w:p>
    <w:p>
      <w:pPr>
        <w:tabs>
          <w:tab w:val="center" w:pos="4153"/>
        </w:tabs>
        <w:spacing w:line="360" w:lineRule="auto"/>
        <w:ind w:firstLine="630" w:firstLineChars="300"/>
        <w:rPr>
          <w:rFonts w:hint="eastAsia" w:asciiTheme="minorEastAsia" w:hAnsiTheme="minorEastAsia" w:cstheme="minorEastAsia"/>
          <w:kern w:val="21"/>
          <w:szCs w:val="21"/>
        </w:rPr>
      </w:pPr>
      <w:r>
        <w:rPr>
          <w:rFonts w:hint="eastAsia" w:ascii="黑体" w:hAnsi="黑体" w:eastAsia="黑体" w:cs="黑体"/>
          <w:kern w:val="21"/>
          <w:szCs w:val="21"/>
        </w:rPr>
        <w:t>1</w:t>
      </w:r>
      <w:r>
        <w:rPr>
          <w:rFonts w:asciiTheme="minorEastAsia" w:hAnsiTheme="minorEastAsia" w:cstheme="minorEastAsia"/>
          <w:kern w:val="21"/>
          <w:szCs w:val="21"/>
        </w:rPr>
        <w:t xml:space="preserve"> </w:t>
      </w:r>
      <w:r>
        <w:rPr>
          <w:rFonts w:hint="eastAsia" w:asciiTheme="minorEastAsia" w:hAnsiTheme="minorEastAsia" w:cstheme="minorEastAsia"/>
          <w:kern w:val="21"/>
          <w:szCs w:val="21"/>
        </w:rPr>
        <w:t>采集功能：通过自动巡测（覆盖率≥95%）、人工选测（随机抽测）、远程采集验证数据可靠性。</w:t>
      </w:r>
    </w:p>
    <w:p>
      <w:pPr>
        <w:tabs>
          <w:tab w:val="center" w:pos="4153"/>
        </w:tabs>
        <w:spacing w:line="360" w:lineRule="auto"/>
        <w:ind w:firstLine="630" w:firstLineChars="300"/>
        <w:rPr>
          <w:rFonts w:hint="eastAsia" w:asciiTheme="minorEastAsia" w:hAnsiTheme="minorEastAsia" w:cstheme="minorEastAsia"/>
          <w:kern w:val="21"/>
          <w:szCs w:val="21"/>
        </w:rPr>
      </w:pPr>
      <w:r>
        <w:rPr>
          <w:rFonts w:hint="eastAsia" w:ascii="黑体" w:hAnsi="黑体" w:eastAsia="黑体" w:cs="黑体"/>
          <w:kern w:val="21"/>
          <w:szCs w:val="21"/>
        </w:rPr>
        <w:t xml:space="preserve">2 </w:t>
      </w:r>
      <w:r>
        <w:rPr>
          <w:rFonts w:hint="eastAsia" w:asciiTheme="minorEastAsia" w:hAnsiTheme="minorEastAsia" w:cstheme="minorEastAsia"/>
          <w:kern w:val="21"/>
          <w:szCs w:val="21"/>
        </w:rPr>
        <w:t>设备防护：抽样20%设备检查防潮、抗电磁干扰等性能。</w:t>
      </w:r>
    </w:p>
    <w:p>
      <w:pPr>
        <w:tabs>
          <w:tab w:val="center" w:pos="4153"/>
        </w:tabs>
        <w:spacing w:line="360" w:lineRule="auto"/>
        <w:ind w:firstLine="630" w:firstLineChars="300"/>
        <w:rPr>
          <w:rFonts w:hint="eastAsia" w:asciiTheme="minorEastAsia" w:hAnsiTheme="minorEastAsia" w:cstheme="minorEastAsia"/>
          <w:kern w:val="21"/>
          <w:szCs w:val="21"/>
        </w:rPr>
      </w:pPr>
      <w:r>
        <w:rPr>
          <w:rFonts w:hint="eastAsia" w:ascii="黑体" w:hAnsi="黑体" w:eastAsia="黑体" w:cs="黑体"/>
          <w:kern w:val="21"/>
          <w:szCs w:val="21"/>
        </w:rPr>
        <w:t>3</w:t>
      </w:r>
      <w:r>
        <w:rPr>
          <w:rFonts w:asciiTheme="minorEastAsia" w:hAnsiTheme="minorEastAsia" w:cstheme="minorEastAsia"/>
          <w:kern w:val="21"/>
          <w:szCs w:val="21"/>
        </w:rPr>
        <w:t xml:space="preserve"> </w:t>
      </w:r>
      <w:r>
        <w:rPr>
          <w:rFonts w:hint="eastAsia" w:asciiTheme="minorEastAsia" w:hAnsiTheme="minorEastAsia" w:cstheme="minorEastAsia"/>
          <w:kern w:val="21"/>
          <w:szCs w:val="21"/>
        </w:rPr>
        <w:t>系统性能：计算有效数据缺失率（≤5%）、年平均无故障时间（MTBF≥8000小时）。</w:t>
      </w:r>
    </w:p>
    <w:p>
      <w:pPr>
        <w:tabs>
          <w:tab w:val="center" w:pos="4153"/>
        </w:tabs>
        <w:spacing w:line="360" w:lineRule="auto"/>
        <w:rPr>
          <w:rFonts w:hint="eastAsia" w:ascii="黑体" w:hAnsi="黑体" w:eastAsia="黑体" w:cs="黑体"/>
          <w:spacing w:val="20"/>
          <w:position w:val="-2"/>
          <w:szCs w:val="21"/>
        </w:rPr>
      </w:pPr>
    </w:p>
    <w:p>
      <w:pPr>
        <w:pStyle w:val="3"/>
        <w:snapToGrid w:val="0"/>
        <w:spacing w:before="156" w:beforeLines="50" w:after="156" w:afterLines="50" w:line="360" w:lineRule="auto"/>
        <w:jc w:val="center"/>
        <w:rPr>
          <w:rFonts w:ascii="黑体" w:hAnsi="黑体" w:cs="黑体"/>
          <w:sz w:val="24"/>
          <w:szCs w:val="24"/>
        </w:rPr>
      </w:pPr>
      <w:bookmarkStart w:id="455" w:name="_Toc16427"/>
      <w:bookmarkStart w:id="456" w:name="_Toc8991"/>
      <w:r>
        <w:rPr>
          <w:rFonts w:ascii="黑体" w:hAnsi="黑体" w:cs="黑体"/>
          <w:sz w:val="24"/>
          <w:szCs w:val="24"/>
        </w:rPr>
        <w:t xml:space="preserve">10.3 </w:t>
      </w:r>
      <w:r>
        <w:rPr>
          <w:rFonts w:hint="default" w:ascii="黑体" w:hAnsi="黑体" w:cs="黑体"/>
          <w:sz w:val="24"/>
          <w:szCs w:val="24"/>
        </w:rPr>
        <w:t xml:space="preserve">  </w:t>
      </w:r>
      <w:r>
        <w:rPr>
          <w:rFonts w:ascii="黑体" w:hAnsi="黑体" w:cs="黑体"/>
          <w:sz w:val="24"/>
          <w:szCs w:val="24"/>
        </w:rPr>
        <w:t>系统和应用软件</w:t>
      </w:r>
      <w:bookmarkEnd w:id="455"/>
      <w:bookmarkEnd w:id="456"/>
    </w:p>
    <w:p>
      <w:pPr>
        <w:tabs>
          <w:tab w:val="center" w:pos="4153"/>
        </w:tabs>
        <w:spacing w:line="360" w:lineRule="auto"/>
        <w:rPr>
          <w:rFonts w:hint="eastAsia" w:asciiTheme="minorEastAsia" w:hAnsiTheme="minorEastAsia" w:cstheme="minorEastAsia"/>
          <w:kern w:val="21"/>
          <w:szCs w:val="21"/>
        </w:rPr>
      </w:pPr>
      <w:r>
        <w:rPr>
          <w:rFonts w:hint="eastAsia" w:ascii="黑体" w:hAnsi="黑体" w:eastAsia="黑体" w:cs="黑体"/>
          <w:spacing w:val="20"/>
          <w:position w:val="-2"/>
          <w:szCs w:val="21"/>
        </w:rPr>
        <w:t>10.3.3</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 xml:space="preserve"> </w:t>
      </w:r>
    </w:p>
    <w:p>
      <w:pPr>
        <w:tabs>
          <w:tab w:val="center" w:pos="4153"/>
        </w:tabs>
        <w:spacing w:line="360" w:lineRule="auto"/>
        <w:ind w:firstLine="630" w:firstLineChars="300"/>
        <w:rPr>
          <w:rFonts w:hint="eastAsia" w:asciiTheme="minorEastAsia" w:hAnsiTheme="minorEastAsia" w:cstheme="minorEastAsia"/>
          <w:kern w:val="21"/>
          <w:szCs w:val="21"/>
        </w:rPr>
      </w:pPr>
      <w:r>
        <w:rPr>
          <w:rFonts w:hint="eastAsia" w:ascii="黑体" w:hAnsi="黑体" w:eastAsia="黑体" w:cs="黑体"/>
          <w:kern w:val="21"/>
          <w:szCs w:val="21"/>
        </w:rPr>
        <w:t>1</w:t>
      </w:r>
      <w:r>
        <w:rPr>
          <w:rFonts w:asciiTheme="minorEastAsia" w:hAnsiTheme="minorEastAsia" w:cstheme="minorEastAsia"/>
          <w:kern w:val="21"/>
          <w:szCs w:val="21"/>
        </w:rPr>
        <w:t xml:space="preserve"> </w:t>
      </w:r>
      <w:r>
        <w:rPr>
          <w:rFonts w:hint="eastAsia" w:asciiTheme="minorEastAsia" w:hAnsiTheme="minorEastAsia" w:cstheme="minorEastAsia"/>
          <w:kern w:val="21"/>
          <w:szCs w:val="21"/>
        </w:rPr>
        <w:t>系统软件：验证版本兼容性及技术参数（如并发处理能力）。</w:t>
      </w:r>
    </w:p>
    <w:p>
      <w:pPr>
        <w:tabs>
          <w:tab w:val="center" w:pos="4153"/>
        </w:tabs>
        <w:spacing w:line="360" w:lineRule="auto"/>
        <w:ind w:firstLine="630" w:firstLineChars="300"/>
        <w:rPr>
          <w:rFonts w:hint="eastAsia" w:asciiTheme="minorEastAsia" w:hAnsiTheme="minorEastAsia" w:cstheme="minorEastAsia"/>
          <w:kern w:val="21"/>
          <w:szCs w:val="21"/>
        </w:rPr>
      </w:pPr>
      <w:r>
        <w:rPr>
          <w:rFonts w:hint="eastAsia" w:ascii="黑体" w:hAnsi="黑体" w:eastAsia="黑体" w:cs="黑体"/>
          <w:kern w:val="21"/>
          <w:szCs w:val="21"/>
        </w:rPr>
        <w:t>3</w:t>
      </w:r>
      <w:r>
        <w:rPr>
          <w:rFonts w:asciiTheme="minorEastAsia" w:hAnsiTheme="minorEastAsia" w:cstheme="minorEastAsia"/>
          <w:kern w:val="21"/>
          <w:szCs w:val="21"/>
        </w:rPr>
        <w:t xml:space="preserve"> </w:t>
      </w:r>
      <w:r>
        <w:rPr>
          <w:rFonts w:hint="eastAsia" w:asciiTheme="minorEastAsia" w:hAnsiTheme="minorEastAsia" w:cstheme="minorEastAsia"/>
          <w:kern w:val="21"/>
          <w:szCs w:val="21"/>
        </w:rPr>
        <w:t>业务功能：按需求规格说明覆盖60%功能模块（确保核心功能全验证）。</w:t>
      </w:r>
    </w:p>
    <w:p>
      <w:pPr>
        <w:tabs>
          <w:tab w:val="center" w:pos="4153"/>
        </w:tabs>
        <w:spacing w:line="360" w:lineRule="auto"/>
        <w:ind w:firstLine="630" w:firstLineChars="300"/>
        <w:rPr>
          <w:rFonts w:hint="eastAsia" w:asciiTheme="minorEastAsia" w:hAnsiTheme="minorEastAsia" w:cstheme="minorEastAsia"/>
          <w:kern w:val="21"/>
          <w:szCs w:val="21"/>
        </w:rPr>
      </w:pPr>
      <w:r>
        <w:rPr>
          <w:rFonts w:hint="eastAsia" w:ascii="黑体" w:hAnsi="黑体" w:eastAsia="黑体" w:cs="黑体"/>
          <w:kern w:val="21"/>
          <w:szCs w:val="21"/>
        </w:rPr>
        <w:t>4</w:t>
      </w:r>
      <w:r>
        <w:rPr>
          <w:rFonts w:asciiTheme="minorEastAsia" w:hAnsiTheme="minorEastAsia" w:cstheme="minorEastAsia"/>
          <w:kern w:val="21"/>
          <w:szCs w:val="21"/>
        </w:rPr>
        <w:t xml:space="preserve"> </w:t>
      </w:r>
      <w:r>
        <w:rPr>
          <w:rFonts w:hint="eastAsia" w:asciiTheme="minorEastAsia" w:hAnsiTheme="minorEastAsia" w:cstheme="minorEastAsia"/>
          <w:kern w:val="21"/>
          <w:szCs w:val="21"/>
        </w:rPr>
        <w:t>性能测试：通过5-10个案例测试响应速度（≤3秒）、稳定性（72小时无宕机）、容错性（故障恢复≤10分钟）。</w:t>
      </w:r>
    </w:p>
    <w:p>
      <w:pPr>
        <w:rPr>
          <w:rFonts w:hint="eastAsia" w:ascii="宋体" w:hAnsi="宋体" w:eastAsia="宋体" w:cs="宋体"/>
        </w:rPr>
      </w:pPr>
    </w:p>
    <w:p>
      <w:pPr>
        <w:pStyle w:val="3"/>
        <w:snapToGrid w:val="0"/>
        <w:spacing w:before="156" w:beforeLines="50" w:after="156" w:afterLines="50" w:line="360" w:lineRule="auto"/>
        <w:jc w:val="center"/>
        <w:rPr>
          <w:rFonts w:ascii="黑体" w:hAnsi="黑体" w:cs="黑体"/>
          <w:sz w:val="24"/>
          <w:szCs w:val="24"/>
        </w:rPr>
      </w:pPr>
      <w:bookmarkStart w:id="457" w:name="_Toc28951"/>
      <w:bookmarkStart w:id="458" w:name="_Toc10931"/>
      <w:r>
        <w:rPr>
          <w:rFonts w:ascii="黑体" w:hAnsi="黑体" w:cs="黑体"/>
          <w:sz w:val="24"/>
          <w:szCs w:val="24"/>
        </w:rPr>
        <w:t xml:space="preserve">10.4 </w:t>
      </w:r>
      <w:r>
        <w:rPr>
          <w:rFonts w:hint="default" w:ascii="黑体" w:hAnsi="黑体" w:cs="黑体"/>
          <w:sz w:val="24"/>
          <w:szCs w:val="24"/>
        </w:rPr>
        <w:t xml:space="preserve">  </w:t>
      </w:r>
      <w:r>
        <w:rPr>
          <w:rFonts w:ascii="黑体" w:hAnsi="黑体" w:cs="黑体"/>
          <w:sz w:val="24"/>
          <w:szCs w:val="24"/>
        </w:rPr>
        <w:t>硬件设施</w:t>
      </w:r>
      <w:bookmarkEnd w:id="457"/>
      <w:bookmarkEnd w:id="458"/>
    </w:p>
    <w:p>
      <w:pPr>
        <w:tabs>
          <w:tab w:val="center" w:pos="4153"/>
        </w:tabs>
        <w:spacing w:line="360" w:lineRule="auto"/>
        <w:rPr>
          <w:rFonts w:hint="eastAsia" w:asciiTheme="minorEastAsia" w:hAnsiTheme="minorEastAsia" w:cstheme="minorEastAsia"/>
          <w:kern w:val="21"/>
          <w:szCs w:val="21"/>
        </w:rPr>
      </w:pPr>
      <w:r>
        <w:rPr>
          <w:rFonts w:hint="eastAsia" w:ascii="黑体" w:hAnsi="黑体" w:eastAsia="黑体" w:cs="黑体"/>
          <w:spacing w:val="20"/>
          <w:position w:val="-2"/>
          <w:szCs w:val="21"/>
        </w:rPr>
        <w:t>10.4.1</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 xml:space="preserve"> </w:t>
      </w:r>
      <w:r>
        <w:rPr>
          <w:rFonts w:hint="eastAsia" w:asciiTheme="minorEastAsia" w:hAnsiTheme="minorEastAsia" w:cstheme="minorEastAsia"/>
          <w:kern w:val="21"/>
          <w:szCs w:val="21"/>
        </w:rPr>
        <w:t>检测重点：硬件性能（如服务器吞吐量）、安装规范性（如温湿度环境）、网络连接可靠性。</w:t>
      </w:r>
    </w:p>
    <w:p>
      <w:pPr>
        <w:tabs>
          <w:tab w:val="center" w:pos="4153"/>
        </w:tabs>
        <w:spacing w:line="360" w:lineRule="auto"/>
        <w:rPr>
          <w:rFonts w:hint="eastAsia" w:asciiTheme="minorEastAsia" w:hAnsiTheme="minorEastAsia" w:cstheme="minorEastAsia"/>
          <w:kern w:val="21"/>
          <w:szCs w:val="21"/>
        </w:rPr>
      </w:pPr>
      <w:r>
        <w:rPr>
          <w:rFonts w:hint="eastAsia" w:ascii="黑体" w:hAnsi="黑体" w:eastAsia="黑体" w:cs="黑体"/>
          <w:spacing w:val="20"/>
          <w:position w:val="-2"/>
          <w:szCs w:val="21"/>
        </w:rPr>
        <w:t>10.4.3</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 xml:space="preserve"> </w:t>
      </w:r>
      <w:r>
        <w:rPr>
          <w:rFonts w:hint="eastAsia" w:asciiTheme="minorEastAsia" w:hAnsiTheme="minorEastAsia" w:cstheme="minorEastAsia"/>
          <w:kern w:val="21"/>
          <w:szCs w:val="21"/>
        </w:rPr>
        <w:t>检测方法</w:t>
      </w:r>
    </w:p>
    <w:p>
      <w:pPr>
        <w:tabs>
          <w:tab w:val="center" w:pos="4153"/>
        </w:tabs>
        <w:spacing w:line="360" w:lineRule="auto"/>
        <w:ind w:firstLine="630" w:firstLineChars="300"/>
        <w:rPr>
          <w:rFonts w:hint="eastAsia" w:asciiTheme="minorEastAsia" w:hAnsiTheme="minorEastAsia" w:cstheme="minorEastAsia"/>
          <w:kern w:val="21"/>
          <w:szCs w:val="21"/>
        </w:rPr>
      </w:pPr>
      <w:r>
        <w:rPr>
          <w:rFonts w:hint="eastAsia" w:ascii="黑体" w:hAnsi="黑体" w:eastAsia="黑体" w:cs="黑体"/>
          <w:kern w:val="21"/>
          <w:szCs w:val="21"/>
        </w:rPr>
        <w:t xml:space="preserve">1 </w:t>
      </w:r>
      <w:r>
        <w:rPr>
          <w:rFonts w:hint="eastAsia" w:asciiTheme="minorEastAsia" w:hAnsiTheme="minorEastAsia" w:cstheme="minorEastAsia"/>
          <w:kern w:val="21"/>
          <w:szCs w:val="21"/>
        </w:rPr>
        <w:t>性能指标：抽检5-10项关键参数（如CPU负载≤70%）。</w:t>
      </w:r>
    </w:p>
    <w:p>
      <w:pPr>
        <w:tabs>
          <w:tab w:val="center" w:pos="4153"/>
        </w:tabs>
        <w:spacing w:line="360" w:lineRule="auto"/>
        <w:ind w:firstLine="630" w:firstLineChars="300"/>
        <w:rPr>
          <w:rFonts w:hint="eastAsia" w:asciiTheme="minorEastAsia" w:hAnsiTheme="minorEastAsia" w:cstheme="minorEastAsia"/>
          <w:kern w:val="21"/>
          <w:szCs w:val="21"/>
        </w:rPr>
      </w:pPr>
      <w:r>
        <w:rPr>
          <w:rFonts w:hint="eastAsia" w:ascii="黑体" w:hAnsi="黑体" w:eastAsia="黑体" w:cs="黑体"/>
          <w:kern w:val="21"/>
          <w:szCs w:val="21"/>
        </w:rPr>
        <w:t xml:space="preserve">3 </w:t>
      </w:r>
      <w:r>
        <w:rPr>
          <w:rFonts w:hint="eastAsia" w:asciiTheme="minorEastAsia" w:hAnsiTheme="minorEastAsia" w:cstheme="minorEastAsia"/>
          <w:kern w:val="21"/>
          <w:szCs w:val="21"/>
        </w:rPr>
        <w:t>网络拓扑：全面测试链路连通性及冗余设计。</w:t>
      </w:r>
    </w:p>
    <w:p>
      <w:pPr>
        <w:rPr>
          <w:rFonts w:hint="eastAsia" w:ascii="宋体" w:hAnsi="宋体" w:eastAsia="宋体" w:cs="宋体"/>
        </w:rPr>
      </w:pPr>
    </w:p>
    <w:p>
      <w:pPr>
        <w:pStyle w:val="3"/>
        <w:snapToGrid w:val="0"/>
        <w:spacing w:before="156" w:beforeLines="50" w:after="156" w:afterLines="50" w:line="360" w:lineRule="auto"/>
        <w:jc w:val="center"/>
        <w:rPr>
          <w:rFonts w:ascii="黑体" w:hAnsi="黑体" w:cs="黑体"/>
          <w:sz w:val="24"/>
          <w:szCs w:val="24"/>
        </w:rPr>
      </w:pPr>
      <w:bookmarkStart w:id="459" w:name="_Toc13118"/>
      <w:bookmarkStart w:id="460" w:name="_Toc26860"/>
      <w:r>
        <w:rPr>
          <w:rFonts w:ascii="黑体" w:hAnsi="黑体" w:cs="黑体"/>
          <w:sz w:val="24"/>
          <w:szCs w:val="24"/>
        </w:rPr>
        <w:t xml:space="preserve">10.5 </w:t>
      </w:r>
      <w:r>
        <w:rPr>
          <w:rFonts w:hint="default" w:ascii="黑体" w:hAnsi="黑体" w:cs="黑体"/>
          <w:sz w:val="24"/>
          <w:szCs w:val="24"/>
        </w:rPr>
        <w:t xml:space="preserve">  </w:t>
      </w:r>
      <w:r>
        <w:rPr>
          <w:rFonts w:ascii="黑体" w:hAnsi="黑体" w:cs="黑体"/>
          <w:sz w:val="24"/>
          <w:szCs w:val="24"/>
        </w:rPr>
        <w:t>数据资源</w:t>
      </w:r>
      <w:bookmarkEnd w:id="459"/>
      <w:bookmarkEnd w:id="460"/>
    </w:p>
    <w:p>
      <w:pPr>
        <w:tabs>
          <w:tab w:val="center" w:pos="4153"/>
        </w:tabs>
        <w:spacing w:line="360" w:lineRule="auto"/>
        <w:rPr>
          <w:rFonts w:hint="eastAsia" w:asciiTheme="minorEastAsia" w:hAnsiTheme="minorEastAsia" w:cstheme="minorEastAsia"/>
          <w:kern w:val="21"/>
          <w:szCs w:val="21"/>
        </w:rPr>
      </w:pPr>
      <w:r>
        <w:rPr>
          <w:rFonts w:hint="eastAsia" w:ascii="黑体" w:hAnsi="黑体" w:eastAsia="黑体" w:cs="黑体"/>
          <w:spacing w:val="20"/>
          <w:position w:val="-2"/>
          <w:szCs w:val="21"/>
        </w:rPr>
        <w:t>10.5.1</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 xml:space="preserve"> </w:t>
      </w:r>
      <w:r>
        <w:rPr>
          <w:rFonts w:hint="eastAsia" w:asciiTheme="minorEastAsia" w:hAnsiTheme="minorEastAsia" w:cstheme="minorEastAsia"/>
          <w:kern w:val="21"/>
          <w:szCs w:val="21"/>
        </w:rPr>
        <w:t>检测内容：数据库技术参数、模型合理性（如无冗余字段）、数据完整性（如关键业务数据缺失率≤1%）。</w:t>
      </w:r>
    </w:p>
    <w:p>
      <w:pPr>
        <w:tabs>
          <w:tab w:val="center" w:pos="4153"/>
        </w:tabs>
        <w:spacing w:line="360" w:lineRule="auto"/>
        <w:rPr>
          <w:rFonts w:hint="eastAsia" w:asciiTheme="minorEastAsia" w:hAnsiTheme="minorEastAsia" w:cstheme="minorEastAsia"/>
          <w:kern w:val="21"/>
          <w:szCs w:val="21"/>
        </w:rPr>
      </w:pPr>
      <w:r>
        <w:rPr>
          <w:rFonts w:hint="eastAsia" w:ascii="黑体" w:hAnsi="黑体" w:eastAsia="黑体" w:cs="黑体"/>
          <w:spacing w:val="20"/>
          <w:position w:val="-2"/>
          <w:szCs w:val="21"/>
        </w:rPr>
        <w:t>10.5.3</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 xml:space="preserve"> </w:t>
      </w:r>
    </w:p>
    <w:p>
      <w:pPr>
        <w:tabs>
          <w:tab w:val="center" w:pos="4153"/>
        </w:tabs>
        <w:spacing w:line="360" w:lineRule="auto"/>
        <w:ind w:firstLine="630" w:firstLineChars="300"/>
        <w:rPr>
          <w:rFonts w:hint="eastAsia" w:asciiTheme="minorEastAsia" w:hAnsiTheme="minorEastAsia" w:cstheme="minorEastAsia"/>
          <w:kern w:val="21"/>
          <w:szCs w:val="21"/>
        </w:rPr>
      </w:pPr>
      <w:r>
        <w:rPr>
          <w:rFonts w:hint="eastAsia" w:ascii="黑体" w:hAnsi="黑体" w:eastAsia="黑体" w:cs="黑体"/>
          <w:kern w:val="21"/>
          <w:szCs w:val="21"/>
        </w:rPr>
        <w:t>1</w:t>
      </w:r>
      <w:r>
        <w:rPr>
          <w:rFonts w:asciiTheme="minorEastAsia" w:hAnsiTheme="minorEastAsia" w:cstheme="minorEastAsia"/>
          <w:kern w:val="21"/>
          <w:szCs w:val="21"/>
        </w:rPr>
        <w:t xml:space="preserve"> </w:t>
      </w:r>
      <w:r>
        <w:rPr>
          <w:rFonts w:hint="eastAsia" w:asciiTheme="minorEastAsia" w:hAnsiTheme="minorEastAsia" w:cstheme="minorEastAsia"/>
          <w:kern w:val="21"/>
          <w:szCs w:val="21"/>
        </w:rPr>
        <w:t>数据库备份：验证全量/增量备份有效性（恢复时间≤30分钟）。</w:t>
      </w:r>
    </w:p>
    <w:p>
      <w:pPr>
        <w:tabs>
          <w:tab w:val="center" w:pos="4153"/>
        </w:tabs>
        <w:spacing w:line="360" w:lineRule="auto"/>
        <w:ind w:firstLine="630" w:firstLineChars="300"/>
        <w:rPr>
          <w:rFonts w:hint="eastAsia" w:asciiTheme="minorEastAsia" w:hAnsiTheme="minorEastAsia" w:cstheme="minorEastAsia"/>
          <w:kern w:val="21"/>
          <w:szCs w:val="21"/>
        </w:rPr>
      </w:pPr>
      <w:r>
        <w:rPr>
          <w:rFonts w:hint="eastAsia" w:ascii="黑体" w:hAnsi="黑体" w:eastAsia="黑体" w:cs="黑体"/>
          <w:kern w:val="21"/>
          <w:szCs w:val="21"/>
        </w:rPr>
        <w:t xml:space="preserve">3 </w:t>
      </w:r>
      <w:r>
        <w:rPr>
          <w:rFonts w:hint="eastAsia" w:asciiTheme="minorEastAsia" w:hAnsiTheme="minorEastAsia" w:cstheme="minorEastAsia"/>
          <w:kern w:val="21"/>
          <w:szCs w:val="21"/>
        </w:rPr>
        <w:t>数据质量：抽检2-3项关键业务数据（如水位监测数据），确保准确率≥99%。</w:t>
      </w:r>
    </w:p>
    <w:p>
      <w:pPr>
        <w:tabs>
          <w:tab w:val="center" w:pos="4153"/>
        </w:tabs>
        <w:spacing w:line="360" w:lineRule="auto"/>
        <w:rPr>
          <w:rFonts w:hint="eastAsia" w:asciiTheme="minorEastAsia" w:hAnsiTheme="minorEastAsia" w:cstheme="minorEastAsia"/>
          <w:kern w:val="21"/>
          <w:szCs w:val="21"/>
        </w:rPr>
      </w:pPr>
      <w:r>
        <w:rPr>
          <w:rFonts w:hint="eastAsia" w:ascii="黑体" w:hAnsi="黑体" w:eastAsia="黑体" w:cs="黑体"/>
          <w:spacing w:val="20"/>
          <w:position w:val="-2"/>
          <w:szCs w:val="21"/>
        </w:rPr>
        <w:t>10.5.5</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新增</w:t>
      </w:r>
      <w:r>
        <w:rPr>
          <w:rFonts w:hint="eastAsia" w:ascii="黑体" w:hAnsi="黑体" w:eastAsia="黑体" w:cs="黑体"/>
          <w:spacing w:val="20"/>
          <w:position w:val="-2"/>
          <w:szCs w:val="21"/>
          <w:lang w:eastAsia="zh-CN"/>
        </w:rPr>
        <w:t>】</w:t>
      </w:r>
      <w:r>
        <w:rPr>
          <w:rFonts w:hint="eastAsia" w:ascii="黑体" w:hAnsi="黑体" w:eastAsia="黑体" w:cs="黑体"/>
          <w:spacing w:val="20"/>
          <w:position w:val="-2"/>
          <w:szCs w:val="21"/>
        </w:rPr>
        <w:t xml:space="preserve"> </w:t>
      </w:r>
      <w:r>
        <w:rPr>
          <w:rFonts w:hint="eastAsia" w:asciiTheme="minorEastAsia" w:hAnsiTheme="minorEastAsia" w:cstheme="minorEastAsia"/>
          <w:kern w:val="21"/>
          <w:szCs w:val="21"/>
        </w:rPr>
        <w:t>合格标准：数据库逻辑结构合理、权限控制严格，且数据质量符合业务需求。</w:t>
      </w:r>
    </w:p>
    <w:p>
      <w:pPr>
        <w:rPr>
          <w:rFonts w:hint="eastAsia" w:ascii="宋体" w:hAnsi="宋体" w:eastAsia="宋体" w:cs="宋体"/>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libri Light">
    <w:panose1 w:val="020F0302020204030204"/>
    <w:charset w:val="00"/>
    <w:family w:val="swiss"/>
    <w:pitch w:val="default"/>
    <w:sig w:usb0="E4002EFF" w:usb1="C2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Courier New">
    <w:panose1 w:val="02070309020205020404"/>
    <w:charset w:val="00"/>
    <w:family w:val="modern"/>
    <w:pitch w:val="default"/>
    <w:sig w:usb0="E0002EFF" w:usb1="C0007843" w:usb2="00000009" w:usb3="00000000" w:csb0="400001FF" w:csb1="FFFF0000"/>
  </w:font>
  <w:font w:name="隶书">
    <w:panose1 w:val="02010509060101010101"/>
    <w:charset w:val="86"/>
    <w:family w:val="modern"/>
    <w:pitch w:val="default"/>
    <w:sig w:usb0="00000001" w:usb1="080E0000" w:usb2="00000000" w:usb3="00000000" w:csb0="00040000" w:csb1="00000000"/>
  </w:font>
  <w:font w:name="Swis721 Blk BT">
    <w:altName w:val="Arial Black"/>
    <w:panose1 w:val="020B0904030502020204"/>
    <w:charset w:val="00"/>
    <w:family w:val="swiss"/>
    <w:pitch w:val="default"/>
    <w:sig w:usb0="00000000" w:usb1="00000000" w:usb2="00000000" w:usb3="00000000" w:csb0="0000001B" w:csb1="00000000"/>
  </w:font>
  <w:font w:name="Arial Black">
    <w:panose1 w:val="020B0A04020102020204"/>
    <w:charset w:val="00"/>
    <w:family w:val="auto"/>
    <w:pitch w:val="default"/>
    <w:sig w:usb0="A00002AF" w:usb1="400078FB" w:usb2="00000000" w:usb3="00000000" w:csb0="6000009F" w:csb1="DFD70000"/>
  </w:font>
  <w:font w:name="仿宋">
    <w:panose1 w:val="02010609060101010101"/>
    <w:charset w:val="86"/>
    <w:family w:val="modern"/>
    <w:pitch w:val="default"/>
    <w:sig w:usb0="800002BF" w:usb1="38CF7CFA" w:usb2="00000016" w:usb3="00000000" w:csb0="00040001" w:csb1="00000000"/>
  </w:font>
  <w:font w:name="MS Gothic">
    <w:panose1 w:val="020B0609070205080204"/>
    <w:charset w:val="80"/>
    <w:family w:val="modern"/>
    <w:pitch w:val="default"/>
    <w:sig w:usb0="E00002FF" w:usb1="6AC7FDFB" w:usb2="08000012" w:usb3="00000000" w:csb0="4002009F" w:csb1="DFD70000"/>
  </w:font>
  <w:font w:name="Arial">
    <w:panose1 w:val="020B0604020202020204"/>
    <w:charset w:val="00"/>
    <w:family w:val="swiss"/>
    <w:pitch w:val="default"/>
    <w:sig w:usb0="E0002EFF" w:usb1="C000785B" w:usb2="00000009" w:usb3="00000000" w:csb0="400001FF" w:csb1="FFFF0000"/>
  </w:font>
  <w:font w:name="方正大黑简体">
    <w:altName w:val="宋体"/>
    <w:panose1 w:val="00000000000000000000"/>
    <w:charset w:val="86"/>
    <w:family w:val="auto"/>
    <w:pitch w:val="default"/>
    <w:sig w:usb0="00000000" w:usb1="00000000" w:usb2="00000000" w:usb3="00000000" w:csb0="00040000" w:csb1="00000000"/>
  </w:font>
  <w:font w:name="Cambria Math">
    <w:panose1 w:val="02040503050406030204"/>
    <w:charset w:val="00"/>
    <w:family w:val="roman"/>
    <w:pitch w:val="default"/>
    <w:sig w:usb0="E00006FF" w:usb1="420024FF" w:usb2="02000000" w:usb3="00000000" w:csb0="2000019F" w:csb1="00000000"/>
  </w:font>
  <w:font w:name="CIDFont+F3">
    <w:altName w:val="等线"/>
    <w:panose1 w:val="00000000000000000000"/>
    <w:charset w:val="86"/>
    <w:family w:val="auto"/>
    <w:pitch w:val="default"/>
    <w:sig w:usb0="00000000" w:usb1="00000000" w:usb2="00000010" w:usb3="00000000" w:csb0="00040000" w:csb1="00000000"/>
  </w:font>
  <w:font w:name="等线">
    <w:panose1 w:val="02010600030101010101"/>
    <w:charset w:val="86"/>
    <w:family w:val="auto"/>
    <w:pitch w:val="default"/>
    <w:sig w:usb0="A00002BF" w:usb1="38CF7CFA" w:usb2="00000016" w:usb3="00000000" w:csb0="0004000F" w:csb1="00000000"/>
  </w:font>
  <w:font w:name="E-BZ">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FZSSK--GBK1-0">
    <w:altName w:val="Segoe Print"/>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tabs>
        <w:tab w:val="right" w:pos="9661"/>
        <w:tab w:val="clear" w:pos="4153"/>
        <w:tab w:val="clear" w:pos="8306"/>
      </w:tabs>
      <w:ind w:right="22" w:firstLine="360"/>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ind w:firstLine="360"/>
      <w:jc w:val="center"/>
      <w:rPr>
        <w:rFonts w:ascii="Times New Roman" w:hAnsi="Times New Roman"/>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tabs>
        <w:tab w:val="right" w:pos="9661"/>
        <w:tab w:val="clear" w:pos="4153"/>
        <w:tab w:val="clear" w:pos="8306"/>
      </w:tabs>
      <w:ind w:right="22"/>
      <w:jc w:val="both"/>
    </w:pPr>
    <w:r>
      <w:rPr>
        <w:rFonts w:hint="eastAsia"/>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tabs>
        <w:tab w:val="right" w:pos="9661"/>
        <w:tab w:val="clear" w:pos="4153"/>
        <w:tab w:val="clear" w:pos="8306"/>
      </w:tabs>
      <w:ind w:right="22"/>
      <w:jc w:val="both"/>
    </w:pPr>
    <w:r>
      <w:rPr>
        <w:rFonts w:hint="eastAsia"/>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tabs>
        <w:tab w:val="right" w:pos="9661"/>
        <w:tab w:val="clear" w:pos="4153"/>
        <w:tab w:val="clear" w:pos="8306"/>
      </w:tabs>
      <w:jc w:val="both"/>
    </w:pPr>
    <w:r>
      <mc:AlternateContent>
        <mc:Choice Requires="wps">
          <w:drawing>
            <wp:anchor distT="0" distB="0" distL="114300" distR="114300" simplePos="0" relativeHeight="251666432" behindDoc="0" locked="0" layoutInCell="1" allowOverlap="1">
              <wp:simplePos x="0" y="0"/>
              <wp:positionH relativeFrom="margin">
                <wp:posOffset>2600325</wp:posOffset>
              </wp:positionH>
              <wp:positionV relativeFrom="paragraph">
                <wp:posOffset>0</wp:posOffset>
              </wp:positionV>
              <wp:extent cx="170180" cy="1828800"/>
              <wp:effectExtent l="0" t="0" r="1905" b="6350"/>
              <wp:wrapNone/>
              <wp:docPr id="8" name="文本框 8"/>
              <wp:cNvGraphicFramePr/>
              <a:graphic xmlns:a="http://schemas.openxmlformats.org/drawingml/2006/main">
                <a:graphicData uri="http://schemas.microsoft.com/office/word/2010/wordprocessingShape">
                  <wps:wsp>
                    <wps:cNvSpPr txBox="1"/>
                    <wps:spPr>
                      <a:xfrm>
                        <a:off x="0" y="0"/>
                        <a:ext cx="16998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1"/>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squar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left:204.75pt;margin-top:0pt;height:144pt;width:13.4pt;mso-position-horizontal-relative:margin;z-index:251666432;mso-width-relative:page;mso-height-relative:page;" filled="f" stroked="f" coordsize="21600,21600" o:gfxdata="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B1wokd1gAAAAgBAAAPAAAAAAAAAAEAIAAAACIAAABkcnMvZG93bnJldi54bWxQ&#10;SwECFAAUAAAACACHTuJAP1qsPzICAABWBAAADgAAAAAAAAABACAAAAAlAQAAZHJzL2Uyb0RvYy54&#10;bWxQSwUGAAAAAAYABgBZAQAAyQUAAAAA&#10;">
              <v:fill on="f" focussize="0,0"/>
              <v:stroke on="f" weight="0.5pt"/>
              <v:imagedata o:title=""/>
              <o:lock v:ext="edit" aspectratio="f"/>
              <v:textbox inset="0mm,0mm,0mm,0mm" style="mso-fit-shape-to-text:t;">
                <w:txbxContent>
                  <w:p>
                    <w:pPr>
                      <w:pStyle w:val="11"/>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tabs>
        <w:tab w:val="right" w:pos="9661"/>
        <w:tab w:val="clear" w:pos="4153"/>
        <w:tab w:val="clear" w:pos="8306"/>
      </w:tabs>
      <w:ind w:right="742"/>
    </w:pPr>
    <w: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2086182559" name="文本框 208618255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1"/>
                          </w:pPr>
                          <w:r>
                            <w:fldChar w:fldCharType="begin"/>
                          </w:r>
                          <w:r>
                            <w:instrText xml:space="preserve"> PAGE  \* MERGEFORMAT </w:instrText>
                          </w:r>
                          <w:r>
                            <w:fldChar w:fldCharType="separate"/>
                          </w:r>
                          <w:r>
                            <w:t>116</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s0lY7tAAAAAFAQAADwAAAAAAAAABACAAAAAiAAAAZHJzL2Rvd25yZXYueG1sUEsB&#10;AhQAFAAAAAgAh07iQFoKMsc2AgAAZwQAAA4AAAAAAAAAAQAgAAAAHwEAAGRycy9lMm9Eb2MueG1s&#10;UEsFBgAAAAAGAAYAWQEAAMcFAAAAAA==&#10;">
              <v:fill on="f" focussize="0,0"/>
              <v:stroke on="f" weight="0.5pt"/>
              <v:imagedata o:title=""/>
              <o:lock v:ext="edit" aspectratio="f"/>
              <v:textbox inset="0mm,0mm,0mm,0mm" style="mso-fit-shape-to-text:t;">
                <w:txbxContent>
                  <w:p>
                    <w:pPr>
                      <w:pStyle w:val="11"/>
                    </w:pPr>
                    <w:r>
                      <w:fldChar w:fldCharType="begin"/>
                    </w:r>
                    <w:r>
                      <w:instrText xml:space="preserve"> PAGE  \* MERGEFORMAT </w:instrText>
                    </w:r>
                    <w:r>
                      <w:fldChar w:fldCharType="separate"/>
                    </w:r>
                    <w:r>
                      <w:t>116</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tabs>
        <w:tab w:val="right" w:pos="9661"/>
        <w:tab w:val="clear" w:pos="4153"/>
        <w:tab w:val="clear" w:pos="8306"/>
      </w:tabs>
      <w:ind w:right="742"/>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79705" cy="131445"/>
              <wp:effectExtent l="0" t="0" r="0" b="0"/>
              <wp:wrapNone/>
              <wp:docPr id="1380816379" name="文本框 1380816379"/>
              <wp:cNvGraphicFramePr/>
              <a:graphic xmlns:a="http://schemas.openxmlformats.org/drawingml/2006/main">
                <a:graphicData uri="http://schemas.microsoft.com/office/word/2010/wordprocessingShape">
                  <wps:wsp>
                    <wps:cNvSpPr txBox="1"/>
                    <wps:spPr>
                      <a:xfrm>
                        <a:off x="0" y="0"/>
                        <a:ext cx="179878" cy="131618"/>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1"/>
                          </w:pPr>
                          <w:r>
                            <w:fldChar w:fldCharType="begin"/>
                          </w:r>
                          <w:r>
                            <w:instrText xml:space="preserve"> PAGE  \* MERGEFORMAT </w:instrText>
                          </w:r>
                          <w:r>
                            <w:fldChar w:fldCharType="separate"/>
                          </w:r>
                          <w:r>
                            <w:t>116</w:t>
                          </w:r>
                          <w:r>
                            <w:fldChar w:fldCharType="end"/>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1026" o:spid="_x0000_s1026" o:spt="202" type="#_x0000_t202" style="position:absolute;left:0pt;margin-top:0pt;height:10.35pt;width:14.15pt;mso-position-horizontal:center;mso-position-horizontal-relative:margin;z-index:251660288;mso-width-relative:page;mso-height-relative:page;" filled="f" stroked="f" coordsize="21600,21600" o:gfxdata="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DMcg2P0gAAAAMBAAAPAAAAAAAAAAEAIAAAACIAAABkcnMvZG93bnJl&#10;di54bWxQSwECFAAUAAAACACHTuJALYK6TTwCAABnBAAADgAAAAAAAAABACAAAAAhAQAAZHJzL2Uy&#10;b0RvYy54bWxQSwUGAAAAAAYABgBZAQAAzwUAAAAA&#10;">
              <v:fill on="f" focussize="0,0"/>
              <v:stroke on="f" weight="0.5pt"/>
              <v:imagedata o:title=""/>
              <o:lock v:ext="edit" aspectratio="f"/>
              <v:textbox inset="0mm,0mm,0mm,0mm">
                <w:txbxContent>
                  <w:p>
                    <w:pPr>
                      <w:pStyle w:val="11"/>
                    </w:pPr>
                    <w:r>
                      <w:fldChar w:fldCharType="begin"/>
                    </w:r>
                    <w:r>
                      <w:instrText xml:space="preserve"> PAGE  \* MERGEFORMAT </w:instrText>
                    </w:r>
                    <w:r>
                      <w:fldChar w:fldCharType="separate"/>
                    </w:r>
                    <w:r>
                      <w:t>116</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Pr>
        <w:rFonts w:eastAsia="Times New Roman"/>
      </w:rPr>
    </w:pPr>
    <w:r>
      <w:rPr>
        <w:rFonts w:ascii="黑体" w:eastAsia="黑体"/>
      </w:rPr>
      <w:t>SL×××—201×</w:t>
    </w:r>
  </w:p>
  <w:p>
    <w:pPr>
      <w:rPr>
        <w:rFonts w:ascii="黑体" w:eastAsia="黑体"/>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right="42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7B1D510"/>
    <w:multiLevelType w:val="singleLevel"/>
    <w:tmpl w:val="87B1D510"/>
    <w:lvl w:ilvl="0" w:tentative="0">
      <w:start w:val="1"/>
      <w:numFmt w:val="decimal"/>
      <w:suff w:val="space"/>
      <w:lvlText w:val="%1）"/>
      <w:lvlJc w:val="left"/>
      <w:rPr>
        <w:rFonts w:ascii="黑体" w:hAnsi="黑体" w:eastAsia="黑体"/>
      </w:rPr>
    </w:lvl>
  </w:abstractNum>
  <w:abstractNum w:abstractNumId="1">
    <w:nsid w:val="88AAE93C"/>
    <w:multiLevelType w:val="singleLevel"/>
    <w:tmpl w:val="88AAE93C"/>
    <w:lvl w:ilvl="0" w:tentative="0">
      <w:start w:val="1"/>
      <w:numFmt w:val="decimal"/>
      <w:suff w:val="space"/>
      <w:lvlText w:val="%1）"/>
      <w:lvlJc w:val="left"/>
      <w:rPr>
        <w:rFonts w:hint="default" w:ascii="黑体" w:hAnsi="黑体" w:eastAsia="黑体" w:cs="黑体"/>
        <w:sz w:val="21"/>
        <w:szCs w:val="21"/>
      </w:rPr>
    </w:lvl>
  </w:abstractNum>
  <w:abstractNum w:abstractNumId="2">
    <w:nsid w:val="8C9E023E"/>
    <w:multiLevelType w:val="singleLevel"/>
    <w:tmpl w:val="8C9E023E"/>
    <w:lvl w:ilvl="0" w:tentative="0">
      <w:start w:val="1"/>
      <w:numFmt w:val="decimal"/>
      <w:suff w:val="space"/>
      <w:lvlText w:val="%1）"/>
      <w:lvlJc w:val="left"/>
      <w:rPr>
        <w:rFonts w:ascii="黑体" w:hAnsi="黑体" w:eastAsia="黑体"/>
      </w:rPr>
    </w:lvl>
  </w:abstractNum>
  <w:abstractNum w:abstractNumId="3">
    <w:nsid w:val="9C2A335B"/>
    <w:multiLevelType w:val="singleLevel"/>
    <w:tmpl w:val="9C2A335B"/>
    <w:lvl w:ilvl="0" w:tentative="0">
      <w:start w:val="1"/>
      <w:numFmt w:val="decimal"/>
      <w:suff w:val="space"/>
      <w:lvlText w:val="%1）"/>
      <w:lvlJc w:val="left"/>
      <w:rPr>
        <w:rFonts w:hint="default" w:ascii="黑体" w:hAnsi="黑体" w:eastAsia="黑体" w:cs="黑体"/>
        <w:sz w:val="21"/>
        <w:szCs w:val="21"/>
      </w:rPr>
    </w:lvl>
  </w:abstractNum>
  <w:abstractNum w:abstractNumId="4">
    <w:nsid w:val="9FEEF9FD"/>
    <w:multiLevelType w:val="singleLevel"/>
    <w:tmpl w:val="9FEEF9FD"/>
    <w:lvl w:ilvl="0" w:tentative="0">
      <w:start w:val="1"/>
      <w:numFmt w:val="decimal"/>
      <w:suff w:val="space"/>
      <w:lvlText w:val="%1）"/>
      <w:lvlJc w:val="left"/>
      <w:rPr>
        <w:rFonts w:ascii="黑体" w:hAnsi="黑体" w:eastAsia="黑体"/>
      </w:rPr>
    </w:lvl>
  </w:abstractNum>
  <w:abstractNum w:abstractNumId="5">
    <w:nsid w:val="A82DA20B"/>
    <w:multiLevelType w:val="singleLevel"/>
    <w:tmpl w:val="A82DA20B"/>
    <w:lvl w:ilvl="0" w:tentative="0">
      <w:start w:val="1"/>
      <w:numFmt w:val="decimal"/>
      <w:suff w:val="space"/>
      <w:lvlText w:val="%1）"/>
      <w:lvlJc w:val="left"/>
      <w:rPr>
        <w:rFonts w:hint="default" w:ascii="黑体" w:hAnsi="黑体" w:eastAsia="黑体" w:cs="黑体"/>
      </w:rPr>
    </w:lvl>
  </w:abstractNum>
  <w:abstractNum w:abstractNumId="6">
    <w:nsid w:val="AD697B0D"/>
    <w:multiLevelType w:val="singleLevel"/>
    <w:tmpl w:val="AD697B0D"/>
    <w:lvl w:ilvl="0" w:tentative="0">
      <w:start w:val="1"/>
      <w:numFmt w:val="lowerLetter"/>
      <w:suff w:val="space"/>
      <w:lvlText w:val="%1)"/>
      <w:lvlJc w:val="left"/>
      <w:rPr>
        <w:rFonts w:hint="default" w:ascii="黑体" w:hAnsi="黑体" w:eastAsia="黑体" w:cs="黑体"/>
      </w:rPr>
    </w:lvl>
  </w:abstractNum>
  <w:abstractNum w:abstractNumId="7">
    <w:nsid w:val="BE298096"/>
    <w:multiLevelType w:val="singleLevel"/>
    <w:tmpl w:val="BE298096"/>
    <w:lvl w:ilvl="0" w:tentative="0">
      <w:start w:val="1"/>
      <w:numFmt w:val="decimal"/>
      <w:suff w:val="space"/>
      <w:lvlText w:val="%1）"/>
      <w:lvlJc w:val="left"/>
      <w:rPr>
        <w:rFonts w:ascii="黑体" w:hAnsi="黑体" w:eastAsia="黑体"/>
      </w:rPr>
    </w:lvl>
  </w:abstractNum>
  <w:abstractNum w:abstractNumId="8">
    <w:nsid w:val="C9CF4D88"/>
    <w:multiLevelType w:val="singleLevel"/>
    <w:tmpl w:val="C9CF4D88"/>
    <w:lvl w:ilvl="0" w:tentative="0">
      <w:start w:val="1"/>
      <w:numFmt w:val="decimal"/>
      <w:suff w:val="space"/>
      <w:lvlText w:val="%1）"/>
      <w:lvlJc w:val="left"/>
      <w:rPr>
        <w:rFonts w:ascii="黑体" w:hAnsi="黑体" w:eastAsia="黑体"/>
      </w:rPr>
    </w:lvl>
  </w:abstractNum>
  <w:abstractNum w:abstractNumId="9">
    <w:nsid w:val="D5635366"/>
    <w:multiLevelType w:val="singleLevel"/>
    <w:tmpl w:val="D5635366"/>
    <w:lvl w:ilvl="0" w:tentative="0">
      <w:start w:val="1"/>
      <w:numFmt w:val="decimal"/>
      <w:suff w:val="space"/>
      <w:lvlText w:val="%1）"/>
      <w:lvlJc w:val="left"/>
      <w:rPr>
        <w:rFonts w:ascii="黑体" w:hAnsi="黑体" w:eastAsia="黑体"/>
      </w:rPr>
    </w:lvl>
  </w:abstractNum>
  <w:abstractNum w:abstractNumId="10">
    <w:nsid w:val="D73E2E84"/>
    <w:multiLevelType w:val="singleLevel"/>
    <w:tmpl w:val="D73E2E84"/>
    <w:lvl w:ilvl="0" w:tentative="0">
      <w:start w:val="1"/>
      <w:numFmt w:val="decimal"/>
      <w:suff w:val="space"/>
      <w:lvlText w:val="%1）"/>
      <w:lvlJc w:val="left"/>
      <w:rPr>
        <w:rFonts w:ascii="黑体" w:hAnsi="黑体" w:eastAsia="黑体"/>
      </w:rPr>
    </w:lvl>
  </w:abstractNum>
  <w:abstractNum w:abstractNumId="11">
    <w:nsid w:val="D83131F0"/>
    <w:multiLevelType w:val="singleLevel"/>
    <w:tmpl w:val="D83131F0"/>
    <w:lvl w:ilvl="0" w:tentative="0">
      <w:start w:val="1"/>
      <w:numFmt w:val="lowerLetter"/>
      <w:suff w:val="space"/>
      <w:lvlText w:val="%1)"/>
      <w:lvlJc w:val="left"/>
      <w:rPr>
        <w:rFonts w:hint="default" w:ascii="黑体" w:hAnsi="黑体" w:eastAsia="黑体" w:cs="黑体"/>
      </w:rPr>
    </w:lvl>
  </w:abstractNum>
  <w:abstractNum w:abstractNumId="12">
    <w:nsid w:val="D9951520"/>
    <w:multiLevelType w:val="singleLevel"/>
    <w:tmpl w:val="D9951520"/>
    <w:lvl w:ilvl="0" w:tentative="0">
      <w:start w:val="1"/>
      <w:numFmt w:val="decimal"/>
      <w:suff w:val="space"/>
      <w:lvlText w:val="%1）"/>
      <w:lvlJc w:val="left"/>
      <w:rPr>
        <w:rFonts w:ascii="黑体" w:hAnsi="黑体" w:eastAsia="黑体"/>
      </w:rPr>
    </w:lvl>
  </w:abstractNum>
  <w:abstractNum w:abstractNumId="13">
    <w:nsid w:val="DE6427EE"/>
    <w:multiLevelType w:val="singleLevel"/>
    <w:tmpl w:val="DE6427EE"/>
    <w:lvl w:ilvl="0" w:tentative="0">
      <w:start w:val="1"/>
      <w:numFmt w:val="lowerLetter"/>
      <w:suff w:val="space"/>
      <w:lvlText w:val="%1)"/>
      <w:lvlJc w:val="left"/>
      <w:rPr>
        <w:rFonts w:hint="default" w:ascii="黑体" w:hAnsi="黑体" w:eastAsia="黑体" w:cs="黑体"/>
      </w:rPr>
    </w:lvl>
  </w:abstractNum>
  <w:abstractNum w:abstractNumId="14">
    <w:nsid w:val="E3B22650"/>
    <w:multiLevelType w:val="singleLevel"/>
    <w:tmpl w:val="E3B22650"/>
    <w:lvl w:ilvl="0" w:tentative="0">
      <w:start w:val="1"/>
      <w:numFmt w:val="lowerLetter"/>
      <w:suff w:val="space"/>
      <w:lvlText w:val="%1)"/>
      <w:lvlJc w:val="left"/>
      <w:rPr>
        <w:rFonts w:hint="default" w:ascii="黑体" w:hAnsi="黑体" w:eastAsia="黑体" w:cs="黑体"/>
      </w:rPr>
    </w:lvl>
  </w:abstractNum>
  <w:abstractNum w:abstractNumId="15">
    <w:nsid w:val="EA5E2F14"/>
    <w:multiLevelType w:val="singleLevel"/>
    <w:tmpl w:val="EA5E2F14"/>
    <w:lvl w:ilvl="0" w:tentative="0">
      <w:start w:val="1"/>
      <w:numFmt w:val="lowerLetter"/>
      <w:suff w:val="space"/>
      <w:lvlText w:val="%1）"/>
      <w:lvlJc w:val="left"/>
      <w:rPr>
        <w:rFonts w:hint="default" w:ascii="黑体" w:hAnsi="黑体" w:eastAsia="黑体" w:cs="黑体"/>
      </w:rPr>
    </w:lvl>
  </w:abstractNum>
  <w:abstractNum w:abstractNumId="16">
    <w:nsid w:val="EAE4909D"/>
    <w:multiLevelType w:val="singleLevel"/>
    <w:tmpl w:val="EAE4909D"/>
    <w:lvl w:ilvl="0" w:tentative="0">
      <w:start w:val="1"/>
      <w:numFmt w:val="decimal"/>
      <w:suff w:val="space"/>
      <w:lvlText w:val="%1）"/>
      <w:lvlJc w:val="left"/>
      <w:rPr>
        <w:rFonts w:hint="default" w:ascii="黑体" w:hAnsi="黑体" w:eastAsia="黑体" w:cs="黑体"/>
        <w:sz w:val="21"/>
        <w:szCs w:val="21"/>
      </w:rPr>
    </w:lvl>
  </w:abstractNum>
  <w:abstractNum w:abstractNumId="17">
    <w:nsid w:val="FDD86F1E"/>
    <w:multiLevelType w:val="singleLevel"/>
    <w:tmpl w:val="FDD86F1E"/>
    <w:lvl w:ilvl="0" w:tentative="0">
      <w:start w:val="1"/>
      <w:numFmt w:val="decimal"/>
      <w:suff w:val="space"/>
      <w:lvlText w:val="%1）"/>
      <w:lvlJc w:val="left"/>
      <w:rPr>
        <w:rFonts w:ascii="黑体" w:hAnsi="黑体" w:eastAsia="黑体"/>
      </w:rPr>
    </w:lvl>
  </w:abstractNum>
  <w:abstractNum w:abstractNumId="18">
    <w:nsid w:val="058CDB15"/>
    <w:multiLevelType w:val="singleLevel"/>
    <w:tmpl w:val="058CDB15"/>
    <w:lvl w:ilvl="0" w:tentative="0">
      <w:start w:val="1"/>
      <w:numFmt w:val="decimal"/>
      <w:suff w:val="space"/>
      <w:lvlText w:val="%1）"/>
      <w:lvlJc w:val="left"/>
      <w:rPr>
        <w:rFonts w:ascii="黑体" w:hAnsi="黑体" w:eastAsia="黑体"/>
      </w:rPr>
    </w:lvl>
  </w:abstractNum>
  <w:abstractNum w:abstractNumId="19">
    <w:nsid w:val="0A70F812"/>
    <w:multiLevelType w:val="singleLevel"/>
    <w:tmpl w:val="0A70F812"/>
    <w:lvl w:ilvl="0" w:tentative="0">
      <w:start w:val="1"/>
      <w:numFmt w:val="decimal"/>
      <w:suff w:val="space"/>
      <w:lvlText w:val="%1）"/>
      <w:lvlJc w:val="left"/>
      <w:rPr>
        <w:rFonts w:hint="default" w:ascii="黑体" w:hAnsi="黑体" w:eastAsia="黑体" w:cs="黑体"/>
        <w:sz w:val="21"/>
        <w:szCs w:val="21"/>
      </w:rPr>
    </w:lvl>
  </w:abstractNum>
  <w:abstractNum w:abstractNumId="20">
    <w:nsid w:val="0DC1DFF4"/>
    <w:multiLevelType w:val="singleLevel"/>
    <w:tmpl w:val="0DC1DFF4"/>
    <w:lvl w:ilvl="0" w:tentative="0">
      <w:start w:val="1"/>
      <w:numFmt w:val="decimal"/>
      <w:suff w:val="space"/>
      <w:lvlText w:val="%1）"/>
      <w:lvlJc w:val="left"/>
      <w:rPr>
        <w:rFonts w:ascii="黑体" w:hAnsi="黑体" w:eastAsia="黑体"/>
      </w:rPr>
    </w:lvl>
  </w:abstractNum>
  <w:abstractNum w:abstractNumId="21">
    <w:nsid w:val="20C70905"/>
    <w:multiLevelType w:val="singleLevel"/>
    <w:tmpl w:val="20C70905"/>
    <w:lvl w:ilvl="0" w:tentative="0">
      <w:start w:val="1"/>
      <w:numFmt w:val="decimal"/>
      <w:suff w:val="space"/>
      <w:lvlText w:val="%1）"/>
      <w:lvlJc w:val="left"/>
      <w:rPr>
        <w:rFonts w:ascii="黑体" w:hAnsi="黑体" w:eastAsia="黑体"/>
      </w:rPr>
    </w:lvl>
  </w:abstractNum>
  <w:abstractNum w:abstractNumId="22">
    <w:nsid w:val="20E38EEE"/>
    <w:multiLevelType w:val="singleLevel"/>
    <w:tmpl w:val="20E38EEE"/>
    <w:lvl w:ilvl="0" w:tentative="0">
      <w:start w:val="1"/>
      <w:numFmt w:val="decimal"/>
      <w:suff w:val="space"/>
      <w:lvlText w:val="%1）"/>
      <w:lvlJc w:val="left"/>
      <w:rPr>
        <w:rFonts w:ascii="黑体" w:hAnsi="黑体" w:eastAsia="黑体"/>
      </w:rPr>
    </w:lvl>
  </w:abstractNum>
  <w:abstractNum w:abstractNumId="23">
    <w:nsid w:val="25831A5D"/>
    <w:multiLevelType w:val="singleLevel"/>
    <w:tmpl w:val="25831A5D"/>
    <w:lvl w:ilvl="0" w:tentative="0">
      <w:start w:val="1"/>
      <w:numFmt w:val="decimal"/>
      <w:suff w:val="space"/>
      <w:lvlText w:val="%1）"/>
      <w:lvlJc w:val="left"/>
      <w:rPr>
        <w:rFonts w:ascii="黑体" w:hAnsi="黑体" w:eastAsia="黑体"/>
      </w:rPr>
    </w:lvl>
  </w:abstractNum>
  <w:abstractNum w:abstractNumId="24">
    <w:nsid w:val="26BC3550"/>
    <w:multiLevelType w:val="singleLevel"/>
    <w:tmpl w:val="26BC3550"/>
    <w:lvl w:ilvl="0" w:tentative="0">
      <w:start w:val="1"/>
      <w:numFmt w:val="decimal"/>
      <w:suff w:val="space"/>
      <w:lvlText w:val="%1）"/>
      <w:lvlJc w:val="left"/>
      <w:rPr>
        <w:rFonts w:ascii="黑体" w:hAnsi="黑体" w:eastAsia="黑体"/>
      </w:rPr>
    </w:lvl>
  </w:abstractNum>
  <w:abstractNum w:abstractNumId="25">
    <w:nsid w:val="2A5BC592"/>
    <w:multiLevelType w:val="singleLevel"/>
    <w:tmpl w:val="2A5BC592"/>
    <w:lvl w:ilvl="0" w:tentative="0">
      <w:start w:val="1"/>
      <w:numFmt w:val="decimal"/>
      <w:suff w:val="space"/>
      <w:lvlText w:val="%1)"/>
      <w:lvlJc w:val="left"/>
      <w:rPr>
        <w:rFonts w:hint="default" w:ascii="黑体" w:hAnsi="黑体" w:eastAsia="黑体" w:cs="黑体"/>
      </w:rPr>
    </w:lvl>
  </w:abstractNum>
  <w:abstractNum w:abstractNumId="26">
    <w:nsid w:val="2FCFC0C1"/>
    <w:multiLevelType w:val="singleLevel"/>
    <w:tmpl w:val="2FCFC0C1"/>
    <w:lvl w:ilvl="0" w:tentative="0">
      <w:start w:val="1"/>
      <w:numFmt w:val="decimal"/>
      <w:suff w:val="space"/>
      <w:lvlText w:val="%1）"/>
      <w:lvlJc w:val="left"/>
      <w:rPr>
        <w:rFonts w:ascii="黑体" w:hAnsi="黑体" w:eastAsia="黑体"/>
      </w:rPr>
    </w:lvl>
  </w:abstractNum>
  <w:abstractNum w:abstractNumId="27">
    <w:nsid w:val="3F1D7A84"/>
    <w:multiLevelType w:val="multilevel"/>
    <w:tmpl w:val="3F1D7A84"/>
    <w:lvl w:ilvl="0" w:tentative="0">
      <w:start w:val="1"/>
      <w:numFmt w:val="lowerLetter"/>
      <w:lvlText w:val="%1）"/>
      <w:lvlJc w:val="left"/>
      <w:pPr>
        <w:ind w:left="804" w:hanging="384"/>
      </w:pPr>
      <w:rPr>
        <w:rFonts w:hint="default" w:ascii="黑体" w:hAnsi="黑体" w:eastAsia="黑体" w:cs="黑体"/>
        <w:sz w:val="21"/>
        <w:szCs w:val="21"/>
      </w:rPr>
    </w:lvl>
    <w:lvl w:ilvl="1" w:tentative="0">
      <w:start w:val="1"/>
      <w:numFmt w:val="lowerLetter"/>
      <w:lvlText w:val="%2)"/>
      <w:lvlJc w:val="left"/>
      <w:pPr>
        <w:ind w:left="1300" w:hanging="440"/>
      </w:pPr>
    </w:lvl>
    <w:lvl w:ilvl="2" w:tentative="0">
      <w:start w:val="1"/>
      <w:numFmt w:val="lowerRoman"/>
      <w:lvlText w:val="%3."/>
      <w:lvlJc w:val="right"/>
      <w:pPr>
        <w:ind w:left="1740" w:hanging="440"/>
      </w:pPr>
    </w:lvl>
    <w:lvl w:ilvl="3" w:tentative="0">
      <w:start w:val="1"/>
      <w:numFmt w:val="decimal"/>
      <w:lvlText w:val="%4."/>
      <w:lvlJc w:val="left"/>
      <w:pPr>
        <w:ind w:left="2180" w:hanging="440"/>
      </w:pPr>
    </w:lvl>
    <w:lvl w:ilvl="4" w:tentative="0">
      <w:start w:val="1"/>
      <w:numFmt w:val="lowerLetter"/>
      <w:lvlText w:val="%5)"/>
      <w:lvlJc w:val="left"/>
      <w:pPr>
        <w:ind w:left="2620" w:hanging="440"/>
      </w:pPr>
    </w:lvl>
    <w:lvl w:ilvl="5" w:tentative="0">
      <w:start w:val="1"/>
      <w:numFmt w:val="lowerRoman"/>
      <w:lvlText w:val="%6."/>
      <w:lvlJc w:val="right"/>
      <w:pPr>
        <w:ind w:left="3060" w:hanging="440"/>
      </w:pPr>
    </w:lvl>
    <w:lvl w:ilvl="6" w:tentative="0">
      <w:start w:val="1"/>
      <w:numFmt w:val="decimal"/>
      <w:lvlText w:val="%7."/>
      <w:lvlJc w:val="left"/>
      <w:pPr>
        <w:ind w:left="3500" w:hanging="440"/>
      </w:pPr>
    </w:lvl>
    <w:lvl w:ilvl="7" w:tentative="0">
      <w:start w:val="1"/>
      <w:numFmt w:val="lowerLetter"/>
      <w:lvlText w:val="%8)"/>
      <w:lvlJc w:val="left"/>
      <w:pPr>
        <w:ind w:left="3940" w:hanging="440"/>
      </w:pPr>
    </w:lvl>
    <w:lvl w:ilvl="8" w:tentative="0">
      <w:start w:val="1"/>
      <w:numFmt w:val="lowerRoman"/>
      <w:lvlText w:val="%9."/>
      <w:lvlJc w:val="right"/>
      <w:pPr>
        <w:ind w:left="4380" w:hanging="440"/>
      </w:pPr>
    </w:lvl>
  </w:abstractNum>
  <w:abstractNum w:abstractNumId="28">
    <w:nsid w:val="48427A2A"/>
    <w:multiLevelType w:val="singleLevel"/>
    <w:tmpl w:val="48427A2A"/>
    <w:lvl w:ilvl="0" w:tentative="0">
      <w:start w:val="1"/>
      <w:numFmt w:val="decimal"/>
      <w:suff w:val="space"/>
      <w:lvlText w:val="%1）"/>
      <w:lvlJc w:val="left"/>
      <w:rPr>
        <w:rFonts w:ascii="黑体" w:hAnsi="黑体" w:eastAsia="黑体"/>
      </w:rPr>
    </w:lvl>
  </w:abstractNum>
  <w:abstractNum w:abstractNumId="29">
    <w:nsid w:val="52D3A072"/>
    <w:multiLevelType w:val="singleLevel"/>
    <w:tmpl w:val="52D3A072"/>
    <w:lvl w:ilvl="0" w:tentative="0">
      <w:start w:val="1"/>
      <w:numFmt w:val="decimal"/>
      <w:suff w:val="space"/>
      <w:lvlText w:val="%1）"/>
      <w:lvlJc w:val="left"/>
      <w:rPr>
        <w:rFonts w:ascii="黑体" w:hAnsi="黑体" w:eastAsia="黑体"/>
      </w:rPr>
    </w:lvl>
  </w:abstractNum>
  <w:abstractNum w:abstractNumId="30">
    <w:nsid w:val="567B03DF"/>
    <w:multiLevelType w:val="multilevel"/>
    <w:tmpl w:val="567B03DF"/>
    <w:lvl w:ilvl="0" w:tentative="0">
      <w:start w:val="1"/>
      <w:numFmt w:val="decimal"/>
      <w:lvlText w:val="%1）"/>
      <w:lvlJc w:val="left"/>
      <w:pPr>
        <w:ind w:left="742" w:hanging="360"/>
      </w:pPr>
      <w:rPr>
        <w:rFonts w:hint="default" w:ascii="黑体" w:hAnsi="黑体" w:eastAsia="黑体"/>
      </w:rPr>
    </w:lvl>
    <w:lvl w:ilvl="1" w:tentative="0">
      <w:start w:val="1"/>
      <w:numFmt w:val="lowerLetter"/>
      <w:lvlText w:val="%2)"/>
      <w:lvlJc w:val="left"/>
      <w:pPr>
        <w:ind w:left="1222" w:hanging="420"/>
      </w:pPr>
    </w:lvl>
    <w:lvl w:ilvl="2" w:tentative="0">
      <w:start w:val="1"/>
      <w:numFmt w:val="lowerRoman"/>
      <w:lvlText w:val="%3."/>
      <w:lvlJc w:val="right"/>
      <w:pPr>
        <w:ind w:left="1642" w:hanging="420"/>
      </w:pPr>
    </w:lvl>
    <w:lvl w:ilvl="3" w:tentative="0">
      <w:start w:val="1"/>
      <w:numFmt w:val="decimal"/>
      <w:lvlText w:val="%4."/>
      <w:lvlJc w:val="left"/>
      <w:pPr>
        <w:ind w:left="2062" w:hanging="420"/>
      </w:pPr>
    </w:lvl>
    <w:lvl w:ilvl="4" w:tentative="0">
      <w:start w:val="1"/>
      <w:numFmt w:val="lowerLetter"/>
      <w:lvlText w:val="%5)"/>
      <w:lvlJc w:val="left"/>
      <w:pPr>
        <w:ind w:left="2482" w:hanging="420"/>
      </w:pPr>
    </w:lvl>
    <w:lvl w:ilvl="5" w:tentative="0">
      <w:start w:val="1"/>
      <w:numFmt w:val="lowerRoman"/>
      <w:lvlText w:val="%6."/>
      <w:lvlJc w:val="right"/>
      <w:pPr>
        <w:ind w:left="2902" w:hanging="420"/>
      </w:pPr>
    </w:lvl>
    <w:lvl w:ilvl="6" w:tentative="0">
      <w:start w:val="1"/>
      <w:numFmt w:val="decimal"/>
      <w:lvlText w:val="%7."/>
      <w:lvlJc w:val="left"/>
      <w:pPr>
        <w:ind w:left="3322" w:hanging="420"/>
      </w:pPr>
    </w:lvl>
    <w:lvl w:ilvl="7" w:tentative="0">
      <w:start w:val="1"/>
      <w:numFmt w:val="lowerLetter"/>
      <w:lvlText w:val="%8)"/>
      <w:lvlJc w:val="left"/>
      <w:pPr>
        <w:ind w:left="3742" w:hanging="420"/>
      </w:pPr>
    </w:lvl>
    <w:lvl w:ilvl="8" w:tentative="0">
      <w:start w:val="1"/>
      <w:numFmt w:val="lowerRoman"/>
      <w:lvlText w:val="%9."/>
      <w:lvlJc w:val="right"/>
      <w:pPr>
        <w:ind w:left="4162" w:hanging="420"/>
      </w:pPr>
    </w:lvl>
  </w:abstractNum>
  <w:abstractNum w:abstractNumId="31">
    <w:nsid w:val="5705AC86"/>
    <w:multiLevelType w:val="singleLevel"/>
    <w:tmpl w:val="5705AC86"/>
    <w:lvl w:ilvl="0" w:tentative="0">
      <w:start w:val="1"/>
      <w:numFmt w:val="decimal"/>
      <w:suff w:val="space"/>
      <w:lvlText w:val="%1）"/>
      <w:lvlJc w:val="left"/>
      <w:rPr>
        <w:rFonts w:hint="default" w:ascii="黑体" w:hAnsi="黑体" w:eastAsia="黑体" w:cs="黑体"/>
        <w:sz w:val="21"/>
        <w:szCs w:val="21"/>
      </w:rPr>
    </w:lvl>
  </w:abstractNum>
  <w:abstractNum w:abstractNumId="32">
    <w:nsid w:val="5B2FDD75"/>
    <w:multiLevelType w:val="singleLevel"/>
    <w:tmpl w:val="5B2FDD75"/>
    <w:lvl w:ilvl="0" w:tentative="0">
      <w:start w:val="1"/>
      <w:numFmt w:val="decimal"/>
      <w:suff w:val="space"/>
      <w:lvlText w:val="%1）"/>
      <w:lvlJc w:val="left"/>
      <w:rPr>
        <w:rFonts w:hint="default" w:ascii="黑体" w:hAnsi="黑体" w:eastAsia="黑体" w:cs="黑体"/>
      </w:rPr>
    </w:lvl>
  </w:abstractNum>
  <w:abstractNum w:abstractNumId="33">
    <w:nsid w:val="5B30DECE"/>
    <w:multiLevelType w:val="singleLevel"/>
    <w:tmpl w:val="5B30DECE"/>
    <w:lvl w:ilvl="0" w:tentative="0">
      <w:start w:val="1"/>
      <w:numFmt w:val="decimal"/>
      <w:suff w:val="space"/>
      <w:lvlText w:val="%1）"/>
      <w:lvlJc w:val="left"/>
      <w:rPr>
        <w:rFonts w:hint="default" w:ascii="黑体" w:hAnsi="黑体" w:eastAsia="黑体" w:cs="黑体"/>
      </w:rPr>
    </w:lvl>
  </w:abstractNum>
  <w:abstractNum w:abstractNumId="34">
    <w:nsid w:val="5B36073C"/>
    <w:multiLevelType w:val="singleLevel"/>
    <w:tmpl w:val="5B36073C"/>
    <w:lvl w:ilvl="0" w:tentative="0">
      <w:start w:val="1"/>
      <w:numFmt w:val="decimal"/>
      <w:suff w:val="space"/>
      <w:lvlText w:val="%1）"/>
      <w:lvlJc w:val="left"/>
      <w:rPr>
        <w:rFonts w:ascii="黑体" w:hAnsi="黑体" w:eastAsia="黑体"/>
      </w:rPr>
    </w:lvl>
  </w:abstractNum>
  <w:abstractNum w:abstractNumId="35">
    <w:nsid w:val="5F011513"/>
    <w:multiLevelType w:val="singleLevel"/>
    <w:tmpl w:val="5F011513"/>
    <w:lvl w:ilvl="0" w:tentative="0">
      <w:start w:val="1"/>
      <w:numFmt w:val="decimal"/>
      <w:suff w:val="space"/>
      <w:lvlText w:val="%1）"/>
      <w:lvlJc w:val="left"/>
      <w:rPr>
        <w:rFonts w:ascii="黑体" w:hAnsi="黑体" w:eastAsia="黑体"/>
      </w:rPr>
    </w:lvl>
  </w:abstractNum>
  <w:abstractNum w:abstractNumId="36">
    <w:nsid w:val="60AC03E9"/>
    <w:multiLevelType w:val="singleLevel"/>
    <w:tmpl w:val="60AC03E9"/>
    <w:lvl w:ilvl="0" w:tentative="0">
      <w:start w:val="1"/>
      <w:numFmt w:val="decimal"/>
      <w:suff w:val="space"/>
      <w:lvlText w:val="%1）"/>
      <w:lvlJc w:val="left"/>
      <w:rPr>
        <w:rFonts w:ascii="黑体" w:hAnsi="黑体" w:eastAsia="黑体"/>
      </w:rPr>
    </w:lvl>
  </w:abstractNum>
  <w:abstractNum w:abstractNumId="37">
    <w:nsid w:val="651B1806"/>
    <w:multiLevelType w:val="multilevel"/>
    <w:tmpl w:val="651B1806"/>
    <w:lvl w:ilvl="0" w:tentative="0">
      <w:start w:val="1"/>
      <w:numFmt w:val="decimal"/>
      <w:lvlText w:val="%1"/>
      <w:lvlJc w:val="left"/>
      <w:pPr>
        <w:ind w:left="846" w:hanging="420"/>
      </w:pPr>
      <w:rPr>
        <w:rFonts w:hint="eastAsia" w:ascii="黑体" w:hAnsi="黑体" w:eastAsia="黑体"/>
        <w:b w:val="0"/>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8">
    <w:nsid w:val="683AC19C"/>
    <w:multiLevelType w:val="singleLevel"/>
    <w:tmpl w:val="683AC19C"/>
    <w:lvl w:ilvl="0" w:tentative="0">
      <w:start w:val="1"/>
      <w:numFmt w:val="decimal"/>
      <w:suff w:val="space"/>
      <w:lvlText w:val="%1)"/>
      <w:lvlJc w:val="left"/>
      <w:rPr>
        <w:rFonts w:hint="default" w:ascii="黑体" w:hAnsi="黑体" w:eastAsia="黑体" w:cs="黑体"/>
      </w:rPr>
    </w:lvl>
  </w:abstractNum>
  <w:num w:numId="1">
    <w:abstractNumId w:val="4"/>
  </w:num>
  <w:num w:numId="2">
    <w:abstractNumId w:val="3"/>
  </w:num>
  <w:num w:numId="3">
    <w:abstractNumId w:val="20"/>
  </w:num>
  <w:num w:numId="4">
    <w:abstractNumId w:val="9"/>
  </w:num>
  <w:num w:numId="5">
    <w:abstractNumId w:val="0"/>
  </w:num>
  <w:num w:numId="6">
    <w:abstractNumId w:val="18"/>
  </w:num>
  <w:num w:numId="7">
    <w:abstractNumId w:val="31"/>
  </w:num>
  <w:num w:numId="8">
    <w:abstractNumId w:val="7"/>
  </w:num>
  <w:num w:numId="9">
    <w:abstractNumId w:val="22"/>
  </w:num>
  <w:num w:numId="10">
    <w:abstractNumId w:val="8"/>
  </w:num>
  <w:num w:numId="11">
    <w:abstractNumId w:val="21"/>
  </w:num>
  <w:num w:numId="12">
    <w:abstractNumId w:val="12"/>
  </w:num>
  <w:num w:numId="13">
    <w:abstractNumId w:val="17"/>
  </w:num>
  <w:num w:numId="14">
    <w:abstractNumId w:val="26"/>
  </w:num>
  <w:num w:numId="15">
    <w:abstractNumId w:val="34"/>
  </w:num>
  <w:num w:numId="16">
    <w:abstractNumId w:val="36"/>
  </w:num>
  <w:num w:numId="17">
    <w:abstractNumId w:val="10"/>
  </w:num>
  <w:num w:numId="18">
    <w:abstractNumId w:val="23"/>
  </w:num>
  <w:num w:numId="19">
    <w:abstractNumId w:val="2"/>
  </w:num>
  <w:num w:numId="20">
    <w:abstractNumId w:val="35"/>
  </w:num>
  <w:num w:numId="21">
    <w:abstractNumId w:val="24"/>
  </w:num>
  <w:num w:numId="22">
    <w:abstractNumId w:val="28"/>
  </w:num>
  <w:num w:numId="23">
    <w:abstractNumId w:val="29"/>
  </w:num>
  <w:num w:numId="24">
    <w:abstractNumId w:val="11"/>
  </w:num>
  <w:num w:numId="25">
    <w:abstractNumId w:val="25"/>
  </w:num>
  <w:num w:numId="26">
    <w:abstractNumId w:val="38"/>
  </w:num>
  <w:num w:numId="27">
    <w:abstractNumId w:val="14"/>
  </w:num>
  <w:num w:numId="28">
    <w:abstractNumId w:val="15"/>
  </w:num>
  <w:num w:numId="29">
    <w:abstractNumId w:val="13"/>
  </w:num>
  <w:num w:numId="30">
    <w:abstractNumId w:val="6"/>
  </w:num>
  <w:num w:numId="31">
    <w:abstractNumId w:val="32"/>
  </w:num>
  <w:num w:numId="32">
    <w:abstractNumId w:val="5"/>
  </w:num>
  <w:num w:numId="33">
    <w:abstractNumId w:val="33"/>
  </w:num>
  <w:num w:numId="34">
    <w:abstractNumId w:val="19"/>
  </w:num>
  <w:num w:numId="35">
    <w:abstractNumId w:val="1"/>
  </w:num>
  <w:num w:numId="36">
    <w:abstractNumId w:val="16"/>
  </w:num>
  <w:num w:numId="37">
    <w:abstractNumId w:val="37"/>
  </w:num>
  <w:num w:numId="38">
    <w:abstractNumId w:val="30"/>
  </w:num>
  <w:num w:numId="39">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zhhM2EzYzk0ZTg0ZTQxNjZhNDU2ZTgxOTJmMGE0ZTUifQ=="/>
    <w:docVar w:name="KSO_WPS_MARK_KEY" w:val="92dedb55-0e41-4cd5-aa6e-f4bcbb222cd2"/>
  </w:docVars>
  <w:rsids>
    <w:rsidRoot w:val="0034053C"/>
    <w:rsid w:val="00013AAA"/>
    <w:rsid w:val="0003044A"/>
    <w:rsid w:val="00054A93"/>
    <w:rsid w:val="00066DD5"/>
    <w:rsid w:val="0008229D"/>
    <w:rsid w:val="000A6C0E"/>
    <w:rsid w:val="000B6A5F"/>
    <w:rsid w:val="001123C5"/>
    <w:rsid w:val="00122774"/>
    <w:rsid w:val="00134565"/>
    <w:rsid w:val="00137AF9"/>
    <w:rsid w:val="00154F5A"/>
    <w:rsid w:val="00162737"/>
    <w:rsid w:val="0016484F"/>
    <w:rsid w:val="00186C85"/>
    <w:rsid w:val="00193B18"/>
    <w:rsid w:val="001C56F9"/>
    <w:rsid w:val="002047F1"/>
    <w:rsid w:val="002356B1"/>
    <w:rsid w:val="00242AF8"/>
    <w:rsid w:val="00254AD7"/>
    <w:rsid w:val="00261890"/>
    <w:rsid w:val="002631F6"/>
    <w:rsid w:val="0027420A"/>
    <w:rsid w:val="00281219"/>
    <w:rsid w:val="002848A6"/>
    <w:rsid w:val="002975F5"/>
    <w:rsid w:val="002F486E"/>
    <w:rsid w:val="003040D7"/>
    <w:rsid w:val="00335E70"/>
    <w:rsid w:val="00337582"/>
    <w:rsid w:val="0034053C"/>
    <w:rsid w:val="0036029D"/>
    <w:rsid w:val="00373B06"/>
    <w:rsid w:val="003806E2"/>
    <w:rsid w:val="00387B54"/>
    <w:rsid w:val="0039156E"/>
    <w:rsid w:val="003A5A0E"/>
    <w:rsid w:val="003D1B34"/>
    <w:rsid w:val="004206BA"/>
    <w:rsid w:val="004230E2"/>
    <w:rsid w:val="0043289C"/>
    <w:rsid w:val="00433333"/>
    <w:rsid w:val="00440547"/>
    <w:rsid w:val="00465CB8"/>
    <w:rsid w:val="00473358"/>
    <w:rsid w:val="004C1350"/>
    <w:rsid w:val="004D4288"/>
    <w:rsid w:val="005027FB"/>
    <w:rsid w:val="0054225E"/>
    <w:rsid w:val="00560588"/>
    <w:rsid w:val="00582A08"/>
    <w:rsid w:val="005C60EE"/>
    <w:rsid w:val="005C7381"/>
    <w:rsid w:val="005F62CF"/>
    <w:rsid w:val="006115F9"/>
    <w:rsid w:val="006118B0"/>
    <w:rsid w:val="00631779"/>
    <w:rsid w:val="006632D1"/>
    <w:rsid w:val="00680C38"/>
    <w:rsid w:val="006A5824"/>
    <w:rsid w:val="0071574E"/>
    <w:rsid w:val="00734995"/>
    <w:rsid w:val="00735A42"/>
    <w:rsid w:val="00746E88"/>
    <w:rsid w:val="00786D23"/>
    <w:rsid w:val="00791C47"/>
    <w:rsid w:val="007A36D3"/>
    <w:rsid w:val="007C025C"/>
    <w:rsid w:val="007F7319"/>
    <w:rsid w:val="00803212"/>
    <w:rsid w:val="00807779"/>
    <w:rsid w:val="00821ED1"/>
    <w:rsid w:val="00822227"/>
    <w:rsid w:val="00886375"/>
    <w:rsid w:val="008C0552"/>
    <w:rsid w:val="008C75FE"/>
    <w:rsid w:val="008E74B3"/>
    <w:rsid w:val="008F01A9"/>
    <w:rsid w:val="008F3C1F"/>
    <w:rsid w:val="00907B79"/>
    <w:rsid w:val="00945679"/>
    <w:rsid w:val="00953FE7"/>
    <w:rsid w:val="00997971"/>
    <w:rsid w:val="009C7CEC"/>
    <w:rsid w:val="009D44F6"/>
    <w:rsid w:val="009D6240"/>
    <w:rsid w:val="009E0F8A"/>
    <w:rsid w:val="009F3BD8"/>
    <w:rsid w:val="009F71C3"/>
    <w:rsid w:val="00A0777C"/>
    <w:rsid w:val="00A17416"/>
    <w:rsid w:val="00A21F4F"/>
    <w:rsid w:val="00A221FE"/>
    <w:rsid w:val="00A31297"/>
    <w:rsid w:val="00A36C5D"/>
    <w:rsid w:val="00A44A89"/>
    <w:rsid w:val="00A80B83"/>
    <w:rsid w:val="00A8390C"/>
    <w:rsid w:val="00A94062"/>
    <w:rsid w:val="00AA05A7"/>
    <w:rsid w:val="00AA3C32"/>
    <w:rsid w:val="00AD1433"/>
    <w:rsid w:val="00AD1B12"/>
    <w:rsid w:val="00AE1104"/>
    <w:rsid w:val="00B3213D"/>
    <w:rsid w:val="00B528F3"/>
    <w:rsid w:val="00B53515"/>
    <w:rsid w:val="00B854EA"/>
    <w:rsid w:val="00BB56F7"/>
    <w:rsid w:val="00BD3145"/>
    <w:rsid w:val="00BE0958"/>
    <w:rsid w:val="00BE2841"/>
    <w:rsid w:val="00BE4636"/>
    <w:rsid w:val="00BE77D6"/>
    <w:rsid w:val="00C41D2E"/>
    <w:rsid w:val="00C6231B"/>
    <w:rsid w:val="00CB6139"/>
    <w:rsid w:val="00CE2CE9"/>
    <w:rsid w:val="00CF4EA4"/>
    <w:rsid w:val="00D00B89"/>
    <w:rsid w:val="00D04B08"/>
    <w:rsid w:val="00D139AB"/>
    <w:rsid w:val="00D3376F"/>
    <w:rsid w:val="00D42B70"/>
    <w:rsid w:val="00D77BA5"/>
    <w:rsid w:val="00DD188E"/>
    <w:rsid w:val="00DD34B9"/>
    <w:rsid w:val="00DF6EA8"/>
    <w:rsid w:val="00E508D7"/>
    <w:rsid w:val="00E55724"/>
    <w:rsid w:val="00E57915"/>
    <w:rsid w:val="00EA580B"/>
    <w:rsid w:val="00EA5FBB"/>
    <w:rsid w:val="00EA7BE4"/>
    <w:rsid w:val="00EB1F77"/>
    <w:rsid w:val="00EB7F81"/>
    <w:rsid w:val="00ED0C63"/>
    <w:rsid w:val="00EF0472"/>
    <w:rsid w:val="00EF094E"/>
    <w:rsid w:val="00F076DF"/>
    <w:rsid w:val="00F47DC2"/>
    <w:rsid w:val="00F614BB"/>
    <w:rsid w:val="00F63559"/>
    <w:rsid w:val="00F7377C"/>
    <w:rsid w:val="00F749AB"/>
    <w:rsid w:val="00FB421F"/>
    <w:rsid w:val="00FF42E5"/>
    <w:rsid w:val="07B13FA0"/>
    <w:rsid w:val="0ADD1E4D"/>
    <w:rsid w:val="0E0D2F2F"/>
    <w:rsid w:val="11BD71AA"/>
    <w:rsid w:val="1C6679E8"/>
    <w:rsid w:val="1D2C0DAB"/>
    <w:rsid w:val="1FE12702"/>
    <w:rsid w:val="202D1B56"/>
    <w:rsid w:val="24791413"/>
    <w:rsid w:val="27683398"/>
    <w:rsid w:val="2895052E"/>
    <w:rsid w:val="2BA32F62"/>
    <w:rsid w:val="2E144C91"/>
    <w:rsid w:val="32A86DDC"/>
    <w:rsid w:val="334A4693"/>
    <w:rsid w:val="35C16E06"/>
    <w:rsid w:val="46724419"/>
    <w:rsid w:val="4C790A21"/>
    <w:rsid w:val="4E1F158B"/>
    <w:rsid w:val="50A16D55"/>
    <w:rsid w:val="514A3206"/>
    <w:rsid w:val="541B1474"/>
    <w:rsid w:val="562B0C8B"/>
    <w:rsid w:val="58EB1921"/>
    <w:rsid w:val="5C8C4EA1"/>
    <w:rsid w:val="63426E07"/>
    <w:rsid w:val="6EB03628"/>
    <w:rsid w:val="776963DA"/>
    <w:rsid w:val="7A2E4EAA"/>
    <w:rsid w:val="7DBA06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rules v:ext="edit">
        <o:r id="V:Rule1" type="connector" idref="#_x0000_s2052"/>
        <o:r id="V:Rule2" type="connector" idref="#_x0000_s2053"/>
        <o:r id="V:Rule3" type="connector" idref="#_x0000_s2054"/>
        <o:r id="V:Rule4" type="connector" idref="#_x0000_s2055"/>
        <o:r id="V:Rule5" type="connector" idref="#_x0000_s2058"/>
        <o:r id="V:Rule6" type="connector" idref="#_x0000_s2059"/>
        <o:r id="V:Rule7" type="connector" idref="#_x0000_s2060"/>
        <o:r id="V:Rule8" type="connector" idref="#_x0000_s2061"/>
        <o:r id="V:Rule9" type="connector" idref="#_x0000_s2062"/>
        <o:r id="V:Rule10" type="connector" idref="#_x0000_s2063"/>
        <o:r id="V:Rule11" type="connector" idref="#_x0000_s2064"/>
        <o:r id="V:Rule12" type="connector" idref="#_x0000_s2065"/>
        <o:r id="V:Rule13" type="connector" idref="#_x0000_s2066"/>
        <o:r id="V:Rule14" type="connector" idref="#_x0000_s2073"/>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qFormat="1" w:uiPriority="99" w:semiHidden="0"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2"/>
    <w:basedOn w:val="1"/>
    <w:next w:val="1"/>
    <w:unhideWhenUsed/>
    <w:qFormat/>
    <w:uiPriority w:val="9"/>
    <w:pPr>
      <w:keepNext/>
      <w:keepLines/>
      <w:spacing w:before="120" w:line="415" w:lineRule="auto"/>
      <w:jc w:val="center"/>
      <w:outlineLvl w:val="1"/>
    </w:pPr>
    <w:rPr>
      <w:rFonts w:eastAsia="仿宋_GB2312" w:asciiTheme="majorHAnsi" w:hAnsiTheme="majorHAnsi" w:cstheme="majorBidi"/>
      <w:b/>
      <w:bCs/>
      <w:sz w:val="32"/>
      <w:szCs w:val="32"/>
    </w:rPr>
  </w:style>
  <w:style w:type="paragraph" w:styleId="3">
    <w:name w:val="heading 3"/>
    <w:basedOn w:val="1"/>
    <w:next w:val="1"/>
    <w:unhideWhenUsed/>
    <w:qFormat/>
    <w:uiPriority w:val="0"/>
    <w:pPr>
      <w:spacing w:before="120" w:after="120"/>
      <w:outlineLvl w:val="2"/>
    </w:pPr>
    <w:rPr>
      <w:rFonts w:hint="eastAsia" w:ascii="宋体" w:hAnsi="宋体" w:eastAsia="黑体" w:cs="Times New Roman"/>
      <w:kern w:val="0"/>
      <w:szCs w:val="27"/>
    </w:rPr>
  </w:style>
  <w:style w:type="character" w:default="1" w:styleId="21">
    <w:name w:val="Default Paragraph Font"/>
    <w:semiHidden/>
    <w:unhideWhenUsed/>
    <w:uiPriority w:val="1"/>
  </w:style>
  <w:style w:type="table" w:default="1" w:styleId="19">
    <w:name w:val="Normal Table"/>
    <w:semiHidden/>
    <w:unhideWhenUsed/>
    <w:uiPriority w:val="99"/>
    <w:tblPr>
      <w:tblCellMar>
        <w:top w:w="0" w:type="dxa"/>
        <w:left w:w="108" w:type="dxa"/>
        <w:bottom w:w="0" w:type="dxa"/>
        <w:right w:w="108" w:type="dxa"/>
      </w:tblCellMar>
    </w:tblPr>
  </w:style>
  <w:style w:type="paragraph" w:styleId="4">
    <w:name w:val="toc 7"/>
    <w:basedOn w:val="1"/>
    <w:next w:val="1"/>
    <w:unhideWhenUsed/>
    <w:qFormat/>
    <w:uiPriority w:val="39"/>
    <w:pPr>
      <w:spacing w:after="160" w:line="278" w:lineRule="auto"/>
      <w:ind w:left="2520" w:leftChars="1200"/>
      <w:jc w:val="left"/>
    </w:pPr>
    <w:rPr>
      <w:sz w:val="22"/>
      <w:szCs w:val="24"/>
      <w14:ligatures w14:val="standardContextual"/>
    </w:rPr>
  </w:style>
  <w:style w:type="paragraph" w:styleId="5">
    <w:name w:val="annotation text"/>
    <w:basedOn w:val="1"/>
    <w:qFormat/>
    <w:uiPriority w:val="0"/>
    <w:pPr>
      <w:jc w:val="left"/>
    </w:pPr>
  </w:style>
  <w:style w:type="paragraph" w:styleId="6">
    <w:name w:val="Body Text"/>
    <w:basedOn w:val="1"/>
    <w:semiHidden/>
    <w:qFormat/>
    <w:uiPriority w:val="0"/>
    <w:rPr>
      <w:rFonts w:ascii="微软雅黑" w:hAnsi="微软雅黑" w:eastAsia="微软雅黑" w:cs="微软雅黑"/>
      <w:sz w:val="19"/>
      <w:szCs w:val="19"/>
    </w:rPr>
  </w:style>
  <w:style w:type="paragraph" w:styleId="7">
    <w:name w:val="toc 5"/>
    <w:basedOn w:val="1"/>
    <w:next w:val="1"/>
    <w:unhideWhenUsed/>
    <w:qFormat/>
    <w:uiPriority w:val="39"/>
    <w:pPr>
      <w:spacing w:after="160" w:line="278" w:lineRule="auto"/>
      <w:ind w:left="1680" w:leftChars="800"/>
      <w:jc w:val="left"/>
    </w:pPr>
    <w:rPr>
      <w:sz w:val="22"/>
      <w:szCs w:val="24"/>
      <w14:ligatures w14:val="standardContextual"/>
    </w:rPr>
  </w:style>
  <w:style w:type="paragraph" w:styleId="8">
    <w:name w:val="toc 3"/>
    <w:basedOn w:val="1"/>
    <w:next w:val="1"/>
    <w:qFormat/>
    <w:uiPriority w:val="39"/>
    <w:pPr>
      <w:ind w:left="840" w:leftChars="400"/>
    </w:pPr>
  </w:style>
  <w:style w:type="paragraph" w:styleId="9">
    <w:name w:val="Plain Text"/>
    <w:basedOn w:val="1"/>
    <w:qFormat/>
    <w:uiPriority w:val="0"/>
    <w:rPr>
      <w:rFonts w:ascii="宋体" w:hAnsi="Courier New" w:eastAsia="宋体" w:cs="Times New Roman"/>
      <w:szCs w:val="21"/>
    </w:rPr>
  </w:style>
  <w:style w:type="paragraph" w:styleId="10">
    <w:name w:val="toc 8"/>
    <w:basedOn w:val="1"/>
    <w:next w:val="1"/>
    <w:unhideWhenUsed/>
    <w:qFormat/>
    <w:uiPriority w:val="39"/>
    <w:pPr>
      <w:spacing w:after="160" w:line="278" w:lineRule="auto"/>
      <w:ind w:left="2940" w:leftChars="1400"/>
      <w:jc w:val="left"/>
    </w:pPr>
    <w:rPr>
      <w:sz w:val="22"/>
      <w:szCs w:val="24"/>
      <w14:ligatures w14:val="standardContextual"/>
    </w:rPr>
  </w:style>
  <w:style w:type="paragraph" w:styleId="11">
    <w:name w:val="footer"/>
    <w:basedOn w:val="1"/>
    <w:unhideWhenUsed/>
    <w:qFormat/>
    <w:uiPriority w:val="99"/>
    <w:pPr>
      <w:tabs>
        <w:tab w:val="center" w:pos="4153"/>
        <w:tab w:val="right" w:pos="8306"/>
      </w:tabs>
      <w:snapToGrid w:val="0"/>
      <w:jc w:val="left"/>
    </w:pPr>
    <w:rPr>
      <w:sz w:val="18"/>
      <w:szCs w:val="18"/>
    </w:rPr>
  </w:style>
  <w:style w:type="paragraph" w:styleId="12">
    <w:name w:val="header"/>
    <w:basedOn w:val="1"/>
    <w:unhideWhenUsed/>
    <w:qFormat/>
    <w:uiPriority w:val="0"/>
    <w:pPr>
      <w:pBdr>
        <w:bottom w:val="single" w:color="auto" w:sz="6" w:space="1"/>
      </w:pBdr>
      <w:tabs>
        <w:tab w:val="center" w:pos="4153"/>
        <w:tab w:val="right" w:pos="8306"/>
      </w:tabs>
      <w:jc w:val="center"/>
    </w:pPr>
    <w:rPr>
      <w:sz w:val="18"/>
      <w:szCs w:val="18"/>
    </w:rPr>
  </w:style>
  <w:style w:type="paragraph" w:styleId="13">
    <w:name w:val="toc 1"/>
    <w:basedOn w:val="1"/>
    <w:next w:val="1"/>
    <w:qFormat/>
    <w:uiPriority w:val="39"/>
  </w:style>
  <w:style w:type="paragraph" w:styleId="14">
    <w:name w:val="toc 4"/>
    <w:basedOn w:val="1"/>
    <w:next w:val="1"/>
    <w:qFormat/>
    <w:uiPriority w:val="39"/>
    <w:pPr>
      <w:ind w:left="1260" w:leftChars="600"/>
    </w:pPr>
  </w:style>
  <w:style w:type="paragraph" w:styleId="15">
    <w:name w:val="toc 6"/>
    <w:basedOn w:val="1"/>
    <w:next w:val="1"/>
    <w:unhideWhenUsed/>
    <w:qFormat/>
    <w:uiPriority w:val="39"/>
    <w:pPr>
      <w:spacing w:after="160" w:line="278" w:lineRule="auto"/>
      <w:ind w:left="2100" w:leftChars="1000"/>
      <w:jc w:val="left"/>
    </w:pPr>
    <w:rPr>
      <w:sz w:val="22"/>
      <w:szCs w:val="24"/>
      <w14:ligatures w14:val="standardContextual"/>
    </w:rPr>
  </w:style>
  <w:style w:type="paragraph" w:styleId="16">
    <w:name w:val="toc 2"/>
    <w:basedOn w:val="1"/>
    <w:next w:val="1"/>
    <w:qFormat/>
    <w:uiPriority w:val="39"/>
    <w:pPr>
      <w:ind w:left="420" w:leftChars="200"/>
    </w:pPr>
    <w:rPr>
      <w:rFonts w:eastAsia="宋体"/>
    </w:rPr>
  </w:style>
  <w:style w:type="paragraph" w:styleId="17">
    <w:name w:val="toc 9"/>
    <w:basedOn w:val="1"/>
    <w:next w:val="1"/>
    <w:unhideWhenUsed/>
    <w:qFormat/>
    <w:uiPriority w:val="39"/>
    <w:pPr>
      <w:spacing w:after="160" w:line="278" w:lineRule="auto"/>
      <w:ind w:left="3360" w:leftChars="1600"/>
      <w:jc w:val="left"/>
    </w:pPr>
    <w:rPr>
      <w:sz w:val="22"/>
      <w:szCs w:val="24"/>
      <w14:ligatures w14:val="standardContextual"/>
    </w:rPr>
  </w:style>
  <w:style w:type="paragraph" w:styleId="18">
    <w:name w:val="Normal (Web)"/>
    <w:basedOn w:val="1"/>
    <w:unhideWhenUsed/>
    <w:qFormat/>
    <w:uiPriority w:val="99"/>
    <w:pPr>
      <w:spacing w:before="100" w:beforeAutospacing="1" w:after="100" w:afterAutospacing="1"/>
    </w:pPr>
    <w:rPr>
      <w:rFonts w:ascii="宋体" w:hAnsi="宋体" w:eastAsia="宋体" w:cs="宋体"/>
      <w:sz w:val="24"/>
      <w:szCs w:val="24"/>
    </w:rPr>
  </w:style>
  <w:style w:type="table" w:styleId="20">
    <w:name w:val="Table Grid"/>
    <w:basedOn w:val="19"/>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2">
    <w:name w:val="Hyperlink"/>
    <w:basedOn w:val="21"/>
    <w:unhideWhenUsed/>
    <w:qFormat/>
    <w:uiPriority w:val="99"/>
    <w:rPr>
      <w:color w:val="0026E5" w:themeColor="hyperlink"/>
      <w:u w:val="single"/>
      <w14:textFill>
        <w14:solidFill>
          <w14:schemeClr w14:val="hlink"/>
        </w14:solidFill>
      </w14:textFill>
    </w:rPr>
  </w:style>
  <w:style w:type="character" w:styleId="23">
    <w:name w:val="annotation reference"/>
    <w:basedOn w:val="21"/>
    <w:qFormat/>
    <w:uiPriority w:val="0"/>
    <w:rPr>
      <w:sz w:val="21"/>
      <w:szCs w:val="21"/>
    </w:rPr>
  </w:style>
  <w:style w:type="paragraph" w:customStyle="1" w:styleId="24">
    <w:name w:val="简单回函地址"/>
    <w:basedOn w:val="1"/>
    <w:qFormat/>
    <w:uiPriority w:val="0"/>
    <w:rPr>
      <w:rFonts w:hint="eastAsia" w:ascii="宋体" w:hAnsi="宋体" w:eastAsia="宋体" w:cs="Times New Roman"/>
      <w:szCs w:val="20"/>
    </w:rPr>
  </w:style>
  <w:style w:type="paragraph" w:customStyle="1" w:styleId="25">
    <w:name w:val="目次、标准名称标题"/>
    <w:basedOn w:val="1"/>
    <w:next w:val="1"/>
    <w:qFormat/>
    <w:uiPriority w:val="0"/>
    <w:pPr>
      <w:keepNext/>
      <w:shd w:val="clear" w:color="FFFFFF" w:fill="FFFFFF"/>
      <w:spacing w:before="640" w:after="560" w:line="460" w:lineRule="exact"/>
      <w:jc w:val="center"/>
      <w:outlineLvl w:val="0"/>
    </w:pPr>
    <w:rPr>
      <w:rFonts w:ascii="黑体" w:eastAsia="黑体"/>
      <w:sz w:val="32"/>
      <w:szCs w:val="20"/>
    </w:rPr>
  </w:style>
  <w:style w:type="paragraph" w:styleId="26">
    <w:name w:val="List Paragraph"/>
    <w:basedOn w:val="1"/>
    <w:qFormat/>
    <w:uiPriority w:val="34"/>
    <w:pPr>
      <w:ind w:firstLine="420" w:firstLineChars="200"/>
    </w:pPr>
  </w:style>
  <w:style w:type="paragraph" w:customStyle="1" w:styleId="27">
    <w:name w:val="Table Text"/>
    <w:basedOn w:val="1"/>
    <w:semiHidden/>
    <w:qFormat/>
    <w:uiPriority w:val="0"/>
    <w:pPr>
      <w:adjustRightInd w:val="0"/>
      <w:snapToGrid w:val="0"/>
      <w:spacing w:line="166" w:lineRule="auto"/>
      <w:jc w:val="center"/>
    </w:pPr>
    <w:rPr>
      <w:rFonts w:ascii="微软雅黑" w:hAnsi="微软雅黑" w:eastAsia="微软雅黑" w:cs="微软雅黑"/>
      <w:sz w:val="16"/>
      <w:szCs w:val="16"/>
    </w:rPr>
  </w:style>
  <w:style w:type="character" w:customStyle="1" w:styleId="28">
    <w:name w:val="font31"/>
    <w:basedOn w:val="21"/>
    <w:qFormat/>
    <w:uiPriority w:val="0"/>
    <w:rPr>
      <w:rFonts w:ascii="隶书" w:hAnsi="隶书" w:eastAsia="隶书" w:cs="隶书"/>
      <w:b/>
      <w:bCs/>
      <w:color w:val="000000"/>
      <w:sz w:val="20"/>
      <w:szCs w:val="20"/>
      <w:u w:val="none"/>
    </w:rPr>
  </w:style>
  <w:style w:type="character" w:customStyle="1" w:styleId="29">
    <w:name w:val="font41"/>
    <w:basedOn w:val="21"/>
    <w:qFormat/>
    <w:uiPriority w:val="0"/>
    <w:rPr>
      <w:rFonts w:ascii="隶书" w:hAnsi="隶书" w:eastAsia="隶书" w:cs="隶书"/>
      <w:color w:val="000000"/>
      <w:sz w:val="20"/>
      <w:szCs w:val="20"/>
      <w:u w:val="none"/>
    </w:rPr>
  </w:style>
  <w:style w:type="character" w:customStyle="1" w:styleId="30">
    <w:name w:val="font51"/>
    <w:basedOn w:val="21"/>
    <w:qFormat/>
    <w:uiPriority w:val="0"/>
    <w:rPr>
      <w:rFonts w:hint="default" w:ascii="Times New Roman" w:hAnsi="Times New Roman" w:cs="Times New Roman"/>
      <w:color w:val="000000"/>
      <w:sz w:val="20"/>
      <w:szCs w:val="20"/>
      <w:u w:val="none"/>
    </w:rPr>
  </w:style>
  <w:style w:type="character" w:customStyle="1" w:styleId="31">
    <w:name w:val="font61"/>
    <w:basedOn w:val="21"/>
    <w:qFormat/>
    <w:uiPriority w:val="0"/>
    <w:rPr>
      <w:rFonts w:ascii="宋体" w:hAnsi="宋体" w:eastAsia="宋体" w:cs="宋体"/>
      <w:color w:val="000000"/>
      <w:sz w:val="16"/>
      <w:szCs w:val="16"/>
      <w:u w:val="none"/>
    </w:rPr>
  </w:style>
  <w:style w:type="character" w:customStyle="1" w:styleId="32">
    <w:name w:val="font71"/>
    <w:basedOn w:val="21"/>
    <w:qFormat/>
    <w:uiPriority w:val="0"/>
    <w:rPr>
      <w:rFonts w:ascii="宋体" w:hAnsi="宋体" w:eastAsia="宋体" w:cs="宋体"/>
      <w:color w:val="000000"/>
      <w:sz w:val="14"/>
      <w:szCs w:val="14"/>
      <w:u w:val="none"/>
    </w:rPr>
  </w:style>
  <w:style w:type="character" w:customStyle="1" w:styleId="33">
    <w:name w:val="font81"/>
    <w:basedOn w:val="21"/>
    <w:qFormat/>
    <w:uiPriority w:val="0"/>
    <w:rPr>
      <w:rFonts w:ascii="宋体" w:hAnsi="宋体" w:eastAsia="宋体" w:cs="宋体"/>
      <w:color w:val="000000"/>
      <w:sz w:val="16"/>
      <w:szCs w:val="16"/>
      <w:u w:val="none"/>
    </w:rPr>
  </w:style>
  <w:style w:type="character" w:styleId="34">
    <w:name w:val="Placeholder Text"/>
    <w:basedOn w:val="21"/>
    <w:unhideWhenUsed/>
    <w:qFormat/>
    <w:uiPriority w:val="99"/>
    <w:rPr>
      <w:color w:val="808080"/>
    </w:rPr>
  </w:style>
  <w:style w:type="character" w:customStyle="1" w:styleId="35">
    <w:name w:val="未处理的提及1"/>
    <w:basedOn w:val="21"/>
    <w:semiHidden/>
    <w:unhideWhenUsed/>
    <w:qFormat/>
    <w:uiPriority w:val="99"/>
    <w:rPr>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8" Type="http://schemas.openxmlformats.org/officeDocument/2006/relationships/fontTable" Target="fontTable.xml"/><Relationship Id="rId87" Type="http://schemas.openxmlformats.org/officeDocument/2006/relationships/customXml" Target="../customXml/item2.xml"/><Relationship Id="rId86" Type="http://schemas.openxmlformats.org/officeDocument/2006/relationships/numbering" Target="numbering.xml"/><Relationship Id="rId85" Type="http://schemas.openxmlformats.org/officeDocument/2006/relationships/customXml" Target="../customXml/item1.xml"/><Relationship Id="rId84" Type="http://schemas.openxmlformats.org/officeDocument/2006/relationships/image" Target="media/image46.png"/><Relationship Id="rId83" Type="http://schemas.openxmlformats.org/officeDocument/2006/relationships/image" Target="media/image45.wmf"/><Relationship Id="rId82" Type="http://schemas.openxmlformats.org/officeDocument/2006/relationships/image" Target="media/image44.wmf"/><Relationship Id="rId81" Type="http://schemas.openxmlformats.org/officeDocument/2006/relationships/image" Target="media/image43.wmf"/><Relationship Id="rId80" Type="http://schemas.openxmlformats.org/officeDocument/2006/relationships/image" Target="media/image42.wmf"/><Relationship Id="rId8" Type="http://schemas.openxmlformats.org/officeDocument/2006/relationships/header" Target="header4.xml"/><Relationship Id="rId79" Type="http://schemas.openxmlformats.org/officeDocument/2006/relationships/image" Target="media/image41.wmf"/><Relationship Id="rId78" Type="http://schemas.openxmlformats.org/officeDocument/2006/relationships/image" Target="media/image40.wmf"/><Relationship Id="rId77" Type="http://schemas.openxmlformats.org/officeDocument/2006/relationships/image" Target="media/image39.wmf"/><Relationship Id="rId76" Type="http://schemas.openxmlformats.org/officeDocument/2006/relationships/image" Target="media/image38.png"/><Relationship Id="rId75" Type="http://schemas.openxmlformats.org/officeDocument/2006/relationships/image" Target="media/image37.wmf"/><Relationship Id="rId74" Type="http://schemas.openxmlformats.org/officeDocument/2006/relationships/image" Target="media/image36.wmf"/><Relationship Id="rId73" Type="http://schemas.openxmlformats.org/officeDocument/2006/relationships/oleObject" Target="embeddings/oleObject24.bin"/><Relationship Id="rId72" Type="http://schemas.openxmlformats.org/officeDocument/2006/relationships/image" Target="media/image35.wmf"/><Relationship Id="rId71" Type="http://schemas.openxmlformats.org/officeDocument/2006/relationships/oleObject" Target="embeddings/oleObject23.bin"/><Relationship Id="rId70" Type="http://schemas.openxmlformats.org/officeDocument/2006/relationships/image" Target="media/image34.wmf"/><Relationship Id="rId7" Type="http://schemas.openxmlformats.org/officeDocument/2006/relationships/footer" Target="footer2.xml"/><Relationship Id="rId69" Type="http://schemas.openxmlformats.org/officeDocument/2006/relationships/oleObject" Target="embeddings/oleObject22.bin"/><Relationship Id="rId68" Type="http://schemas.openxmlformats.org/officeDocument/2006/relationships/image" Target="media/image33.wmf"/><Relationship Id="rId67" Type="http://schemas.openxmlformats.org/officeDocument/2006/relationships/oleObject" Target="embeddings/oleObject21.bin"/><Relationship Id="rId66" Type="http://schemas.openxmlformats.org/officeDocument/2006/relationships/image" Target="media/image32.wmf"/><Relationship Id="rId65" Type="http://schemas.openxmlformats.org/officeDocument/2006/relationships/oleObject" Target="embeddings/oleObject20.bin"/><Relationship Id="rId64" Type="http://schemas.openxmlformats.org/officeDocument/2006/relationships/image" Target="media/image31.wmf"/><Relationship Id="rId63" Type="http://schemas.openxmlformats.org/officeDocument/2006/relationships/oleObject" Target="embeddings/oleObject19.bin"/><Relationship Id="rId62" Type="http://schemas.openxmlformats.org/officeDocument/2006/relationships/image" Target="media/image30.wmf"/><Relationship Id="rId61" Type="http://schemas.openxmlformats.org/officeDocument/2006/relationships/oleObject" Target="embeddings/oleObject18.bin"/><Relationship Id="rId60" Type="http://schemas.openxmlformats.org/officeDocument/2006/relationships/image" Target="media/image29.wmf"/><Relationship Id="rId6" Type="http://schemas.openxmlformats.org/officeDocument/2006/relationships/footer" Target="footer1.xml"/><Relationship Id="rId59" Type="http://schemas.openxmlformats.org/officeDocument/2006/relationships/oleObject" Target="embeddings/oleObject17.bin"/><Relationship Id="rId58" Type="http://schemas.openxmlformats.org/officeDocument/2006/relationships/image" Target="media/image28.wmf"/><Relationship Id="rId57" Type="http://schemas.openxmlformats.org/officeDocument/2006/relationships/oleObject" Target="embeddings/oleObject16.bin"/><Relationship Id="rId56" Type="http://schemas.openxmlformats.org/officeDocument/2006/relationships/image" Target="media/image27.wmf"/><Relationship Id="rId55" Type="http://schemas.openxmlformats.org/officeDocument/2006/relationships/oleObject" Target="embeddings/oleObject15.bin"/><Relationship Id="rId54" Type="http://schemas.openxmlformats.org/officeDocument/2006/relationships/image" Target="media/image26.wmf"/><Relationship Id="rId53" Type="http://schemas.openxmlformats.org/officeDocument/2006/relationships/oleObject" Target="embeddings/oleObject14.bin"/><Relationship Id="rId52" Type="http://schemas.openxmlformats.org/officeDocument/2006/relationships/image" Target="media/image25.wmf"/><Relationship Id="rId51" Type="http://schemas.openxmlformats.org/officeDocument/2006/relationships/oleObject" Target="embeddings/oleObject13.bin"/><Relationship Id="rId50" Type="http://schemas.openxmlformats.org/officeDocument/2006/relationships/image" Target="media/image24.wmf"/><Relationship Id="rId5" Type="http://schemas.openxmlformats.org/officeDocument/2006/relationships/header" Target="header3.xml"/><Relationship Id="rId49" Type="http://schemas.openxmlformats.org/officeDocument/2006/relationships/oleObject" Target="embeddings/oleObject12.bin"/><Relationship Id="rId48" Type="http://schemas.openxmlformats.org/officeDocument/2006/relationships/image" Target="media/image23.wmf"/><Relationship Id="rId47" Type="http://schemas.openxmlformats.org/officeDocument/2006/relationships/oleObject" Target="embeddings/oleObject11.bin"/><Relationship Id="rId46" Type="http://schemas.openxmlformats.org/officeDocument/2006/relationships/image" Target="media/image22.wmf"/><Relationship Id="rId45" Type="http://schemas.openxmlformats.org/officeDocument/2006/relationships/oleObject" Target="embeddings/oleObject10.bin"/><Relationship Id="rId44" Type="http://schemas.openxmlformats.org/officeDocument/2006/relationships/image" Target="media/image21.wmf"/><Relationship Id="rId43" Type="http://schemas.openxmlformats.org/officeDocument/2006/relationships/oleObject" Target="embeddings/oleObject9.bin"/><Relationship Id="rId42" Type="http://schemas.openxmlformats.org/officeDocument/2006/relationships/image" Target="media/image20.wmf"/><Relationship Id="rId41" Type="http://schemas.openxmlformats.org/officeDocument/2006/relationships/oleObject" Target="embeddings/oleObject8.bin"/><Relationship Id="rId40" Type="http://schemas.openxmlformats.org/officeDocument/2006/relationships/image" Target="media/image19.wmf"/><Relationship Id="rId4" Type="http://schemas.openxmlformats.org/officeDocument/2006/relationships/header" Target="header2.xml"/><Relationship Id="rId39" Type="http://schemas.openxmlformats.org/officeDocument/2006/relationships/oleObject" Target="embeddings/oleObject7.bin"/><Relationship Id="rId38" Type="http://schemas.openxmlformats.org/officeDocument/2006/relationships/image" Target="media/image18.wmf"/><Relationship Id="rId37" Type="http://schemas.openxmlformats.org/officeDocument/2006/relationships/oleObject" Target="embeddings/oleObject6.bin"/><Relationship Id="rId36" Type="http://schemas.openxmlformats.org/officeDocument/2006/relationships/image" Target="media/image17.wmf"/><Relationship Id="rId35" Type="http://schemas.openxmlformats.org/officeDocument/2006/relationships/oleObject" Target="embeddings/oleObject5.bin"/><Relationship Id="rId34" Type="http://schemas.openxmlformats.org/officeDocument/2006/relationships/image" Target="media/image16.wmf"/><Relationship Id="rId33" Type="http://schemas.openxmlformats.org/officeDocument/2006/relationships/oleObject" Target="embeddings/oleObject4.bin"/><Relationship Id="rId32" Type="http://schemas.openxmlformats.org/officeDocument/2006/relationships/image" Target="media/image15.GIF"/><Relationship Id="rId31" Type="http://schemas.openxmlformats.org/officeDocument/2006/relationships/image" Target="media/image14.wmf"/><Relationship Id="rId30" Type="http://schemas.openxmlformats.org/officeDocument/2006/relationships/oleObject" Target="embeddings/oleObject3.bin"/><Relationship Id="rId3" Type="http://schemas.openxmlformats.org/officeDocument/2006/relationships/header" Target="header1.xml"/><Relationship Id="rId29" Type="http://schemas.openxmlformats.org/officeDocument/2006/relationships/image" Target="media/image13.wmf"/><Relationship Id="rId28" Type="http://schemas.openxmlformats.org/officeDocument/2006/relationships/oleObject" Target="embeddings/oleObject2.bin"/><Relationship Id="rId27" Type="http://schemas.openxmlformats.org/officeDocument/2006/relationships/image" Target="media/image12.wmf"/><Relationship Id="rId26" Type="http://schemas.openxmlformats.org/officeDocument/2006/relationships/oleObject" Target="embeddings/oleObject1.bin"/><Relationship Id="rId25" Type="http://schemas.openxmlformats.org/officeDocument/2006/relationships/image" Target="media/image11.png"/><Relationship Id="rId24" Type="http://schemas.openxmlformats.org/officeDocument/2006/relationships/image" Target="media/image10.png"/><Relationship Id="rId23" Type="http://schemas.openxmlformats.org/officeDocument/2006/relationships/image" Target="media/image9.png"/><Relationship Id="rId22" Type="http://schemas.openxmlformats.org/officeDocument/2006/relationships/image" Target="media/image8.png"/><Relationship Id="rId21" Type="http://schemas.openxmlformats.org/officeDocument/2006/relationships/image" Target="media/image7.png"/><Relationship Id="rId20" Type="http://schemas.openxmlformats.org/officeDocument/2006/relationships/image" Target="media/image6.png"/><Relationship Id="rId2" Type="http://schemas.openxmlformats.org/officeDocument/2006/relationships/settings" Target="settings.xml"/><Relationship Id="rId19" Type="http://schemas.openxmlformats.org/officeDocument/2006/relationships/image" Target="media/image5.png"/><Relationship Id="rId18" Type="http://schemas.openxmlformats.org/officeDocument/2006/relationships/image" Target="media/image4.png"/><Relationship Id="rId17" Type="http://schemas.openxmlformats.org/officeDocument/2006/relationships/image" Target="media/image3.png"/><Relationship Id="rId16" Type="http://schemas.openxmlformats.org/officeDocument/2006/relationships/image" Target="media/image2.png"/><Relationship Id="rId15" Type="http://schemas.openxmlformats.org/officeDocument/2006/relationships/image" Target="media/image1.png"/><Relationship Id="rId14" Type="http://schemas.openxmlformats.org/officeDocument/2006/relationships/theme" Target="theme/theme1.xml"/><Relationship Id="rId13" Type="http://schemas.openxmlformats.org/officeDocument/2006/relationships/footer" Target="footer7.xml"/><Relationship Id="rId12" Type="http://schemas.openxmlformats.org/officeDocument/2006/relationships/footer" Target="footer6.xml"/><Relationship Id="rId11" Type="http://schemas.openxmlformats.org/officeDocument/2006/relationships/footer" Target="footer5.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Info spid="_x0000_s2051"/>
    <customShpInfo spid="_x0000_s2052"/>
    <customShpInfo spid="_x0000_s2053"/>
    <customShpInfo spid="_x0000_s2054"/>
    <customShpInfo spid="_x0000_s2055"/>
    <customShpInfo spid="_x0000_s2056"/>
    <customShpInfo spid="_x0000_s2057"/>
    <customShpInfo spid="_x0000_s2058"/>
    <customShpInfo spid="_x0000_s2059"/>
    <customShpInfo spid="_x0000_s2060"/>
    <customShpInfo spid="_x0000_s2061"/>
    <customShpInfo spid="_x0000_s2062"/>
    <customShpInfo spid="_x0000_s2063"/>
    <customShpInfo spid="_x0000_s2064"/>
    <customShpInfo spid="_x0000_s2065"/>
    <customShpInfo spid="_x0000_s2066"/>
    <customShpInfo spid="_x0000_s2067"/>
    <customShpInfo spid="_x0000_s2068"/>
    <customShpInfo spid="_x0000_s2069"/>
    <customShpInfo spid="_x0000_s2070"/>
    <customShpInfo spid="_x0000_s2071"/>
    <customShpInfo spid="_x0000_s2072"/>
    <customShpInfo spid="_x0000_s2073"/>
    <customShpInfo spid="_x0000_s2074"/>
    <customShpInfo spid="_x0000_s2076"/>
    <customShpInfo spid="_x0000_s2077"/>
    <customShpInfo spid="_x0000_s2078"/>
    <customShpInfo spid="_x0000_s2079"/>
    <customShpInfo spid="_x0000_s2080"/>
    <customShpInfo spid="_x0000_s2075"/>
    <customShpInfo spid="_x0000_s2081"/>
    <customShpInfo spid="_x0000_s2082"/>
    <customShpInfo spid="_x0000_s2050"/>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55169E1-EA2B-41DF-A225-5C08C3BF0806}">
  <ds:schemaRefs/>
</ds:datastoreItem>
</file>

<file path=docProps/app.xml><?xml version="1.0" encoding="utf-8"?>
<Properties xmlns="http://schemas.openxmlformats.org/officeDocument/2006/extended-properties" xmlns:vt="http://schemas.openxmlformats.org/officeDocument/2006/docPropsVTypes">
  <Template>Normal</Template>
  <Pages>125</Pages>
  <Words>77007</Words>
  <Characters>87768</Characters>
  <Lines>732</Lines>
  <Paragraphs>206</Paragraphs>
  <TotalTime>0</TotalTime>
  <ScaleCrop>false</ScaleCrop>
  <LinksUpToDate>false</LinksUpToDate>
  <CharactersWithSpaces>92771</CharactersWithSpaces>
  <Application>WPS Office_11.1.0.12165_F1E327BC-269C-435d-A152-05C5408002CA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2023-11-15T00:55:00Z</dcterms:created>
  <dc:creator>朱毅番</dc:creator>
  <cp:lastModifiedBy>yqf（杨清风）</cp:lastModifiedBy>
  <dcterms:modified xsi:type="dcterms:W3CDTF">2025-03-24T01:00:31Z</dcterms:modified>
  <cp:revision>63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2052-11.1.0.12165</vt:lpwstr>
  </property>
  <property fmtid="{D5CDD505-2E9C-101B-9397-08002B2CF9AE}" pid="3" name="ICV">
    <vt:lpwstr>F36D8256215C492F844AE28D644C426D_13</vt:lpwstr>
  </property>
  <property fmtid="{D5CDD505-2E9C-101B-9397-08002B2CF9AE}" pid="4" name="KSOTemplateDocerSaveRecord">
    <vt:lpwstr>eyJoZGlkIjoiN2RiNTRkZDYyNzU3NzhjMWUzNWI0Mjg4Y2YyNmUyOTciLCJ1c2VySWQiOiIxNDk3ODMwNjE2In0=</vt:lpwstr>
  </property>
</Properties>
</file>